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Fourier Series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proofErr w:type="spellStart"/>
      <w:r w:rsidRPr="00BF6D6F">
        <w:rPr>
          <w:rFonts w:ascii="Times New Roman" w:hAnsi="Times New Roman" w:cs="Times New Roman"/>
        </w:rPr>
        <w:t>Stirling</w:t>
      </w:r>
      <w:proofErr w:type="spellEnd"/>
      <w:r w:rsidRPr="00BF6D6F">
        <w:rPr>
          <w:rFonts w:ascii="Times New Roman" w:hAnsi="Times New Roman" w:cs="Times New Roman"/>
        </w:rPr>
        <w:t xml:space="preserve">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00173EED" w:rsidRPr="00073B80">
        <w:rPr>
          <w:rFonts w:ascii="Times New Roman" w:hAnsi="Times New Roman" w:cs="Times New Roman"/>
          <w:sz w:val="24"/>
          <w:szCs w:val="24"/>
        </w:rPr>
        <w:t>A Fourier series is a commonly used series which represents the expansion of a periodic function in terms of sine and cosine. While it is an infinite series and thus impossible for computers to use in full, when only a few terms are considered its usefulness extends to several applications of data analysis. For this project, atmospheric density readings taken by a rocket during its trip through the atmosphere were analyzed. During the data recording time of 850 to 900 seconds after 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Due to the nature of the series, any amount of terms can be included in the summation. The resulting calculation of the curve will change as more terms in the Fourier series are added. For this data set, 5, 7, and 10 terms were used to approximate the representative function. In addition, both a cosine and a full Fourier series were calculated and compared. The usefulness of such analysis can be extended to any number of included terms or any set of data points.</w:t>
      </w:r>
      <w:bookmarkStart w:id="0" w:name="_GoBack"/>
      <w:bookmarkEnd w:id="0"/>
      <w:r w:rsidR="00E109F2">
        <w:rPr>
          <w:rFonts w:ascii="Times New Roman" w:hAnsi="Times New Roman" w:cs="Times New Roman"/>
          <w:sz w:val="24"/>
          <w:szCs w:val="24"/>
        </w:rPr>
        <w:t xml:space="preserve"> </w:t>
      </w:r>
    </w:p>
    <w:p w:rsidR="00B1632C" w:rsidRDefault="00D65579" w:rsidP="00D65579">
      <w:pPr>
        <w:spacing w:before="240" w:line="276" w:lineRule="auto"/>
        <w:rPr>
          <w:b/>
          <w:sz w:val="24"/>
          <w:szCs w:val="24"/>
          <w:u w:val="single"/>
        </w:rPr>
      </w:pPr>
      <w:r>
        <w:rPr>
          <w:b/>
          <w:sz w:val="24"/>
          <w:szCs w:val="24"/>
          <w:u w:val="single"/>
        </w:rPr>
        <w:t>Methodology</w:t>
      </w:r>
    </w:p>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In the determination of both the Fourier cosine series and full Fourier series the values for a</w:t>
      </w:r>
      <w:r w:rsidRPr="00EC69AC">
        <w:rPr>
          <w:rFonts w:ascii="Times New Roman" w:hAnsi="Times New Roman" w:cs="Times New Roman"/>
          <w:sz w:val="24"/>
          <w:vertAlign w:val="subscript"/>
        </w:rPr>
        <w:t>0</w:t>
      </w:r>
      <w:r w:rsidRPr="00EC69AC">
        <w:rPr>
          <w:rFonts w:ascii="Times New Roman" w:hAnsi="Times New Roman" w:cs="Times New Roman"/>
          <w:sz w:val="24"/>
        </w:rPr>
        <w:t>, a</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and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vertAlign w:val="subscript"/>
        </w:rPr>
        <w:t xml:space="preserve"> </w:t>
      </w:r>
      <w:r w:rsidRPr="00EC69AC">
        <w:rPr>
          <w:rFonts w:ascii="Times New Roman" w:hAnsi="Times New Roman" w:cs="Times New Roman"/>
          <w:sz w:val="24"/>
        </w:rPr>
        <w:t>are typically determined by an integral featuring a function f(x).However, given that there is no function given for the rocket data set, the integrals were evaluated as a series. The transition can be found below.</w:t>
      </w:r>
    </w:p>
    <w:p w:rsidR="00A80DF2" w:rsidRDefault="00A80DF2" w:rsidP="00A80DF2"/>
    <w:p w:rsidR="00A80DF2" w:rsidRPr="00C50F0B" w:rsidRDefault="00173EED"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For the values from a to b, the integral of the function is equal to the summation of all f(x) values multiplied by a very small change in x. For the cosine series, it was only necessary to calculate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xml:space="preserve"> and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integrals for these values are given as</w:t>
      </w:r>
    </w:p>
    <w:p w:rsidR="00A80DF2" w:rsidRDefault="00A80DF2" w:rsidP="00A80DF2">
      <w:pPr>
        <w:rPr>
          <w:rFonts w:eastAsiaTheme="minorEastAsia"/>
        </w:rPr>
      </w:pPr>
    </w:p>
    <w:p w:rsidR="00A80DF2" w:rsidRPr="00C50F0B" w:rsidRDefault="00173EED"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173EED"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173EED"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173EED"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173EED"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173EED"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Pr="00EC69AC" w:rsidRDefault="00A80DF2" w:rsidP="00A80DF2">
      <w:pPr>
        <w:rPr>
          <w:rFonts w:ascii="Times New Roman" w:eastAsiaTheme="minorEastAsia" w:hAnsi="Times New Roman" w:cs="Times New Roman"/>
          <w:sz w:val="24"/>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Substituting the values for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xml:space="preserve">, and </w:t>
      </w:r>
      <w:proofErr w:type="spellStart"/>
      <w:r w:rsidRPr="00EC69AC">
        <w:rPr>
          <w:rFonts w:ascii="Times New Roman" w:eastAsiaTheme="minorEastAsia" w:hAnsi="Times New Roman" w:cs="Times New Roman"/>
          <w:sz w:val="24"/>
        </w:rPr>
        <w:t>b</w:t>
      </w:r>
      <w:r w:rsidRPr="00EC69AC">
        <w:rPr>
          <w:rFonts w:ascii="Times New Roman" w:eastAsiaTheme="minorEastAsia" w:hAnsi="Times New Roman" w:cs="Times New Roman"/>
          <w:sz w:val="24"/>
          <w:vertAlign w:val="subscript"/>
        </w:rPr>
        <w:t>n</w:t>
      </w:r>
      <w:proofErr w:type="spellEnd"/>
      <w:r w:rsidRPr="00EC69AC">
        <w:rPr>
          <w:rFonts w:ascii="Times New Roman" w:eastAsiaTheme="minorEastAsia" w:hAnsi="Times New Roman" w:cs="Times New Roman"/>
          <w:sz w:val="24"/>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 xml:space="preserve">For the full Fourier series, the value of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slightly differently. As the sine expansion is not symmetric about the y axis, the value for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from -50s to 0s and from 0s to 50s and then added together. The values for the density would stay the same over both intervals.</w:t>
      </w:r>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p>
    <w:p w:rsidR="00B1632C" w:rsidRDefault="00D65579" w:rsidP="00D65579">
      <w:pPr>
        <w:spacing w:before="240" w:line="276" w:lineRule="auto"/>
        <w:rPr>
          <w:sz w:val="24"/>
          <w:szCs w:val="24"/>
        </w:rPr>
      </w:pPr>
      <w:r>
        <w:rPr>
          <w:b/>
          <w:sz w:val="24"/>
          <w:szCs w:val="24"/>
          <w:u w:val="single"/>
        </w:rPr>
        <w:t>Results</w:t>
      </w:r>
    </w:p>
    <w:p w:rsidR="00112F3D" w:rsidRDefault="00C94E59" w:rsidP="00112F3D">
      <w:pPr>
        <w:spacing w:before="240" w:line="276" w:lineRule="auto"/>
        <w:jc w:val="center"/>
        <w:rPr>
          <w:b/>
          <w:sz w:val="24"/>
          <w:szCs w:val="24"/>
          <w:u w:val="single"/>
        </w:rPr>
      </w:pPr>
      <w:r>
        <w:rPr>
          <w:noProof/>
        </w:rPr>
        <w:drawing>
          <wp:inline distT="0" distB="0" distL="0" distR="0" wp14:anchorId="538F6432" wp14:editId="43947729">
            <wp:extent cx="5248275" cy="3057525"/>
            <wp:effectExtent l="57150" t="57150" r="66675" b="66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250" t="4274" r="5449" b="4274"/>
                    <a:stretch/>
                  </pic:blipFill>
                  <pic:spPr bwMode="auto">
                    <a:xfrm>
                      <a:off x="0" y="0"/>
                      <a:ext cx="5248275" cy="30575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112F3D" w:rsidRDefault="00C94E59" w:rsidP="00112F3D">
      <w:pPr>
        <w:spacing w:before="240" w:line="276" w:lineRule="auto"/>
        <w:jc w:val="center"/>
        <w:rPr>
          <w:b/>
          <w:sz w:val="24"/>
          <w:szCs w:val="24"/>
          <w:u w:val="single"/>
        </w:rPr>
      </w:pPr>
      <w:r>
        <w:rPr>
          <w:noProof/>
        </w:rPr>
        <w:lastRenderedPageBreak/>
        <w:drawing>
          <wp:inline distT="0" distB="0" distL="0" distR="0" wp14:anchorId="7DC2507D" wp14:editId="3E0B3725">
            <wp:extent cx="5286375" cy="3076575"/>
            <wp:effectExtent l="57150" t="57150" r="66675" b="666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89" t="3134" r="4969" b="4842"/>
                    <a:stretch/>
                  </pic:blipFill>
                  <pic:spPr bwMode="auto">
                    <a:xfrm>
                      <a:off x="0" y="0"/>
                      <a:ext cx="5286375" cy="307657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C94E59" w:rsidP="00112F3D">
      <w:pPr>
        <w:spacing w:before="240" w:line="276" w:lineRule="auto"/>
        <w:jc w:val="center"/>
        <w:rPr>
          <w:b/>
          <w:sz w:val="24"/>
          <w:szCs w:val="24"/>
          <w:u w:val="single"/>
        </w:rPr>
      </w:pPr>
      <w:r>
        <w:rPr>
          <w:noProof/>
        </w:rPr>
        <w:drawing>
          <wp:inline distT="0" distB="0" distL="0" distR="0" wp14:anchorId="025B1B5F" wp14:editId="0A972F60">
            <wp:extent cx="5324475" cy="3114675"/>
            <wp:effectExtent l="57150" t="57150" r="66675" b="66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69" t="2279" r="4647" b="4558"/>
                    <a:stretch/>
                  </pic:blipFill>
                  <pic:spPr bwMode="auto">
                    <a:xfrm>
                      <a:off x="0" y="0"/>
                      <a:ext cx="5324475" cy="311467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E87043" w:rsidP="00112F3D">
      <w:pPr>
        <w:spacing w:before="240" w:line="276" w:lineRule="auto"/>
        <w:jc w:val="center"/>
        <w:rPr>
          <w:b/>
          <w:sz w:val="24"/>
          <w:szCs w:val="24"/>
          <w:u w:val="single"/>
        </w:rPr>
      </w:pPr>
    </w:p>
    <w:p w:rsidR="00E87043" w:rsidRDefault="00221DF2" w:rsidP="00112F3D">
      <w:pPr>
        <w:spacing w:before="240" w:line="276" w:lineRule="auto"/>
        <w:jc w:val="center"/>
        <w:rPr>
          <w:b/>
          <w:sz w:val="24"/>
          <w:szCs w:val="24"/>
          <w:u w:val="single"/>
        </w:rPr>
      </w:pPr>
      <w:r>
        <w:rPr>
          <w:noProof/>
        </w:rPr>
        <w:drawing>
          <wp:inline distT="0" distB="0" distL="0" distR="0" wp14:anchorId="5B8D6F2D" wp14:editId="6E8B23C6">
            <wp:extent cx="5238750" cy="3095625"/>
            <wp:effectExtent l="57150" t="57150" r="57150" b="666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11" t="2563" r="5448" b="4843"/>
                    <a:stretch/>
                  </pic:blipFill>
                  <pic:spPr bwMode="auto">
                    <a:xfrm>
                      <a:off x="0" y="0"/>
                      <a:ext cx="5238750"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112F3D">
      <w:pPr>
        <w:spacing w:before="240" w:line="276" w:lineRule="auto"/>
        <w:jc w:val="center"/>
        <w:rPr>
          <w:b/>
          <w:sz w:val="24"/>
          <w:szCs w:val="24"/>
          <w:u w:val="single"/>
        </w:rPr>
      </w:pPr>
    </w:p>
    <w:p w:rsidR="00E87043" w:rsidRPr="00B1632C" w:rsidRDefault="00221DF2" w:rsidP="00E87043">
      <w:pPr>
        <w:spacing w:before="240" w:line="276" w:lineRule="auto"/>
        <w:jc w:val="center"/>
        <w:rPr>
          <w:b/>
          <w:sz w:val="24"/>
          <w:szCs w:val="24"/>
          <w:u w:val="single"/>
        </w:rPr>
      </w:pPr>
      <w:r>
        <w:rPr>
          <w:noProof/>
        </w:rPr>
        <w:drawing>
          <wp:inline distT="0" distB="0" distL="0" distR="0" wp14:anchorId="626962D8" wp14:editId="2FF24B2E">
            <wp:extent cx="5210175" cy="3105150"/>
            <wp:effectExtent l="57150" t="57150" r="66675"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12" t="3134" r="5129" b="3988"/>
                    <a:stretch/>
                  </pic:blipFill>
                  <pic:spPr bwMode="auto">
                    <a:xfrm>
                      <a:off x="0" y="0"/>
                      <a:ext cx="5210175" cy="3105150"/>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E87043" w:rsidRDefault="00E87043" w:rsidP="00E87043">
      <w:pPr>
        <w:spacing w:before="240" w:line="276" w:lineRule="auto"/>
        <w:jc w:val="center"/>
        <w:rPr>
          <w:b/>
          <w:sz w:val="24"/>
          <w:szCs w:val="24"/>
          <w:u w:val="single"/>
        </w:rPr>
      </w:pPr>
    </w:p>
    <w:p w:rsidR="00E87043" w:rsidRDefault="003A5B79" w:rsidP="00E87043">
      <w:pPr>
        <w:spacing w:before="240" w:line="276" w:lineRule="auto"/>
        <w:jc w:val="center"/>
        <w:rPr>
          <w:b/>
          <w:sz w:val="24"/>
          <w:szCs w:val="24"/>
          <w:u w:val="single"/>
        </w:rPr>
      </w:pPr>
      <w:r>
        <w:rPr>
          <w:noProof/>
        </w:rPr>
        <w:lastRenderedPageBreak/>
        <w:drawing>
          <wp:inline distT="0" distB="0" distL="0" distR="0" wp14:anchorId="5568F9B1" wp14:editId="7744E9CC">
            <wp:extent cx="5314950" cy="3095625"/>
            <wp:effectExtent l="57150" t="57150" r="57150" b="666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11" t="2849" r="4166" b="4558"/>
                    <a:stretch/>
                  </pic:blipFill>
                  <pic:spPr bwMode="auto">
                    <a:xfrm>
                      <a:off x="0" y="0"/>
                      <a:ext cx="5314950" cy="3095625"/>
                    </a:xfrm>
                    <a:prstGeom prst="rect">
                      <a:avLst/>
                    </a:prstGeom>
                    <a:ln w="57150">
                      <a:solidFill>
                        <a:srgbClr val="FF0000"/>
                      </a:solidFill>
                    </a:ln>
                    <a:extLst>
                      <a:ext uri="{53640926-AAD7-44D8-BBD7-CCE9431645EC}">
                        <a14:shadowObscured xmlns:a14="http://schemas.microsoft.com/office/drawing/2010/main"/>
                      </a:ext>
                    </a:extLst>
                  </pic:spPr>
                </pic:pic>
              </a:graphicData>
            </a:graphic>
          </wp:inline>
        </w:drawing>
      </w:r>
    </w:p>
    <w:p w:rsidR="00B1632C" w:rsidRPr="00B1632C" w:rsidRDefault="00D65579" w:rsidP="00D65579">
      <w:pPr>
        <w:spacing w:before="240" w:line="276" w:lineRule="auto"/>
        <w:rPr>
          <w:b/>
          <w:sz w:val="24"/>
          <w:szCs w:val="24"/>
          <w:u w:val="single"/>
        </w:rPr>
      </w:pPr>
      <w:r>
        <w:rPr>
          <w:b/>
          <w:sz w:val="24"/>
          <w:szCs w:val="24"/>
          <w:u w:val="single"/>
        </w:rPr>
        <w:t>Discussion</w:t>
      </w:r>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 Fourier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Creates and plots a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sine series with variable number of terms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 441 rocket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Rocket_Data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first 100 coefficients</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3,101);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0:100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term 0 differently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average of the data as a0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sum(Data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b0 as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cos(n*pi*x/L)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by sin(n*pi*x/L)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Data(t,1) * sin(n*pi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 multiplied by cos(n*pi*x/L)</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 + Data(t,1) * cos(n*pi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Multiply by 2/L for the cosine series coefficients and 1/L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Fourier series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 = ac*2/50;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coefficients in a matrix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n+1)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n+1) = b;</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n+1) = ac;</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simple GUI to select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 w:rsidR="00CE435F" w:rsidRDefault="00CE435F" w:rsidP="00CE435F"/>
    <w:p w:rsidR="00CE435F" w:rsidRDefault="00CE435F" w:rsidP="00CE435F"/>
    <w:p w:rsidR="00CE435F" w:rsidRDefault="00CE435F" w:rsidP="00CE435F"/>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Rocket_Fourier_GUI</w:t>
      </w:r>
      <w:proofErr w:type="spell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w:t>
      </w:r>
      <w:proofErr w:type="spellStart"/>
      <w:r>
        <w:rPr>
          <w:rFonts w:ascii="Courier New" w:hAnsi="Courier New" w:cs="Courier New"/>
          <w:color w:val="A020F0"/>
          <w:sz w:val="20"/>
          <w:szCs w:val="20"/>
        </w:rPr>
        <w:t>MenuBar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'Term</w:t>
      </w:r>
      <w:proofErr w:type="spellEnd"/>
      <w:r>
        <w:rPr>
          <w:rFonts w:ascii="Courier New" w:hAnsi="Courier New" w:cs="Courier New"/>
          <w:color w:val="A020F0"/>
          <w:sz w:val="20"/>
          <w:szCs w:val="20"/>
        </w:rPr>
        <w:t xml:space="preserve"> Selector'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 [100,100,200,260])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edit box to show number of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terms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[.4,.5,.2,.1],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 button to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[.3,.3,.4,.1],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Fourier'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button to plot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[.3,.1,.4,.1],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Cosine'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forplotter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 xml:space="preserv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points to fit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 * cos(n*pi()*t/50)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(2,n) * sin(n*pi()*t/50);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ys,y</w:t>
      </w:r>
      <w:proofErr w:type="spellEnd"/>
      <w:proofErr w:type="gram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'Fourier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cosine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cosplotter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 xml:space="preserv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points to fit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3,n</w:t>
      </w:r>
      <w:proofErr w:type="gramEnd"/>
      <w:r>
        <w:rPr>
          <w:rFonts w:ascii="Courier New" w:hAnsi="Courier New" w:cs="Courier New"/>
          <w:color w:val="000000"/>
          <w:sz w:val="20"/>
          <w:szCs w:val="20"/>
        </w:rPr>
        <w:t>) * cos(n*pi()*t/50);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ys,y</w:t>
      </w:r>
      <w:proofErr w:type="spellEnd"/>
      <w:proofErr w:type="gram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Cosine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'Cosine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proofErr w:type="spellStart"/>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435F" w:rsidRDefault="00CE435F" w:rsidP="00CE435F"/>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112F3D"/>
    <w:rsid w:val="00173EED"/>
    <w:rsid w:val="00221DF2"/>
    <w:rsid w:val="00276021"/>
    <w:rsid w:val="003A5B79"/>
    <w:rsid w:val="00A80DF2"/>
    <w:rsid w:val="00B1632C"/>
    <w:rsid w:val="00BF6D6F"/>
    <w:rsid w:val="00C94E59"/>
    <w:rsid w:val="00CE435F"/>
    <w:rsid w:val="00CF5A36"/>
    <w:rsid w:val="00D65579"/>
    <w:rsid w:val="00E109F2"/>
    <w:rsid w:val="00E87043"/>
    <w:rsid w:val="00EC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2016-10-17T19:27:00Z</dcterms:created>
  <dcterms:modified xsi:type="dcterms:W3CDTF">2016-10-17T19:27:00Z</dcterms:modified>
</cp:coreProperties>
</file>