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0"/>
          <w:bCs w:val="0"/>
          <w:color w:val="1f1f1f"/>
          <w:sz w:val="24"/>
          <w:szCs w:val="24"/>
          <w:rtl w:val="0"/>
        </w:rPr>
        <w:t xml:space="preserve">Here is the complete configuration documentation for your Petty Cash Request project. 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Authentication &amp; User Management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maintain internal security and prevent public sign-ups, the portal was configured strictly for invite-only local access.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 Registration: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Disabled in the Power Pages Design Studio (Authentication Settings) to restrict self-service public sign-ups.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User Creation: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Handled exclusively by administrators within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Portal Management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 by creating standard Contact records.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Credential Management: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Usernames and passwords are set via the "Web Authentication" tab or the "Change Password" command on the Contact record in Portal Management.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Dataverse Table Permissions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allow logged-in users to submit forms and the system to establish background lookups without throwing 403 Forbidden or 500 Internal Server errors, the following permissions were mapped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Authenticated Users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web role.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Table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Access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Privileges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Target Web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Petty Cash Request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(hr_pettycashrequest)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Global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Read, Create, Append, Append To, Write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Petty Cash Line Item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(hr_pettycashlineitem)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Global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Read, Create, Append, Append 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Contact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(contact)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Global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Read, Append, Append 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Department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(hr_department)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Global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Read, Append, Append 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 Users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Web API Site Settings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Microsoft Dataverse Web API is disabled by default. The following Site Settings were created in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Portal Management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 to expose the tables to our custom JavaScript and explicitly permit file uploads.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Site Setting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Webapi/hr_pettycashrequest/enabled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Enables frontend submission for the main request.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Webapi/hr_pettycashrequest/fields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* (Must include hr_receiptimage)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Exposes columns and explicitly unblocks image file uploads.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Webapi/hr_pettycashlineitem/enabled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Enables frontend submission for the product rows.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Webapi/hr_pettycashlineitem/fields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Exposes line item columns for creation.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Webapi/contact/enabled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Allows the API to link users and managers.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Webapi/contact/fields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Exposes the required GUID for Contact lookups.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Webapi/hr_department/enabled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Allows the API to link the user's department.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Webapi/hr_department/fields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Exposes the required GUID for Department lookups.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System Architecture Notes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Error Handling: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Web API requires explicit error mapping (error.responseJSON.error.message) to parse Dataverse rejection codes directly to the end user.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File Upload Protocol: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Receipt images are uploaded via a secondary PUT request targeting the specific GUID of the newly created header record, utilizing raw binary bytes (ArrayBuffer).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Choice Fields: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Dropdown text values on the frontend (e.g., "Travel") must be manually mapped in the script to their corresponding Dataverse integer values (e.g., 123140000).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