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CEEAA" w14:textId="4C36EAAC" w:rsidR="00371D21" w:rsidRPr="00371D21" w:rsidRDefault="006748D8" w:rsidP="00141E85">
      <w:pPr>
        <w:shd w:val="clear" w:color="auto" w:fill="F9F9F9"/>
        <w:spacing w:before="100" w:beforeAutospacing="1" w:after="100" w:afterAutospacing="1" w:line="300" w:lineRule="atLeast"/>
        <w:outlineLvl w:val="0"/>
        <w:rPr>
          <w:rFonts w:ascii="Arial" w:eastAsia="Times New Roman" w:hAnsi="Arial" w:cs="Arial"/>
          <w:b/>
          <w:bCs/>
          <w:color w:val="000000"/>
          <w:kern w:val="36"/>
          <w:sz w:val="48"/>
          <w:szCs w:val="48"/>
        </w:rPr>
      </w:pPr>
      <w:r>
        <w:rPr>
          <w:rFonts w:ascii="Arial" w:eastAsia="Times New Roman" w:hAnsi="Arial" w:cs="Arial"/>
          <w:b/>
          <w:bCs/>
          <w:color w:val="000000"/>
          <w:kern w:val="36"/>
          <w:sz w:val="48"/>
          <w:szCs w:val="48"/>
        </w:rPr>
        <w:t>Dubai Islamic</w:t>
      </w:r>
      <w:r w:rsidR="00371D21" w:rsidRPr="00371D21">
        <w:rPr>
          <w:rFonts w:ascii="Arial" w:eastAsia="Times New Roman" w:hAnsi="Arial" w:cs="Arial"/>
          <w:b/>
          <w:bCs/>
          <w:color w:val="000000"/>
          <w:kern w:val="36"/>
          <w:sz w:val="48"/>
          <w:szCs w:val="48"/>
        </w:rPr>
        <w:t xml:space="preserve"> Bank</w:t>
      </w:r>
      <w:r>
        <w:rPr>
          <w:rFonts w:ascii="Arial" w:eastAsia="Times New Roman" w:hAnsi="Arial" w:cs="Arial"/>
          <w:b/>
          <w:bCs/>
          <w:color w:val="000000"/>
          <w:kern w:val="36"/>
          <w:sz w:val="48"/>
          <w:szCs w:val="48"/>
        </w:rPr>
        <w:t xml:space="preserve"> (DIB)</w:t>
      </w:r>
    </w:p>
    <w:tbl>
      <w:tblPr>
        <w:tblW w:w="9660" w:type="dxa"/>
        <w:shd w:val="clear" w:color="auto" w:fill="F9F9F9"/>
        <w:tblCellMar>
          <w:top w:w="15" w:type="dxa"/>
          <w:left w:w="15" w:type="dxa"/>
          <w:bottom w:w="15" w:type="dxa"/>
          <w:right w:w="15" w:type="dxa"/>
        </w:tblCellMar>
        <w:tblLook w:val="04A0" w:firstRow="1" w:lastRow="0" w:firstColumn="1" w:lastColumn="0" w:noHBand="0" w:noVBand="1"/>
      </w:tblPr>
      <w:tblGrid>
        <w:gridCol w:w="1050"/>
        <w:gridCol w:w="8610"/>
      </w:tblGrid>
      <w:tr w:rsidR="00371D21" w:rsidRPr="00371D21" w14:paraId="079E1455" w14:textId="77777777" w:rsidTr="00371D21">
        <w:tc>
          <w:tcPr>
            <w:tcW w:w="1050" w:type="dxa"/>
            <w:shd w:val="clear" w:color="auto" w:fill="F9F9F9"/>
            <w:hideMark/>
          </w:tcPr>
          <w:p w14:paraId="1BBCC494" w14:textId="77777777" w:rsidR="00371D21" w:rsidRPr="00371D21" w:rsidRDefault="00371D21" w:rsidP="00141E85">
            <w:pPr>
              <w:spacing w:before="100" w:beforeAutospacing="1" w:after="100" w:afterAutospacing="1" w:line="300" w:lineRule="atLeast"/>
              <w:rPr>
                <w:rFonts w:ascii="Arial" w:eastAsia="Times New Roman" w:hAnsi="Arial" w:cs="Arial"/>
                <w:color w:val="A9A9A9"/>
                <w:sz w:val="26"/>
                <w:szCs w:val="26"/>
              </w:rPr>
            </w:pPr>
            <w:r w:rsidRPr="00371D21">
              <w:rPr>
                <w:rFonts w:ascii="Arial" w:eastAsia="Times New Roman" w:hAnsi="Arial" w:cs="Arial"/>
                <w:color w:val="A9A9A9"/>
                <w:sz w:val="26"/>
                <w:szCs w:val="26"/>
              </w:rPr>
              <w:t>Industry:</w:t>
            </w:r>
          </w:p>
        </w:tc>
        <w:tc>
          <w:tcPr>
            <w:tcW w:w="0" w:type="auto"/>
            <w:shd w:val="clear" w:color="auto" w:fill="F9F9F9"/>
            <w:tcMar>
              <w:top w:w="15" w:type="dxa"/>
              <w:left w:w="225" w:type="dxa"/>
              <w:bottom w:w="15" w:type="dxa"/>
              <w:right w:w="15" w:type="dxa"/>
            </w:tcMar>
            <w:hideMark/>
          </w:tcPr>
          <w:p w14:paraId="33CE2CEB" w14:textId="77777777" w:rsidR="00371D21" w:rsidRPr="00371D21" w:rsidRDefault="00371D21" w:rsidP="00141E85">
            <w:pPr>
              <w:spacing w:before="100" w:beforeAutospacing="1" w:after="100" w:afterAutospacing="1" w:line="300" w:lineRule="atLeast"/>
              <w:rPr>
                <w:rFonts w:ascii="Arial" w:eastAsia="Times New Roman" w:hAnsi="Arial" w:cs="Arial"/>
                <w:color w:val="A9A9A9"/>
                <w:sz w:val="26"/>
                <w:szCs w:val="26"/>
              </w:rPr>
            </w:pPr>
            <w:r w:rsidRPr="00371D21">
              <w:rPr>
                <w:rFonts w:ascii="Arial" w:eastAsia="Times New Roman" w:hAnsi="Arial" w:cs="Arial"/>
                <w:color w:val="A9A9A9"/>
                <w:sz w:val="26"/>
                <w:szCs w:val="26"/>
              </w:rPr>
              <w:t>Banking</w:t>
            </w:r>
          </w:p>
        </w:tc>
      </w:tr>
      <w:tr w:rsidR="00371D21" w:rsidRPr="00371D21" w14:paraId="1B6970EC" w14:textId="77777777" w:rsidTr="00371D21">
        <w:tc>
          <w:tcPr>
            <w:tcW w:w="1050" w:type="dxa"/>
            <w:shd w:val="clear" w:color="auto" w:fill="F9F9F9"/>
            <w:hideMark/>
          </w:tcPr>
          <w:p w14:paraId="567EB601" w14:textId="77777777" w:rsidR="00371D21" w:rsidRPr="00371D21" w:rsidRDefault="00371D21" w:rsidP="00141E85">
            <w:pPr>
              <w:spacing w:before="100" w:beforeAutospacing="1" w:after="100" w:afterAutospacing="1" w:line="300" w:lineRule="atLeast"/>
              <w:rPr>
                <w:rFonts w:ascii="Arial" w:eastAsia="Times New Roman" w:hAnsi="Arial" w:cs="Arial"/>
                <w:color w:val="A9A9A9"/>
                <w:sz w:val="26"/>
                <w:szCs w:val="26"/>
              </w:rPr>
            </w:pPr>
            <w:r w:rsidRPr="00371D21">
              <w:rPr>
                <w:rFonts w:ascii="Arial" w:eastAsia="Times New Roman" w:hAnsi="Arial" w:cs="Arial"/>
                <w:color w:val="A9A9A9"/>
                <w:sz w:val="26"/>
                <w:szCs w:val="26"/>
              </w:rPr>
              <w:t>Focus:</w:t>
            </w:r>
          </w:p>
        </w:tc>
        <w:tc>
          <w:tcPr>
            <w:tcW w:w="0" w:type="auto"/>
            <w:shd w:val="clear" w:color="auto" w:fill="F9F9F9"/>
            <w:tcMar>
              <w:top w:w="15" w:type="dxa"/>
              <w:left w:w="225" w:type="dxa"/>
              <w:bottom w:w="15" w:type="dxa"/>
              <w:right w:w="15" w:type="dxa"/>
            </w:tcMar>
            <w:hideMark/>
          </w:tcPr>
          <w:p w14:paraId="561915E2" w14:textId="79577FEB" w:rsidR="00371D21" w:rsidRPr="00371D21" w:rsidRDefault="006748D8" w:rsidP="00141E85">
            <w:pPr>
              <w:spacing w:before="100" w:beforeAutospacing="1" w:after="100" w:afterAutospacing="1" w:line="300" w:lineRule="atLeast"/>
              <w:rPr>
                <w:rFonts w:ascii="Arial" w:eastAsia="Times New Roman" w:hAnsi="Arial" w:cs="Arial"/>
                <w:color w:val="A9A9A9"/>
                <w:sz w:val="26"/>
                <w:szCs w:val="26"/>
              </w:rPr>
            </w:pPr>
            <w:r w:rsidRPr="006748D8">
              <w:rPr>
                <w:rFonts w:ascii="Arial" w:eastAsia="Times New Roman" w:hAnsi="Arial" w:cs="Arial"/>
                <w:color w:val="A6A6A6" w:themeColor="background1" w:themeShade="A6"/>
                <w:spacing w:val="2"/>
                <w:sz w:val="26"/>
                <w:szCs w:val="26"/>
              </w:rPr>
              <w:t xml:space="preserve">Escrow </w:t>
            </w:r>
            <w:r w:rsidRPr="005B451E">
              <w:rPr>
                <w:rFonts w:ascii="Arial" w:eastAsia="Times New Roman" w:hAnsi="Arial" w:cs="Arial"/>
                <w:color w:val="A6A6A6" w:themeColor="background1" w:themeShade="A6"/>
                <w:spacing w:val="2"/>
                <w:sz w:val="26"/>
                <w:szCs w:val="26"/>
              </w:rPr>
              <w:t>D</w:t>
            </w:r>
            <w:r w:rsidRPr="006748D8">
              <w:rPr>
                <w:rFonts w:ascii="Arial" w:eastAsia="Times New Roman" w:hAnsi="Arial" w:cs="Arial"/>
                <w:color w:val="A6A6A6" w:themeColor="background1" w:themeShade="A6"/>
                <w:spacing w:val="2"/>
                <w:sz w:val="26"/>
                <w:szCs w:val="26"/>
              </w:rPr>
              <w:t>omain</w:t>
            </w:r>
          </w:p>
        </w:tc>
      </w:tr>
    </w:tbl>
    <w:p w14:paraId="371DBDD7" w14:textId="7D85C767" w:rsidR="00371D21" w:rsidRPr="00141E85" w:rsidRDefault="006748D8"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r w:rsidRPr="00141E85">
        <w:rPr>
          <w:rFonts w:ascii="Arial" w:eastAsia="Times New Roman" w:hAnsi="Arial" w:cs="Arial"/>
          <w:b/>
          <w:bCs/>
          <w:color w:val="262626" w:themeColor="text1" w:themeTint="D9"/>
          <w:spacing w:val="2"/>
          <w:sz w:val="26"/>
          <w:szCs w:val="26"/>
        </w:rPr>
        <w:t>Bank</w:t>
      </w:r>
      <w:r w:rsidR="00371D21" w:rsidRPr="00141E85">
        <w:rPr>
          <w:rFonts w:ascii="Arial" w:eastAsia="Times New Roman" w:hAnsi="Arial" w:cs="Arial"/>
          <w:b/>
          <w:bCs/>
          <w:color w:val="262626" w:themeColor="text1" w:themeTint="D9"/>
          <w:spacing w:val="2"/>
          <w:sz w:val="26"/>
          <w:szCs w:val="26"/>
        </w:rPr>
        <w:t xml:space="preserve"> Profile:</w:t>
      </w:r>
    </w:p>
    <w:p w14:paraId="2503410D" w14:textId="2CD35807" w:rsidR="006748D8" w:rsidRPr="006748D8" w:rsidRDefault="006748D8" w:rsidP="00141E85">
      <w:pPr>
        <w:shd w:val="clear" w:color="auto" w:fill="F9F9F9"/>
        <w:spacing w:before="100" w:beforeAutospacing="1" w:after="100" w:afterAutospacing="1" w:line="300" w:lineRule="atLeast"/>
        <w:ind w:firstLine="720"/>
        <w:rPr>
          <w:rFonts w:ascii="Arial" w:eastAsia="Times New Roman" w:hAnsi="Arial" w:cs="Arial"/>
          <w:color w:val="262626" w:themeColor="text1" w:themeTint="D9"/>
          <w:spacing w:val="2"/>
          <w:sz w:val="26"/>
          <w:szCs w:val="26"/>
          <w:lang w:val="en-IN"/>
        </w:rPr>
      </w:pPr>
      <w:r w:rsidRPr="006748D8">
        <w:rPr>
          <w:rFonts w:ascii="Arial" w:eastAsia="Times New Roman" w:hAnsi="Arial" w:cs="Arial"/>
          <w:color w:val="262626" w:themeColor="text1" w:themeTint="D9"/>
          <w:spacing w:val="2"/>
          <w:sz w:val="26"/>
          <w:szCs w:val="26"/>
        </w:rPr>
        <w:t>D</w:t>
      </w:r>
      <w:r w:rsidRPr="00141E85">
        <w:rPr>
          <w:rFonts w:ascii="Arial" w:eastAsia="Times New Roman" w:hAnsi="Arial" w:cs="Arial"/>
          <w:color w:val="262626" w:themeColor="text1" w:themeTint="D9"/>
          <w:spacing w:val="2"/>
          <w:sz w:val="26"/>
          <w:szCs w:val="26"/>
        </w:rPr>
        <w:t xml:space="preserve">ubai </w:t>
      </w:r>
      <w:r w:rsidRPr="006748D8">
        <w:rPr>
          <w:rFonts w:ascii="Arial" w:eastAsia="Times New Roman" w:hAnsi="Arial" w:cs="Arial"/>
          <w:color w:val="262626" w:themeColor="text1" w:themeTint="D9"/>
          <w:spacing w:val="2"/>
          <w:sz w:val="26"/>
          <w:szCs w:val="26"/>
        </w:rPr>
        <w:t>I</w:t>
      </w:r>
      <w:r w:rsidRPr="00141E85">
        <w:rPr>
          <w:rFonts w:ascii="Arial" w:eastAsia="Times New Roman" w:hAnsi="Arial" w:cs="Arial"/>
          <w:color w:val="262626" w:themeColor="text1" w:themeTint="D9"/>
          <w:spacing w:val="2"/>
          <w:sz w:val="26"/>
          <w:szCs w:val="26"/>
        </w:rPr>
        <w:t xml:space="preserve">slamic </w:t>
      </w:r>
      <w:r w:rsidRPr="006748D8">
        <w:rPr>
          <w:rFonts w:ascii="Arial" w:eastAsia="Times New Roman" w:hAnsi="Arial" w:cs="Arial"/>
          <w:color w:val="262626" w:themeColor="text1" w:themeTint="D9"/>
          <w:spacing w:val="2"/>
          <w:sz w:val="26"/>
          <w:szCs w:val="26"/>
        </w:rPr>
        <w:t>B</w:t>
      </w:r>
      <w:r w:rsidRPr="00141E85">
        <w:rPr>
          <w:rFonts w:ascii="Arial" w:eastAsia="Times New Roman" w:hAnsi="Arial" w:cs="Arial"/>
          <w:color w:val="262626" w:themeColor="text1" w:themeTint="D9"/>
          <w:spacing w:val="2"/>
          <w:sz w:val="26"/>
          <w:szCs w:val="26"/>
        </w:rPr>
        <w:t>ank</w:t>
      </w:r>
      <w:r w:rsidRPr="006748D8">
        <w:rPr>
          <w:rFonts w:ascii="Arial" w:eastAsia="Times New Roman" w:hAnsi="Arial" w:cs="Arial"/>
          <w:color w:val="262626" w:themeColor="text1" w:themeTint="D9"/>
          <w:spacing w:val="2"/>
          <w:sz w:val="26"/>
          <w:szCs w:val="26"/>
        </w:rPr>
        <w:t xml:space="preserve"> is a leading Banking organization in the Escrow domain with biggest clients like EMAAR, </w:t>
      </w:r>
      <w:proofErr w:type="spellStart"/>
      <w:r w:rsidRPr="006748D8">
        <w:rPr>
          <w:rFonts w:ascii="Arial" w:eastAsia="Times New Roman" w:hAnsi="Arial" w:cs="Arial"/>
          <w:color w:val="262626" w:themeColor="text1" w:themeTint="D9"/>
          <w:spacing w:val="2"/>
          <w:sz w:val="26"/>
          <w:szCs w:val="26"/>
        </w:rPr>
        <w:t>Hyati</w:t>
      </w:r>
      <w:proofErr w:type="spellEnd"/>
      <w:r w:rsidRPr="006748D8">
        <w:rPr>
          <w:rFonts w:ascii="Arial" w:eastAsia="Times New Roman" w:hAnsi="Arial" w:cs="Arial"/>
          <w:color w:val="262626" w:themeColor="text1" w:themeTint="D9"/>
          <w:spacing w:val="2"/>
          <w:sz w:val="26"/>
          <w:szCs w:val="26"/>
        </w:rPr>
        <w:t xml:space="preserve"> etc. It is managing its business in a way that creates value for customers, shareholders, employees and the communities in which it operates.</w:t>
      </w:r>
    </w:p>
    <w:p w14:paraId="33377891" w14:textId="1AE93C89" w:rsidR="00141E85" w:rsidRDefault="006748D8" w:rsidP="00141E85">
      <w:pPr>
        <w:shd w:val="clear" w:color="auto" w:fill="F9F9F9"/>
        <w:spacing w:before="100" w:beforeAutospacing="1" w:after="100" w:afterAutospacing="1" w:line="300" w:lineRule="atLeast"/>
        <w:ind w:firstLine="720"/>
        <w:rPr>
          <w:rFonts w:ascii="Arial" w:eastAsia="Times New Roman" w:hAnsi="Arial" w:cs="Arial"/>
          <w:color w:val="262626" w:themeColor="text1" w:themeTint="D9"/>
          <w:spacing w:val="2"/>
          <w:sz w:val="26"/>
          <w:szCs w:val="26"/>
        </w:rPr>
      </w:pPr>
      <w:r w:rsidRPr="00141E85">
        <w:rPr>
          <w:rFonts w:ascii="Arial" w:eastAsia="Times New Roman" w:hAnsi="Arial" w:cs="Arial"/>
          <w:color w:val="262626" w:themeColor="text1" w:themeTint="D9"/>
          <w:spacing w:val="2"/>
          <w:sz w:val="26"/>
          <w:szCs w:val="26"/>
        </w:rPr>
        <w:t>Established in 1975, Dubai Islamic Bank is the largest Islamic bank in the UAE by assets and a public joint stock company listed on the Dubai Financial Market. Spearheading the evolution of the global Islamic finance industry, DIB is also the world’s first full service Islamic bank and the third largest Islamic bank in the world. The Bank currently operates 90 branches across the UAE, is present in seven markets worldwide</w:t>
      </w:r>
      <w:r w:rsidR="00141E85">
        <w:rPr>
          <w:rFonts w:ascii="Arial" w:eastAsia="Times New Roman" w:hAnsi="Arial" w:cs="Arial"/>
          <w:color w:val="262626" w:themeColor="text1" w:themeTint="D9"/>
          <w:spacing w:val="2"/>
          <w:sz w:val="26"/>
          <w:szCs w:val="26"/>
        </w:rPr>
        <w:t>.</w:t>
      </w:r>
    </w:p>
    <w:p w14:paraId="00C421ED" w14:textId="77777777" w:rsidR="009778E0" w:rsidRPr="00141E85" w:rsidRDefault="009778E0" w:rsidP="00141E85">
      <w:pPr>
        <w:shd w:val="clear" w:color="auto" w:fill="F9F9F9"/>
        <w:spacing w:before="100" w:beforeAutospacing="1" w:after="100" w:afterAutospacing="1" w:line="300" w:lineRule="atLeast"/>
        <w:ind w:firstLine="720"/>
        <w:rPr>
          <w:rFonts w:ascii="Arial" w:eastAsia="Times New Roman" w:hAnsi="Arial" w:cs="Arial"/>
          <w:color w:val="262626" w:themeColor="text1" w:themeTint="D9"/>
          <w:spacing w:val="2"/>
          <w:sz w:val="26"/>
          <w:szCs w:val="26"/>
        </w:rPr>
      </w:pPr>
    </w:p>
    <w:p w14:paraId="66BF8131" w14:textId="1B7A6634" w:rsidR="00371D21" w:rsidRDefault="00371D21"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r w:rsidRPr="00141E85">
        <w:rPr>
          <w:rFonts w:ascii="Arial" w:eastAsia="Times New Roman" w:hAnsi="Arial" w:cs="Arial"/>
          <w:b/>
          <w:bCs/>
          <w:color w:val="262626" w:themeColor="text1" w:themeTint="D9"/>
          <w:spacing w:val="2"/>
          <w:sz w:val="26"/>
          <w:szCs w:val="26"/>
        </w:rPr>
        <w:t>Challenge:</w:t>
      </w:r>
    </w:p>
    <w:p w14:paraId="41AF8B51" w14:textId="00CF8D5A" w:rsidR="000F781A" w:rsidRPr="000F781A" w:rsidRDefault="000F781A" w:rsidP="00141E85">
      <w:p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rPr>
      </w:pPr>
      <w:r w:rsidRPr="000F781A">
        <w:rPr>
          <w:rFonts w:ascii="Arial" w:eastAsia="Times New Roman" w:hAnsi="Arial" w:cs="Arial"/>
          <w:color w:val="262626" w:themeColor="text1" w:themeTint="D9"/>
          <w:spacing w:val="2"/>
          <w:sz w:val="26"/>
          <w:szCs w:val="26"/>
        </w:rPr>
        <w:t>There are multiple challenges while working with RERA related stuff with traditional bank approach:</w:t>
      </w:r>
    </w:p>
    <w:p w14:paraId="6B025D90" w14:textId="4D66E41A"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Stability, Usability and acceptability of the current system</w:t>
      </w:r>
      <w:r w:rsidR="005B451E" w:rsidRPr="00141E85">
        <w:rPr>
          <w:rFonts w:ascii="Arial" w:eastAsia="Times New Roman" w:hAnsi="Arial" w:cs="Arial"/>
          <w:color w:val="262626" w:themeColor="text1" w:themeTint="D9"/>
          <w:spacing w:val="2"/>
          <w:sz w:val="26"/>
          <w:szCs w:val="26"/>
        </w:rPr>
        <w:t>.</w:t>
      </w:r>
    </w:p>
    <w:p w14:paraId="54CC5E1D" w14:textId="312BC279"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Business Operations was done through excel spreadsheets and manually on files-based documentation.</w:t>
      </w:r>
    </w:p>
    <w:p w14:paraId="3F4361AA" w14:textId="7F4985B8"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Lack of automated system to handle Escrow management</w:t>
      </w:r>
      <w:r w:rsidR="005B451E" w:rsidRPr="00141E85">
        <w:rPr>
          <w:rFonts w:ascii="Arial" w:eastAsia="Times New Roman" w:hAnsi="Arial" w:cs="Arial"/>
          <w:color w:val="262626" w:themeColor="text1" w:themeTint="D9"/>
          <w:spacing w:val="2"/>
          <w:sz w:val="26"/>
          <w:szCs w:val="26"/>
        </w:rPr>
        <w:t>.</w:t>
      </w:r>
    </w:p>
    <w:p w14:paraId="17069C83" w14:textId="018F38CF"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 xml:space="preserve">Lack of data flow/ interfacing between critical business processes and bank core systems. </w:t>
      </w:r>
    </w:p>
    <w:p w14:paraId="73AF1AB0" w14:textId="69AE07DA"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Hectic data collation for Yearly RERA report generation which regulatory agency.</w:t>
      </w:r>
    </w:p>
    <w:p w14:paraId="1F9FCE9F" w14:textId="1D54197F" w:rsidR="006748D8" w:rsidRPr="00141E85"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Fines imposed by RERA due to manual errors in RERA reports.</w:t>
      </w:r>
    </w:p>
    <w:p w14:paraId="3FD5EA2E" w14:textId="6E447CD9" w:rsidR="00371D21" w:rsidRPr="006748D8" w:rsidRDefault="006748D8" w:rsidP="00141E85">
      <w:pPr>
        <w:pStyle w:val="ListParagraph"/>
        <w:numPr>
          <w:ilvl w:val="0"/>
          <w:numId w:val="4"/>
        </w:numPr>
        <w:shd w:val="clear" w:color="auto" w:fill="F9F9F9"/>
        <w:spacing w:before="100" w:beforeAutospacing="1" w:after="100" w:afterAutospacing="1" w:line="300" w:lineRule="atLeast"/>
        <w:rPr>
          <w:rFonts w:ascii="Arial" w:eastAsia="Times New Roman" w:hAnsi="Arial" w:cs="Arial"/>
          <w:color w:val="4D4E4C"/>
          <w:spacing w:val="2"/>
          <w:sz w:val="26"/>
          <w:szCs w:val="26"/>
          <w:lang w:val="en-IN"/>
        </w:rPr>
      </w:pPr>
      <w:r w:rsidRPr="00141E85">
        <w:rPr>
          <w:rFonts w:ascii="Arial" w:eastAsia="Times New Roman" w:hAnsi="Arial" w:cs="Arial"/>
          <w:color w:val="262626" w:themeColor="text1" w:themeTint="D9"/>
          <w:spacing w:val="2"/>
          <w:sz w:val="26"/>
          <w:szCs w:val="26"/>
        </w:rPr>
        <w:t>Not compliant to RERA and SAMA standards</w:t>
      </w:r>
      <w:r w:rsidR="00096C05">
        <w:rPr>
          <w:rFonts w:ascii="Arial" w:eastAsia="Times New Roman" w:hAnsi="Arial" w:cs="Arial"/>
          <w:color w:val="4D4E4C"/>
          <w:spacing w:val="2"/>
          <w:sz w:val="26"/>
          <w:szCs w:val="26"/>
        </w:rPr>
        <w:t>.</w:t>
      </w:r>
    </w:p>
    <w:p w14:paraId="227F0C30"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3DE63FC3"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4F4EE6EB"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3BF17661"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0C85B936" w14:textId="20FD995E" w:rsidR="00371D21" w:rsidRDefault="00371D21"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r w:rsidRPr="00141E85">
        <w:rPr>
          <w:rFonts w:ascii="Arial" w:eastAsia="Times New Roman" w:hAnsi="Arial" w:cs="Arial"/>
          <w:b/>
          <w:bCs/>
          <w:color w:val="262626" w:themeColor="text1" w:themeTint="D9"/>
          <w:spacing w:val="2"/>
          <w:sz w:val="26"/>
          <w:szCs w:val="26"/>
        </w:rPr>
        <w:t>Evaluation:</w:t>
      </w:r>
    </w:p>
    <w:p w14:paraId="55EF8578" w14:textId="3E3ED9A1" w:rsidR="001E19E0" w:rsidRPr="001E19E0" w:rsidRDefault="001E19E0" w:rsidP="001E19E0">
      <w:pPr>
        <w:shd w:val="clear" w:color="auto" w:fill="F9F9F9"/>
        <w:spacing w:before="100" w:beforeAutospacing="1" w:after="100" w:afterAutospacing="1" w:line="300" w:lineRule="atLeast"/>
        <w:ind w:firstLine="360"/>
        <w:rPr>
          <w:rFonts w:ascii="Arial" w:eastAsia="Times New Roman" w:hAnsi="Arial" w:cs="Arial"/>
          <w:color w:val="262626" w:themeColor="text1" w:themeTint="D9"/>
          <w:spacing w:val="2"/>
          <w:sz w:val="26"/>
          <w:szCs w:val="26"/>
        </w:rPr>
      </w:pPr>
      <w:r w:rsidRPr="001E19E0">
        <w:rPr>
          <w:rFonts w:ascii="Arial" w:eastAsia="Times New Roman" w:hAnsi="Arial" w:cs="Arial"/>
          <w:color w:val="262626" w:themeColor="text1" w:themeTint="D9"/>
          <w:spacing w:val="2"/>
          <w:sz w:val="26"/>
          <w:szCs w:val="26"/>
        </w:rPr>
        <w:t xml:space="preserve">There are multiple challenges while maintaining the ESCROW account which is related to data storage, funds management, beneficiary related data collection to handle all the obstacles, Ascent </w:t>
      </w:r>
      <w:proofErr w:type="spellStart"/>
      <w:r w:rsidRPr="001E19E0">
        <w:rPr>
          <w:rFonts w:ascii="Arial" w:eastAsia="Times New Roman" w:hAnsi="Arial" w:cs="Arial"/>
          <w:color w:val="262626" w:themeColor="text1" w:themeTint="D9"/>
          <w:spacing w:val="2"/>
          <w:sz w:val="26"/>
          <w:szCs w:val="26"/>
        </w:rPr>
        <w:t>Promart</w:t>
      </w:r>
      <w:proofErr w:type="spellEnd"/>
      <w:r w:rsidRPr="001E19E0">
        <w:rPr>
          <w:rFonts w:ascii="Arial" w:eastAsia="Times New Roman" w:hAnsi="Arial" w:cs="Arial"/>
          <w:color w:val="262626" w:themeColor="text1" w:themeTint="D9"/>
          <w:spacing w:val="2"/>
          <w:sz w:val="26"/>
          <w:szCs w:val="26"/>
        </w:rPr>
        <w:t xml:space="preserve"> can be very useful which deals with multiple aspects of escrow account. </w:t>
      </w:r>
      <w:r>
        <w:rPr>
          <w:rFonts w:ascii="Arial" w:eastAsia="Times New Roman" w:hAnsi="Arial" w:cs="Arial"/>
          <w:color w:val="262626" w:themeColor="text1" w:themeTint="D9"/>
          <w:spacing w:val="2"/>
          <w:sz w:val="26"/>
          <w:szCs w:val="26"/>
        </w:rPr>
        <w:t>Some of them listed below:</w:t>
      </w:r>
    </w:p>
    <w:p w14:paraId="432156DE" w14:textId="2BB18032"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End to End Project/Owner/Developer Lifecycle Implementation</w:t>
      </w:r>
      <w:r w:rsidR="00096C05" w:rsidRPr="00141E85">
        <w:rPr>
          <w:rFonts w:ascii="Arial" w:eastAsia="Times New Roman" w:hAnsi="Arial" w:cs="Arial"/>
          <w:color w:val="262626" w:themeColor="text1" w:themeTint="D9"/>
          <w:spacing w:val="2"/>
          <w:sz w:val="26"/>
          <w:szCs w:val="26"/>
          <w:lang w:val="en-IN"/>
        </w:rPr>
        <w:t>.</w:t>
      </w:r>
    </w:p>
    <w:p w14:paraId="710E6301" w14:textId="538FD202"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Customer/Counterparty/Developer/Owner information can be set</w:t>
      </w:r>
      <w:r w:rsidR="00096C05" w:rsidRPr="00141E85">
        <w:rPr>
          <w:rFonts w:ascii="Arial" w:eastAsia="Times New Roman" w:hAnsi="Arial" w:cs="Arial"/>
          <w:color w:val="262626" w:themeColor="text1" w:themeTint="D9"/>
          <w:spacing w:val="2"/>
          <w:sz w:val="26"/>
          <w:szCs w:val="26"/>
        </w:rPr>
        <w:t>.</w:t>
      </w:r>
    </w:p>
    <w:p w14:paraId="4FF90DD4" w14:textId="31327601"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rPr>
        <w:t>Different Fee payments along with Cap locks with direct integration with the bank.</w:t>
      </w:r>
    </w:p>
    <w:p w14:paraId="20947095" w14:textId="47A48179"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 xml:space="preserve">Improved the operational effectiveness and efficiency in addition to increasing the visibility of information to the Bank’s top management to facilitate ongoing event monitoring and decision making. </w:t>
      </w:r>
    </w:p>
    <w:p w14:paraId="79AFD38D" w14:textId="4A025995"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 xml:space="preserve">Automated the Escrow Operations cycle (Project Onboard, Developer Onboard, Owner onboard, Unit Sales, Unit allocation, Deposit allocation, Automated Fees for different Developer Beneficiaries, Report generation etc.) </w:t>
      </w:r>
    </w:p>
    <w:p w14:paraId="6953B6BD" w14:textId="09A6B102" w:rsidR="006748D8" w:rsidRP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 xml:space="preserve">User-friendly interface with all necessary Dashboards and reports </w:t>
      </w:r>
    </w:p>
    <w:p w14:paraId="6E8DE4BA" w14:textId="07628DB2" w:rsidR="00141E85" w:rsidRDefault="006748D8" w:rsidP="00141E85">
      <w:pPr>
        <w:pStyle w:val="ListParagraph"/>
        <w:numPr>
          <w:ilvl w:val="0"/>
          <w:numId w:val="5"/>
        </w:num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Effective tracking and resolution</w:t>
      </w:r>
      <w:r w:rsidR="00B74811">
        <w:rPr>
          <w:rFonts w:ascii="Arial" w:eastAsia="Times New Roman" w:hAnsi="Arial" w:cs="Arial"/>
          <w:color w:val="262626" w:themeColor="text1" w:themeTint="D9"/>
          <w:spacing w:val="2"/>
          <w:sz w:val="26"/>
          <w:szCs w:val="26"/>
          <w:lang w:val="en-IN"/>
        </w:rPr>
        <w:t>.</w:t>
      </w:r>
    </w:p>
    <w:p w14:paraId="6AE28A01" w14:textId="42B31058" w:rsidR="00B74811" w:rsidRDefault="00B74811" w:rsidP="00B74811">
      <w:pPr>
        <w:pStyle w:val="ListParagraph"/>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p>
    <w:p w14:paraId="6A86E0B3" w14:textId="77777777" w:rsidR="00B74811" w:rsidRPr="00141E85" w:rsidRDefault="00B74811" w:rsidP="00B74811">
      <w:pPr>
        <w:pStyle w:val="ListParagraph"/>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bookmarkStart w:id="0" w:name="_GoBack"/>
      <w:bookmarkEnd w:id="0"/>
    </w:p>
    <w:p w14:paraId="011660A3" w14:textId="103223A3" w:rsidR="00371D21" w:rsidRPr="00141E85" w:rsidRDefault="00371D21" w:rsidP="00141E85">
      <w:p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b/>
          <w:bCs/>
          <w:color w:val="262626" w:themeColor="text1" w:themeTint="D9"/>
          <w:spacing w:val="2"/>
          <w:sz w:val="26"/>
          <w:szCs w:val="26"/>
        </w:rPr>
        <w:t>Solution:</w:t>
      </w:r>
    </w:p>
    <w:p w14:paraId="52860017" w14:textId="1C8392FA" w:rsidR="00371D21" w:rsidRPr="00141E85" w:rsidRDefault="00371D21" w:rsidP="00141E85">
      <w:pPr>
        <w:shd w:val="clear" w:color="auto" w:fill="F9F9F9"/>
        <w:spacing w:before="100" w:beforeAutospacing="1" w:after="100" w:afterAutospacing="1" w:line="300" w:lineRule="atLeast"/>
        <w:ind w:firstLine="720"/>
        <w:rPr>
          <w:rFonts w:ascii="Arial" w:eastAsia="Times New Roman" w:hAnsi="Arial" w:cs="Arial"/>
          <w:color w:val="262626" w:themeColor="text1" w:themeTint="D9"/>
          <w:spacing w:val="2"/>
          <w:sz w:val="26"/>
          <w:szCs w:val="26"/>
        </w:rPr>
      </w:pPr>
      <w:r w:rsidRPr="00141E85">
        <w:rPr>
          <w:rFonts w:ascii="Arial" w:eastAsia="Times New Roman" w:hAnsi="Arial" w:cs="Arial"/>
          <w:color w:val="262626" w:themeColor="text1" w:themeTint="D9"/>
          <w:spacing w:val="2"/>
          <w:sz w:val="26"/>
          <w:szCs w:val="26"/>
        </w:rPr>
        <w:t xml:space="preserve">With these criteria fully evaluated and met, </w:t>
      </w:r>
      <w:r w:rsidR="00096C05" w:rsidRPr="00141E85">
        <w:rPr>
          <w:rFonts w:ascii="Arial" w:eastAsia="Times New Roman" w:hAnsi="Arial" w:cs="Arial"/>
          <w:color w:val="262626" w:themeColor="text1" w:themeTint="D9"/>
          <w:spacing w:val="2"/>
          <w:sz w:val="26"/>
          <w:szCs w:val="26"/>
        </w:rPr>
        <w:t>DIB</w:t>
      </w:r>
      <w:r w:rsidRPr="00141E85">
        <w:rPr>
          <w:rFonts w:ascii="Arial" w:eastAsia="Times New Roman" w:hAnsi="Arial" w:cs="Arial"/>
          <w:color w:val="262626" w:themeColor="text1" w:themeTint="D9"/>
          <w:spacing w:val="2"/>
          <w:sz w:val="26"/>
          <w:szCs w:val="26"/>
        </w:rPr>
        <w:t xml:space="preserve"> selected </w:t>
      </w:r>
      <w:r w:rsidR="00096C05" w:rsidRPr="00141E85">
        <w:rPr>
          <w:rFonts w:ascii="Arial" w:eastAsia="Times New Roman" w:hAnsi="Arial" w:cs="Arial"/>
          <w:color w:val="262626" w:themeColor="text1" w:themeTint="D9"/>
          <w:spacing w:val="2"/>
          <w:sz w:val="26"/>
          <w:szCs w:val="26"/>
        </w:rPr>
        <w:t>Ascent</w:t>
      </w:r>
      <w:r w:rsidRPr="00141E85">
        <w:rPr>
          <w:rFonts w:ascii="Arial" w:eastAsia="Times New Roman" w:hAnsi="Arial" w:cs="Arial"/>
          <w:color w:val="262626" w:themeColor="text1" w:themeTint="D9"/>
          <w:spacing w:val="2"/>
          <w:sz w:val="26"/>
          <w:szCs w:val="26"/>
        </w:rPr>
        <w:t xml:space="preserve"> as its partner of choice. The bank opted for the </w:t>
      </w:r>
      <w:r w:rsidR="00096C05" w:rsidRPr="00141E85">
        <w:rPr>
          <w:rFonts w:ascii="Arial" w:eastAsia="Times New Roman" w:hAnsi="Arial" w:cs="Arial"/>
          <w:color w:val="262626" w:themeColor="text1" w:themeTint="D9"/>
          <w:spacing w:val="2"/>
          <w:sz w:val="26"/>
          <w:szCs w:val="26"/>
        </w:rPr>
        <w:t xml:space="preserve">Ascent </w:t>
      </w:r>
      <w:proofErr w:type="spellStart"/>
      <w:r w:rsidR="00096C05" w:rsidRPr="00141E85">
        <w:rPr>
          <w:rFonts w:ascii="Arial" w:eastAsia="Times New Roman" w:hAnsi="Arial" w:cs="Arial"/>
          <w:color w:val="262626" w:themeColor="text1" w:themeTint="D9"/>
          <w:spacing w:val="2"/>
          <w:sz w:val="26"/>
          <w:szCs w:val="26"/>
        </w:rPr>
        <w:t>Promart</w:t>
      </w:r>
      <w:proofErr w:type="spellEnd"/>
      <w:r w:rsidRPr="00141E85">
        <w:rPr>
          <w:rFonts w:ascii="Arial" w:eastAsia="Times New Roman" w:hAnsi="Arial" w:cs="Arial"/>
          <w:color w:val="262626" w:themeColor="text1" w:themeTint="D9"/>
          <w:spacing w:val="2"/>
          <w:sz w:val="26"/>
          <w:szCs w:val="26"/>
        </w:rPr>
        <w:t>™ software-as-a-service. The </w:t>
      </w:r>
      <w:r w:rsidR="00096C05" w:rsidRPr="00141E85">
        <w:rPr>
          <w:rFonts w:ascii="Arial" w:eastAsia="Times New Roman" w:hAnsi="Arial" w:cs="Arial"/>
          <w:color w:val="262626" w:themeColor="text1" w:themeTint="D9"/>
          <w:spacing w:val="2"/>
          <w:sz w:val="26"/>
          <w:szCs w:val="26"/>
        </w:rPr>
        <w:t>escrow</w:t>
      </w:r>
      <w:r w:rsidRPr="00141E85">
        <w:rPr>
          <w:rFonts w:ascii="Arial" w:eastAsia="Times New Roman" w:hAnsi="Arial" w:cs="Arial"/>
          <w:color w:val="262626" w:themeColor="text1" w:themeTint="D9"/>
          <w:spacing w:val="2"/>
          <w:sz w:val="26"/>
          <w:szCs w:val="26"/>
        </w:rPr>
        <w:t xml:space="preserve"> software solution was fully live within </w:t>
      </w:r>
      <w:r w:rsidR="00096C05" w:rsidRPr="00141E85">
        <w:rPr>
          <w:rFonts w:ascii="Arial" w:eastAsia="Times New Roman" w:hAnsi="Arial" w:cs="Arial"/>
          <w:color w:val="262626" w:themeColor="text1" w:themeTint="D9"/>
          <w:spacing w:val="2"/>
          <w:sz w:val="26"/>
          <w:szCs w:val="26"/>
        </w:rPr>
        <w:t>twelve</w:t>
      </w:r>
      <w:r w:rsidRPr="00141E85">
        <w:rPr>
          <w:rFonts w:ascii="Arial" w:eastAsia="Times New Roman" w:hAnsi="Arial" w:cs="Arial"/>
          <w:color w:val="262626" w:themeColor="text1" w:themeTint="D9"/>
          <w:spacing w:val="2"/>
          <w:sz w:val="26"/>
          <w:szCs w:val="26"/>
        </w:rPr>
        <w:t xml:space="preserve"> weeks of project start. It was very easy for users to adapt to </w:t>
      </w:r>
      <w:r w:rsidR="00096C05" w:rsidRPr="00141E85">
        <w:rPr>
          <w:rFonts w:ascii="Arial" w:eastAsia="Times New Roman" w:hAnsi="Arial" w:cs="Arial"/>
          <w:color w:val="262626" w:themeColor="text1" w:themeTint="D9"/>
          <w:spacing w:val="2"/>
          <w:sz w:val="26"/>
          <w:szCs w:val="26"/>
        </w:rPr>
        <w:t xml:space="preserve">Ascent </w:t>
      </w:r>
      <w:proofErr w:type="spellStart"/>
      <w:r w:rsidR="00096C05" w:rsidRPr="00141E85">
        <w:rPr>
          <w:rFonts w:ascii="Arial" w:eastAsia="Times New Roman" w:hAnsi="Arial" w:cs="Arial"/>
          <w:color w:val="262626" w:themeColor="text1" w:themeTint="D9"/>
          <w:spacing w:val="2"/>
          <w:sz w:val="26"/>
          <w:szCs w:val="26"/>
        </w:rPr>
        <w:t>Promart</w:t>
      </w:r>
      <w:proofErr w:type="spellEnd"/>
      <w:r w:rsidRPr="00141E85">
        <w:rPr>
          <w:rFonts w:ascii="Arial" w:eastAsia="Times New Roman" w:hAnsi="Arial" w:cs="Arial"/>
          <w:color w:val="262626" w:themeColor="text1" w:themeTint="D9"/>
          <w:spacing w:val="2"/>
          <w:sz w:val="26"/>
          <w:szCs w:val="26"/>
        </w:rPr>
        <w:t>™. They quickly discovered a solution that was very easy to operate and user-friendly.</w:t>
      </w:r>
    </w:p>
    <w:p w14:paraId="79BE5901" w14:textId="5B9B58CF" w:rsidR="00371D21" w:rsidRPr="00141E85" w:rsidRDefault="00141E85" w:rsidP="00141E85">
      <w:pPr>
        <w:shd w:val="clear" w:color="auto" w:fill="F9F9F9"/>
        <w:spacing w:before="100" w:beforeAutospacing="1" w:after="100" w:afterAutospacing="1" w:line="300" w:lineRule="atLeast"/>
        <w:ind w:firstLine="720"/>
        <w:rPr>
          <w:rFonts w:ascii="Arial" w:eastAsia="Times New Roman" w:hAnsi="Arial" w:cs="Arial"/>
          <w:color w:val="262626" w:themeColor="text1" w:themeTint="D9"/>
          <w:spacing w:val="2"/>
          <w:sz w:val="26"/>
          <w:szCs w:val="26"/>
        </w:rPr>
      </w:pPr>
      <w:proofErr w:type="spellStart"/>
      <w:r w:rsidRPr="00141E85">
        <w:rPr>
          <w:rFonts w:ascii="Arial" w:eastAsia="Times New Roman" w:hAnsi="Arial" w:cs="Arial"/>
          <w:color w:val="262626" w:themeColor="text1" w:themeTint="D9"/>
          <w:spacing w:val="2"/>
          <w:sz w:val="26"/>
          <w:szCs w:val="26"/>
        </w:rPr>
        <w:t>Promart</w:t>
      </w:r>
      <w:proofErr w:type="spellEnd"/>
      <w:r w:rsidR="00371D21" w:rsidRPr="00141E85">
        <w:rPr>
          <w:rFonts w:ascii="Arial" w:eastAsia="Times New Roman" w:hAnsi="Arial" w:cs="Arial"/>
          <w:color w:val="262626" w:themeColor="text1" w:themeTint="D9"/>
          <w:spacing w:val="2"/>
          <w:sz w:val="26"/>
          <w:szCs w:val="26"/>
        </w:rPr>
        <w:t xml:space="preserve">™ was deployed initially for the </w:t>
      </w:r>
      <w:r w:rsidRPr="00141E85">
        <w:rPr>
          <w:rFonts w:ascii="Arial" w:eastAsia="Times New Roman" w:hAnsi="Arial" w:cs="Arial"/>
          <w:color w:val="262626" w:themeColor="text1" w:themeTint="D9"/>
          <w:spacing w:val="2"/>
          <w:sz w:val="26"/>
          <w:szCs w:val="26"/>
        </w:rPr>
        <w:t>DIB</w:t>
      </w:r>
      <w:r w:rsidR="00371D21" w:rsidRPr="00141E85">
        <w:rPr>
          <w:rFonts w:ascii="Arial" w:eastAsia="Times New Roman" w:hAnsi="Arial" w:cs="Arial"/>
          <w:color w:val="262626" w:themeColor="text1" w:themeTint="D9"/>
          <w:spacing w:val="2"/>
          <w:sz w:val="26"/>
          <w:szCs w:val="26"/>
        </w:rPr>
        <w:t xml:space="preserve">’s </w:t>
      </w:r>
      <w:r w:rsidRPr="00141E85">
        <w:rPr>
          <w:rFonts w:ascii="Arial" w:eastAsia="Times New Roman" w:hAnsi="Arial" w:cs="Arial"/>
          <w:color w:val="262626" w:themeColor="text1" w:themeTint="D9"/>
          <w:spacing w:val="2"/>
          <w:sz w:val="26"/>
          <w:szCs w:val="26"/>
        </w:rPr>
        <w:t>RERA related transactions</w:t>
      </w:r>
      <w:r w:rsidR="00371D21" w:rsidRPr="00141E85">
        <w:rPr>
          <w:rFonts w:ascii="Arial" w:eastAsia="Times New Roman" w:hAnsi="Arial" w:cs="Arial"/>
          <w:color w:val="262626" w:themeColor="text1" w:themeTint="D9"/>
          <w:spacing w:val="2"/>
          <w:sz w:val="26"/>
          <w:szCs w:val="26"/>
        </w:rPr>
        <w:t xml:space="preserve">, a crucial </w:t>
      </w:r>
      <w:r w:rsidRPr="00141E85">
        <w:rPr>
          <w:rFonts w:ascii="Arial" w:eastAsia="Times New Roman" w:hAnsi="Arial" w:cs="Arial"/>
          <w:color w:val="262626" w:themeColor="text1" w:themeTint="D9"/>
          <w:spacing w:val="2"/>
          <w:sz w:val="26"/>
          <w:szCs w:val="26"/>
        </w:rPr>
        <w:t>section</w:t>
      </w:r>
      <w:r w:rsidR="00371D21" w:rsidRPr="00141E85">
        <w:rPr>
          <w:rFonts w:ascii="Arial" w:eastAsia="Times New Roman" w:hAnsi="Arial" w:cs="Arial"/>
          <w:color w:val="262626" w:themeColor="text1" w:themeTint="D9"/>
          <w:spacing w:val="2"/>
          <w:sz w:val="26"/>
          <w:szCs w:val="26"/>
        </w:rPr>
        <w:t xml:space="preserve"> for </w:t>
      </w:r>
      <w:r w:rsidRPr="00141E85">
        <w:rPr>
          <w:rFonts w:ascii="Arial" w:eastAsia="Times New Roman" w:hAnsi="Arial" w:cs="Arial"/>
          <w:color w:val="262626" w:themeColor="text1" w:themeTint="D9"/>
          <w:spacing w:val="2"/>
          <w:sz w:val="26"/>
          <w:szCs w:val="26"/>
        </w:rPr>
        <w:t>DIB</w:t>
      </w:r>
      <w:r w:rsidR="00371D21" w:rsidRPr="00141E85">
        <w:rPr>
          <w:rFonts w:ascii="Arial" w:eastAsia="Times New Roman" w:hAnsi="Arial" w:cs="Arial"/>
          <w:color w:val="262626" w:themeColor="text1" w:themeTint="D9"/>
          <w:spacing w:val="2"/>
          <w:sz w:val="26"/>
          <w:szCs w:val="26"/>
        </w:rPr>
        <w:t xml:space="preserve"> bank. </w:t>
      </w:r>
      <w:r w:rsidRPr="00141E85">
        <w:rPr>
          <w:rFonts w:ascii="Arial" w:eastAsia="Times New Roman" w:hAnsi="Arial" w:cs="Arial"/>
          <w:color w:val="262626" w:themeColor="text1" w:themeTint="D9"/>
          <w:spacing w:val="2"/>
          <w:sz w:val="26"/>
          <w:szCs w:val="26"/>
        </w:rPr>
        <w:t xml:space="preserve">It is helpful to gather all data from multiple sections like Developer, Buyer on one place. It is useful for tracking of inflow and outflow of money and keeping track on it. </w:t>
      </w:r>
    </w:p>
    <w:p w14:paraId="5FC517D6"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069F9F4C"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351936D6"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3956D4F6"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290A3169" w14:textId="77777777" w:rsidR="001E19E0" w:rsidRDefault="001E19E0" w:rsidP="00141E85">
      <w:pPr>
        <w:shd w:val="clear" w:color="auto" w:fill="F9F9F9"/>
        <w:spacing w:before="100" w:beforeAutospacing="1" w:after="100" w:afterAutospacing="1" w:line="300" w:lineRule="atLeast"/>
        <w:rPr>
          <w:rFonts w:ascii="Arial" w:eastAsia="Times New Roman" w:hAnsi="Arial" w:cs="Arial"/>
          <w:b/>
          <w:bCs/>
          <w:color w:val="262626" w:themeColor="text1" w:themeTint="D9"/>
          <w:spacing w:val="2"/>
          <w:sz w:val="26"/>
          <w:szCs w:val="26"/>
        </w:rPr>
      </w:pPr>
    </w:p>
    <w:p w14:paraId="16698130" w14:textId="5334BB81" w:rsidR="00371D21" w:rsidRPr="00141E85" w:rsidRDefault="00371D21" w:rsidP="00141E85">
      <w:pPr>
        <w:shd w:val="clear" w:color="auto" w:fill="F9F9F9"/>
        <w:spacing w:before="100" w:beforeAutospacing="1" w:after="100" w:afterAutospacing="1" w:line="300" w:lineRule="atLeast"/>
        <w:rPr>
          <w:rFonts w:ascii="Arial" w:eastAsia="Times New Roman" w:hAnsi="Arial" w:cs="Arial"/>
          <w:color w:val="262626" w:themeColor="text1" w:themeTint="D9"/>
          <w:spacing w:val="2"/>
          <w:sz w:val="26"/>
          <w:szCs w:val="26"/>
        </w:rPr>
      </w:pPr>
      <w:r w:rsidRPr="00141E85">
        <w:rPr>
          <w:rFonts w:ascii="Arial" w:eastAsia="Times New Roman" w:hAnsi="Arial" w:cs="Arial"/>
          <w:b/>
          <w:bCs/>
          <w:color w:val="262626" w:themeColor="text1" w:themeTint="D9"/>
          <w:spacing w:val="2"/>
          <w:sz w:val="26"/>
          <w:szCs w:val="26"/>
        </w:rPr>
        <w:t>Results:</w:t>
      </w:r>
    </w:p>
    <w:p w14:paraId="140697DA" w14:textId="46AFA9A2"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Regulatory Compliance achieved through this automation.</w:t>
      </w:r>
    </w:p>
    <w:p w14:paraId="5BFC3912" w14:textId="5C0B9054"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Enabled an Executive / Top Management view of the Escrow Management.</w:t>
      </w:r>
    </w:p>
    <w:p w14:paraId="76264E30" w14:textId="30D841F5"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Usability and accuracy much better than the legacy/ manual approach. Top Management is confident regarding organizational efficiency.</w:t>
      </w:r>
    </w:p>
    <w:p w14:paraId="369281CC" w14:textId="14FF210B"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 xml:space="preserve">Enabled quick and accurate data and information – at an enterprise level </w:t>
      </w:r>
    </w:p>
    <w:p w14:paraId="2D8A3A6A" w14:textId="64B0D324"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Automated Escrow processes like Payment, Deposit classification, Beneficiary registration, Retention amount processing</w:t>
      </w:r>
      <w:r w:rsidR="00096C05" w:rsidRPr="00141E85">
        <w:rPr>
          <w:rFonts w:ascii="Arial" w:eastAsia="Times New Roman" w:hAnsi="Arial" w:cs="Arial"/>
          <w:color w:val="262626" w:themeColor="text1" w:themeTint="D9"/>
          <w:spacing w:val="2"/>
          <w:sz w:val="26"/>
          <w:szCs w:val="26"/>
          <w:lang w:val="en-IN"/>
        </w:rPr>
        <w:t>.</w:t>
      </w:r>
    </w:p>
    <w:p w14:paraId="2AEFBD0A" w14:textId="54768B90"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Provided visibility of decision-making process</w:t>
      </w:r>
      <w:r w:rsidR="00096C05" w:rsidRPr="00141E85">
        <w:rPr>
          <w:rFonts w:ascii="Arial" w:eastAsia="Times New Roman" w:hAnsi="Arial" w:cs="Arial"/>
          <w:color w:val="262626" w:themeColor="text1" w:themeTint="D9"/>
          <w:spacing w:val="2"/>
          <w:sz w:val="26"/>
          <w:szCs w:val="26"/>
          <w:lang w:val="en-IN"/>
        </w:rPr>
        <w:t>.</w:t>
      </w:r>
    </w:p>
    <w:p w14:paraId="4A33FBE1" w14:textId="62D50188"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Enabled real time Payments/Deposits integrated with the Bank core</w:t>
      </w:r>
      <w:r w:rsidR="00096C05" w:rsidRPr="00141E85">
        <w:rPr>
          <w:rFonts w:ascii="Arial" w:eastAsia="Times New Roman" w:hAnsi="Arial" w:cs="Arial"/>
          <w:color w:val="262626" w:themeColor="text1" w:themeTint="D9"/>
          <w:spacing w:val="2"/>
          <w:sz w:val="26"/>
          <w:szCs w:val="26"/>
          <w:lang w:val="en-IN"/>
        </w:rPr>
        <w:t>.</w:t>
      </w:r>
    </w:p>
    <w:p w14:paraId="4752B902" w14:textId="20A89FAA" w:rsidR="006748D8"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Scales well from the smallest to the largest organizations</w:t>
      </w:r>
      <w:r w:rsidR="00096C05" w:rsidRPr="00141E85">
        <w:rPr>
          <w:rFonts w:ascii="Arial" w:eastAsia="Times New Roman" w:hAnsi="Arial" w:cs="Arial"/>
          <w:color w:val="262626" w:themeColor="text1" w:themeTint="D9"/>
          <w:spacing w:val="2"/>
          <w:sz w:val="26"/>
          <w:szCs w:val="26"/>
          <w:lang w:val="en-IN"/>
        </w:rPr>
        <w:t>.</w:t>
      </w:r>
    </w:p>
    <w:p w14:paraId="556BB1B3" w14:textId="69D68C83" w:rsidR="00371D21" w:rsidRPr="00141E85" w:rsidRDefault="006748D8" w:rsidP="00141E85">
      <w:pPr>
        <w:pStyle w:val="ListParagraph"/>
        <w:numPr>
          <w:ilvl w:val="0"/>
          <w:numId w:val="6"/>
        </w:numPr>
        <w:spacing w:before="100" w:beforeAutospacing="1" w:after="100" w:afterAutospacing="1" w:line="300" w:lineRule="atLeast"/>
        <w:rPr>
          <w:rFonts w:ascii="Arial" w:eastAsia="Times New Roman" w:hAnsi="Arial" w:cs="Arial"/>
          <w:color w:val="262626" w:themeColor="text1" w:themeTint="D9"/>
          <w:spacing w:val="2"/>
          <w:sz w:val="26"/>
          <w:szCs w:val="26"/>
          <w:lang w:val="en-IN"/>
        </w:rPr>
      </w:pPr>
      <w:r w:rsidRPr="00141E85">
        <w:rPr>
          <w:rFonts w:ascii="Arial" w:eastAsia="Times New Roman" w:hAnsi="Arial" w:cs="Arial"/>
          <w:color w:val="262626" w:themeColor="text1" w:themeTint="D9"/>
          <w:spacing w:val="2"/>
          <w:sz w:val="26"/>
          <w:szCs w:val="26"/>
          <w:lang w:val="en-IN"/>
        </w:rPr>
        <w:t>Automated Messaging and Email notification for reviewal and approval of different activities.</w:t>
      </w:r>
    </w:p>
    <w:sectPr w:rsidR="00371D21" w:rsidRPr="0014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0DB9"/>
    <w:multiLevelType w:val="multilevel"/>
    <w:tmpl w:val="4C1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F0AA9"/>
    <w:multiLevelType w:val="hybridMultilevel"/>
    <w:tmpl w:val="C5DAC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85ECC"/>
    <w:multiLevelType w:val="hybridMultilevel"/>
    <w:tmpl w:val="033AFF84"/>
    <w:lvl w:ilvl="0" w:tplc="0E16D49C">
      <w:start w:val="1"/>
      <w:numFmt w:val="bullet"/>
      <w:lvlText w:val=""/>
      <w:lvlJc w:val="left"/>
      <w:pPr>
        <w:tabs>
          <w:tab w:val="num" w:pos="720"/>
        </w:tabs>
        <w:ind w:left="720" w:hanging="360"/>
      </w:pPr>
      <w:rPr>
        <w:rFonts w:ascii="Wingdings" w:hAnsi="Wingdings" w:hint="default"/>
      </w:rPr>
    </w:lvl>
    <w:lvl w:ilvl="1" w:tplc="088C45BC" w:tentative="1">
      <w:start w:val="1"/>
      <w:numFmt w:val="bullet"/>
      <w:lvlText w:val=""/>
      <w:lvlJc w:val="left"/>
      <w:pPr>
        <w:tabs>
          <w:tab w:val="num" w:pos="1440"/>
        </w:tabs>
        <w:ind w:left="1440" w:hanging="360"/>
      </w:pPr>
      <w:rPr>
        <w:rFonts w:ascii="Wingdings" w:hAnsi="Wingdings" w:hint="default"/>
      </w:rPr>
    </w:lvl>
    <w:lvl w:ilvl="2" w:tplc="D4DA57B6" w:tentative="1">
      <w:start w:val="1"/>
      <w:numFmt w:val="bullet"/>
      <w:lvlText w:val=""/>
      <w:lvlJc w:val="left"/>
      <w:pPr>
        <w:tabs>
          <w:tab w:val="num" w:pos="2160"/>
        </w:tabs>
        <w:ind w:left="2160" w:hanging="360"/>
      </w:pPr>
      <w:rPr>
        <w:rFonts w:ascii="Wingdings" w:hAnsi="Wingdings" w:hint="default"/>
      </w:rPr>
    </w:lvl>
    <w:lvl w:ilvl="3" w:tplc="31F4AB86" w:tentative="1">
      <w:start w:val="1"/>
      <w:numFmt w:val="bullet"/>
      <w:lvlText w:val=""/>
      <w:lvlJc w:val="left"/>
      <w:pPr>
        <w:tabs>
          <w:tab w:val="num" w:pos="2880"/>
        </w:tabs>
        <w:ind w:left="2880" w:hanging="360"/>
      </w:pPr>
      <w:rPr>
        <w:rFonts w:ascii="Wingdings" w:hAnsi="Wingdings" w:hint="default"/>
      </w:rPr>
    </w:lvl>
    <w:lvl w:ilvl="4" w:tplc="AABEE206" w:tentative="1">
      <w:start w:val="1"/>
      <w:numFmt w:val="bullet"/>
      <w:lvlText w:val=""/>
      <w:lvlJc w:val="left"/>
      <w:pPr>
        <w:tabs>
          <w:tab w:val="num" w:pos="3600"/>
        </w:tabs>
        <w:ind w:left="3600" w:hanging="360"/>
      </w:pPr>
      <w:rPr>
        <w:rFonts w:ascii="Wingdings" w:hAnsi="Wingdings" w:hint="default"/>
      </w:rPr>
    </w:lvl>
    <w:lvl w:ilvl="5" w:tplc="99C811B8" w:tentative="1">
      <w:start w:val="1"/>
      <w:numFmt w:val="bullet"/>
      <w:lvlText w:val=""/>
      <w:lvlJc w:val="left"/>
      <w:pPr>
        <w:tabs>
          <w:tab w:val="num" w:pos="4320"/>
        </w:tabs>
        <w:ind w:left="4320" w:hanging="360"/>
      </w:pPr>
      <w:rPr>
        <w:rFonts w:ascii="Wingdings" w:hAnsi="Wingdings" w:hint="default"/>
      </w:rPr>
    </w:lvl>
    <w:lvl w:ilvl="6" w:tplc="05EEB516" w:tentative="1">
      <w:start w:val="1"/>
      <w:numFmt w:val="bullet"/>
      <w:lvlText w:val=""/>
      <w:lvlJc w:val="left"/>
      <w:pPr>
        <w:tabs>
          <w:tab w:val="num" w:pos="5040"/>
        </w:tabs>
        <w:ind w:left="5040" w:hanging="360"/>
      </w:pPr>
      <w:rPr>
        <w:rFonts w:ascii="Wingdings" w:hAnsi="Wingdings" w:hint="default"/>
      </w:rPr>
    </w:lvl>
    <w:lvl w:ilvl="7" w:tplc="A4AE3CB8" w:tentative="1">
      <w:start w:val="1"/>
      <w:numFmt w:val="bullet"/>
      <w:lvlText w:val=""/>
      <w:lvlJc w:val="left"/>
      <w:pPr>
        <w:tabs>
          <w:tab w:val="num" w:pos="5760"/>
        </w:tabs>
        <w:ind w:left="5760" w:hanging="360"/>
      </w:pPr>
      <w:rPr>
        <w:rFonts w:ascii="Wingdings" w:hAnsi="Wingdings" w:hint="default"/>
      </w:rPr>
    </w:lvl>
    <w:lvl w:ilvl="8" w:tplc="E37E0A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562E38"/>
    <w:multiLevelType w:val="hybridMultilevel"/>
    <w:tmpl w:val="14A66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C443A"/>
    <w:multiLevelType w:val="multilevel"/>
    <w:tmpl w:val="448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80C7C"/>
    <w:multiLevelType w:val="hybridMultilevel"/>
    <w:tmpl w:val="A87C2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D21"/>
    <w:rsid w:val="00096C05"/>
    <w:rsid w:val="000F781A"/>
    <w:rsid w:val="00141E85"/>
    <w:rsid w:val="001E19E0"/>
    <w:rsid w:val="00371D21"/>
    <w:rsid w:val="005B451E"/>
    <w:rsid w:val="006748D8"/>
    <w:rsid w:val="00822B14"/>
    <w:rsid w:val="009778E0"/>
    <w:rsid w:val="00B7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5EC6"/>
  <w15:chartTrackingRefBased/>
  <w15:docId w15:val="{53E18A80-9440-40B2-AF41-4E14CC3D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71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1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D21"/>
    <w:rPr>
      <w:rFonts w:ascii="Times New Roman" w:eastAsia="Times New Roman" w:hAnsi="Times New Roman" w:cs="Times New Roman"/>
      <w:b/>
      <w:bCs/>
      <w:sz w:val="36"/>
      <w:szCs w:val="36"/>
    </w:rPr>
  </w:style>
  <w:style w:type="character" w:styleId="Strong">
    <w:name w:val="Strong"/>
    <w:basedOn w:val="DefaultParagraphFont"/>
    <w:uiPriority w:val="22"/>
    <w:qFormat/>
    <w:rsid w:val="00371D21"/>
    <w:rPr>
      <w:b/>
      <w:bCs/>
    </w:rPr>
  </w:style>
  <w:style w:type="paragraph" w:styleId="NormalWeb">
    <w:name w:val="Normal (Web)"/>
    <w:basedOn w:val="Normal"/>
    <w:uiPriority w:val="99"/>
    <w:semiHidden/>
    <w:unhideWhenUsed/>
    <w:rsid w:val="00371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D21"/>
    <w:rPr>
      <w:color w:val="0000FF"/>
      <w:u w:val="single"/>
    </w:rPr>
  </w:style>
  <w:style w:type="character" w:styleId="Emphasis">
    <w:name w:val="Emphasis"/>
    <w:basedOn w:val="DefaultParagraphFont"/>
    <w:uiPriority w:val="20"/>
    <w:qFormat/>
    <w:rsid w:val="00371D21"/>
    <w:rPr>
      <w:i/>
      <w:iCs/>
    </w:rPr>
  </w:style>
  <w:style w:type="character" w:styleId="UnresolvedMention">
    <w:name w:val="Unresolved Mention"/>
    <w:basedOn w:val="DefaultParagraphFont"/>
    <w:uiPriority w:val="99"/>
    <w:semiHidden/>
    <w:unhideWhenUsed/>
    <w:rsid w:val="006748D8"/>
    <w:rPr>
      <w:color w:val="605E5C"/>
      <w:shd w:val="clear" w:color="auto" w:fill="E1DFDD"/>
    </w:rPr>
  </w:style>
  <w:style w:type="paragraph" w:styleId="ListParagraph">
    <w:name w:val="List Paragraph"/>
    <w:basedOn w:val="Normal"/>
    <w:uiPriority w:val="34"/>
    <w:qFormat/>
    <w:rsid w:val="0067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42128">
      <w:bodyDiv w:val="1"/>
      <w:marLeft w:val="0"/>
      <w:marRight w:val="0"/>
      <w:marTop w:val="0"/>
      <w:marBottom w:val="0"/>
      <w:divBdr>
        <w:top w:val="none" w:sz="0" w:space="0" w:color="auto"/>
        <w:left w:val="none" w:sz="0" w:space="0" w:color="auto"/>
        <w:bottom w:val="none" w:sz="0" w:space="0" w:color="auto"/>
        <w:right w:val="none" w:sz="0" w:space="0" w:color="auto"/>
      </w:divBdr>
    </w:div>
    <w:div w:id="759378309">
      <w:bodyDiv w:val="1"/>
      <w:marLeft w:val="0"/>
      <w:marRight w:val="0"/>
      <w:marTop w:val="0"/>
      <w:marBottom w:val="0"/>
      <w:divBdr>
        <w:top w:val="none" w:sz="0" w:space="0" w:color="auto"/>
        <w:left w:val="none" w:sz="0" w:space="0" w:color="auto"/>
        <w:bottom w:val="none" w:sz="0" w:space="0" w:color="auto"/>
        <w:right w:val="none" w:sz="0" w:space="0" w:color="auto"/>
      </w:divBdr>
    </w:div>
    <w:div w:id="1705862477">
      <w:bodyDiv w:val="1"/>
      <w:marLeft w:val="0"/>
      <w:marRight w:val="0"/>
      <w:marTop w:val="0"/>
      <w:marBottom w:val="0"/>
      <w:divBdr>
        <w:top w:val="none" w:sz="0" w:space="0" w:color="auto"/>
        <w:left w:val="none" w:sz="0" w:space="0" w:color="auto"/>
        <w:bottom w:val="none" w:sz="0" w:space="0" w:color="auto"/>
        <w:right w:val="none" w:sz="0" w:space="0" w:color="auto"/>
      </w:divBdr>
    </w:div>
    <w:div w:id="1955283855">
      <w:bodyDiv w:val="1"/>
      <w:marLeft w:val="0"/>
      <w:marRight w:val="0"/>
      <w:marTop w:val="0"/>
      <w:marBottom w:val="0"/>
      <w:divBdr>
        <w:top w:val="none" w:sz="0" w:space="0" w:color="auto"/>
        <w:left w:val="none" w:sz="0" w:space="0" w:color="auto"/>
        <w:bottom w:val="none" w:sz="0" w:space="0" w:color="auto"/>
        <w:right w:val="none" w:sz="0" w:space="0" w:color="auto"/>
      </w:divBdr>
      <w:divsChild>
        <w:div w:id="725446680">
          <w:marLeft w:val="360"/>
          <w:marRight w:val="0"/>
          <w:marTop w:val="120"/>
          <w:marBottom w:val="0"/>
          <w:divBdr>
            <w:top w:val="none" w:sz="0" w:space="0" w:color="auto"/>
            <w:left w:val="none" w:sz="0" w:space="0" w:color="auto"/>
            <w:bottom w:val="none" w:sz="0" w:space="0" w:color="auto"/>
            <w:right w:val="none" w:sz="0" w:space="0" w:color="auto"/>
          </w:divBdr>
        </w:div>
      </w:divsChild>
    </w:div>
    <w:div w:id="2084987396">
      <w:bodyDiv w:val="1"/>
      <w:marLeft w:val="0"/>
      <w:marRight w:val="0"/>
      <w:marTop w:val="0"/>
      <w:marBottom w:val="0"/>
      <w:divBdr>
        <w:top w:val="none" w:sz="0" w:space="0" w:color="auto"/>
        <w:left w:val="none" w:sz="0" w:space="0" w:color="auto"/>
        <w:bottom w:val="none" w:sz="0" w:space="0" w:color="auto"/>
        <w:right w:val="none" w:sz="0" w:space="0" w:color="auto"/>
      </w:divBdr>
      <w:divsChild>
        <w:div w:id="155419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5357-85A6-41FF-A8B0-470B9DAF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Nihar S.</cp:lastModifiedBy>
  <cp:revision>13</cp:revision>
  <dcterms:created xsi:type="dcterms:W3CDTF">2019-08-30T13:47:00Z</dcterms:created>
  <dcterms:modified xsi:type="dcterms:W3CDTF">2019-09-03T07:05:00Z</dcterms:modified>
</cp:coreProperties>
</file>