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EEAA" w14:textId="29F04009" w:rsidR="00371D21" w:rsidRPr="008F2225" w:rsidRDefault="00FC0FA3" w:rsidP="00141E85">
      <w:pPr>
        <w:shd w:val="clear" w:color="auto" w:fill="F9F9F9"/>
        <w:spacing w:before="100" w:beforeAutospacing="1" w:after="100" w:afterAutospacing="1" w:line="3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8F222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ICICI</w:t>
      </w:r>
      <w:r w:rsidR="00371D21" w:rsidRPr="008F222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Bank</w:t>
      </w:r>
    </w:p>
    <w:tbl>
      <w:tblPr>
        <w:tblW w:w="966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610"/>
      </w:tblGrid>
      <w:tr w:rsidR="00371D21" w:rsidRPr="000C3E64" w14:paraId="079E1455" w14:textId="77777777" w:rsidTr="00371D21">
        <w:tc>
          <w:tcPr>
            <w:tcW w:w="1050" w:type="dxa"/>
            <w:shd w:val="clear" w:color="auto" w:fill="F9F9F9"/>
            <w:hideMark/>
          </w:tcPr>
          <w:p w14:paraId="1BBCC494" w14:textId="77777777" w:rsidR="00371D21" w:rsidRPr="000C3E64" w:rsidRDefault="00371D21" w:rsidP="00141E8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A9A9A9"/>
                <w:sz w:val="24"/>
                <w:szCs w:val="24"/>
              </w:rPr>
            </w:pPr>
            <w:r w:rsidRPr="000C3E64">
              <w:rPr>
                <w:rFonts w:ascii="Arial" w:eastAsia="Times New Roman" w:hAnsi="Arial" w:cs="Arial"/>
                <w:color w:val="A9A9A9"/>
                <w:sz w:val="24"/>
                <w:szCs w:val="24"/>
              </w:rPr>
              <w:t>Industry: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225" w:type="dxa"/>
              <w:bottom w:w="15" w:type="dxa"/>
              <w:right w:w="15" w:type="dxa"/>
            </w:tcMar>
            <w:hideMark/>
          </w:tcPr>
          <w:p w14:paraId="33CE2CEB" w14:textId="77777777" w:rsidR="00371D21" w:rsidRPr="000C3E64" w:rsidRDefault="00371D21" w:rsidP="00141E8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A9A9A9"/>
                <w:sz w:val="24"/>
                <w:szCs w:val="24"/>
              </w:rPr>
            </w:pPr>
            <w:r w:rsidRPr="000C3E64">
              <w:rPr>
                <w:rFonts w:ascii="Arial" w:eastAsia="Times New Roman" w:hAnsi="Arial" w:cs="Arial"/>
                <w:color w:val="A9A9A9"/>
                <w:sz w:val="24"/>
                <w:szCs w:val="24"/>
              </w:rPr>
              <w:t>Banking</w:t>
            </w:r>
          </w:p>
        </w:tc>
      </w:tr>
      <w:tr w:rsidR="00371D21" w:rsidRPr="000C3E64" w14:paraId="1B6970EC" w14:textId="77777777" w:rsidTr="00371D21">
        <w:tc>
          <w:tcPr>
            <w:tcW w:w="1050" w:type="dxa"/>
            <w:shd w:val="clear" w:color="auto" w:fill="F9F9F9"/>
            <w:hideMark/>
          </w:tcPr>
          <w:p w14:paraId="567EB601" w14:textId="77777777" w:rsidR="00371D21" w:rsidRPr="000C3E64" w:rsidRDefault="00371D21" w:rsidP="00141E8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A9A9A9"/>
                <w:sz w:val="24"/>
                <w:szCs w:val="24"/>
              </w:rPr>
            </w:pPr>
            <w:r w:rsidRPr="000C3E64">
              <w:rPr>
                <w:rFonts w:ascii="Arial" w:eastAsia="Times New Roman" w:hAnsi="Arial" w:cs="Arial"/>
                <w:color w:val="A9A9A9"/>
                <w:sz w:val="24"/>
                <w:szCs w:val="24"/>
              </w:rPr>
              <w:t>Focus: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225" w:type="dxa"/>
              <w:bottom w:w="15" w:type="dxa"/>
              <w:right w:w="15" w:type="dxa"/>
            </w:tcMar>
            <w:hideMark/>
          </w:tcPr>
          <w:p w14:paraId="5D72258F" w14:textId="77777777" w:rsidR="00371D21" w:rsidRDefault="006748D8" w:rsidP="00141E8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A6A6A6" w:themeColor="background1" w:themeShade="A6"/>
                <w:spacing w:val="2"/>
                <w:sz w:val="24"/>
                <w:szCs w:val="24"/>
              </w:rPr>
            </w:pPr>
            <w:r w:rsidRPr="000C3E64">
              <w:rPr>
                <w:rFonts w:ascii="Arial" w:eastAsia="Times New Roman" w:hAnsi="Arial" w:cs="Arial"/>
                <w:color w:val="A6A6A6" w:themeColor="background1" w:themeShade="A6"/>
                <w:spacing w:val="2"/>
                <w:sz w:val="24"/>
                <w:szCs w:val="24"/>
              </w:rPr>
              <w:t>Escrow Domain</w:t>
            </w:r>
            <w:bookmarkStart w:id="0" w:name="_GoBack"/>
            <w:bookmarkEnd w:id="0"/>
          </w:p>
          <w:p w14:paraId="561915E2" w14:textId="49CD20DA" w:rsidR="004B0CF5" w:rsidRPr="000C3E64" w:rsidRDefault="004B0CF5" w:rsidP="00141E85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A9A9A9"/>
                <w:sz w:val="24"/>
                <w:szCs w:val="24"/>
              </w:rPr>
            </w:pPr>
          </w:p>
        </w:tc>
      </w:tr>
    </w:tbl>
    <w:p w14:paraId="371DBDD7" w14:textId="7D85C767" w:rsidR="00371D21" w:rsidRPr="000C3E64" w:rsidRDefault="006748D8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  <w:r w:rsidRPr="000C3E64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  <w:t>Bank</w:t>
      </w:r>
      <w:r w:rsidR="00371D21" w:rsidRPr="000C3E64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  <w:t xml:space="preserve"> Profile:</w:t>
      </w:r>
    </w:p>
    <w:p w14:paraId="0242CF82" w14:textId="2E4053AA" w:rsidR="00FC0FA3" w:rsidRPr="00FC0FA3" w:rsidRDefault="00FC0FA3" w:rsidP="00FC0FA3">
      <w:pPr>
        <w:shd w:val="clear" w:color="auto" w:fill="F9F9F9"/>
        <w:spacing w:before="100" w:beforeAutospacing="1" w:after="100" w:afterAutospacing="1" w:line="300" w:lineRule="atLeast"/>
        <w:ind w:firstLine="360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ICICI Bank is one of the Big Four banks of India. The bank has subsidiaries in the United Kingdom and Canada; branches in United States, Singapore, Bahrain, Hong Kong, Sri Lanka, Qatar, Oman, Dubai International Finance Centre, China and South Africa; and representative offices in United Arab Emirates, Bangladesh, Malaysia and Indonesia. </w:t>
      </w:r>
    </w:p>
    <w:p w14:paraId="5A70E9F4" w14:textId="38CC0BE2" w:rsidR="00FC0FA3" w:rsidRPr="00FC0FA3" w:rsidRDefault="00FC0FA3" w:rsidP="00FC0FA3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It facilitates wide range of transactions:</w:t>
      </w:r>
    </w:p>
    <w:p w14:paraId="496F4B7C" w14:textId="74D65A13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Sale purchase transactions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4DAFA80A" w14:textId="5E4A8961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Real estate debt transactions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66CE7939" w14:textId="6C853F74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Revenue/ profit sharing arrangements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1A0D67A3" w14:textId="4EE03096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Mergers and acquisitions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0F4D8939" w14:textId="09B4D69E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Project financing and lending arrangements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7F1C268A" w14:textId="7EF2EB40" w:rsidR="00FC0FA3" w:rsidRPr="000C3E64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Trust and retention transactions.</w:t>
      </w:r>
    </w:p>
    <w:p w14:paraId="745C4B77" w14:textId="77777777" w:rsidR="00FC0FA3" w:rsidRPr="00FC0FA3" w:rsidRDefault="00FC0FA3" w:rsidP="00FC0FA3">
      <w:p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Bank’s value proposition for Escrow Market:</w:t>
      </w:r>
    </w:p>
    <w:p w14:paraId="13C80EBE" w14:textId="3053EEBA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Dedicated product, legal and operations team to structure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</w:t>
      </w: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requirements and quick turnaround for implementation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7CEA41E5" w14:textId="04EF4E57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Simplified documentation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41EEFB35" w14:textId="6B9D031F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Customer Single login view access for accounts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0827F467" w14:textId="018D99DA" w:rsidR="00FC0FA3" w:rsidRPr="00FC0FA3" w:rsidRDefault="00FC0FA3" w:rsidP="00FC0FA3">
      <w:pPr>
        <w:numPr>
          <w:ilvl w:val="1"/>
          <w:numId w:val="7"/>
        </w:numPr>
        <w:shd w:val="clear" w:color="auto" w:fill="F9F9F9"/>
        <w:spacing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Expertise in regulatory and compliance advisory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00C421ED" w14:textId="77777777" w:rsidR="009778E0" w:rsidRPr="000C3E64" w:rsidRDefault="009778E0" w:rsidP="00FC0FA3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</w:p>
    <w:p w14:paraId="253974B4" w14:textId="77777777" w:rsidR="000C3E64" w:rsidRDefault="000C3E64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110CF637" w14:textId="77777777" w:rsidR="000C3E64" w:rsidRDefault="000C3E64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0C734B5E" w14:textId="77777777" w:rsidR="000C3E64" w:rsidRDefault="000C3E64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4A6393B9" w14:textId="77777777" w:rsidR="000C3E64" w:rsidRDefault="000C3E64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19531904" w14:textId="77777777" w:rsidR="000C3E64" w:rsidRDefault="000C3E64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4A3D41ED" w14:textId="77777777" w:rsidR="000C3E64" w:rsidRDefault="000C3E64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66BF8131" w14:textId="23F35CD6" w:rsidR="00371D21" w:rsidRPr="000C3E64" w:rsidRDefault="00371D21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  <w:r w:rsidRPr="000C3E64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  <w:t>Challenge:</w:t>
      </w:r>
    </w:p>
    <w:p w14:paraId="41AF8B51" w14:textId="1BF079FD" w:rsidR="000F781A" w:rsidRPr="000C3E64" w:rsidRDefault="000F781A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There are multiple challenges while working with related stuff with traditional bank approach:</w:t>
      </w:r>
    </w:p>
    <w:p w14:paraId="1CD849DD" w14:textId="6B6634CE" w:rsidR="00FC0FA3" w:rsidRPr="000C3E64" w:rsidRDefault="00FC0FA3" w:rsidP="00FC0FA3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Business Operations was done through excel spreadsheets and manually on files-based documentation.</w:t>
      </w:r>
    </w:p>
    <w:p w14:paraId="30966F1D" w14:textId="0ADA62F5" w:rsidR="00FC0FA3" w:rsidRPr="000C3E64" w:rsidRDefault="00FC0FA3" w:rsidP="00FC0FA3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Lack of automated system to handle Escrow management</w:t>
      </w:r>
      <w:r w:rsidR="00066ECA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16317E7C" w14:textId="512F2C69" w:rsidR="00FC0FA3" w:rsidRPr="000C3E64" w:rsidRDefault="00FC0FA3" w:rsidP="00FC0FA3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Lack of data flow/ interfacing between critical business processes and bank core systems. </w:t>
      </w:r>
    </w:p>
    <w:p w14:paraId="03CE1173" w14:textId="2879B3AA" w:rsidR="00FC0FA3" w:rsidRPr="000C3E64" w:rsidRDefault="00FC0FA3" w:rsidP="00FC0FA3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Hectic data collation for Yearly/Monthly report generation for regulatory authority.</w:t>
      </w:r>
    </w:p>
    <w:p w14:paraId="13801750" w14:textId="16A44FD7" w:rsidR="00FC0FA3" w:rsidRPr="000C3E64" w:rsidRDefault="00FC0FA3" w:rsidP="00FC0FA3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Timely Fees collection from Escrow Deals for the Transactions, payments and other Escrow processes.</w:t>
      </w:r>
    </w:p>
    <w:p w14:paraId="340B03D2" w14:textId="069CFEC2" w:rsidR="00FC0FA3" w:rsidRPr="000C3E64" w:rsidRDefault="00FC0FA3" w:rsidP="00FC0FA3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No automated system (Standing Instructions) for Borrower/Lender, Contracts, TRA and other NBFC scenarios.</w:t>
      </w:r>
    </w:p>
    <w:p w14:paraId="3BF17661" w14:textId="4F570DC7" w:rsidR="001E19E0" w:rsidRDefault="001E19E0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59B86714" w14:textId="77777777" w:rsidR="004B0CF5" w:rsidRPr="000C3E64" w:rsidRDefault="004B0CF5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0C85B936" w14:textId="20FD995E" w:rsidR="00371D21" w:rsidRPr="000C3E64" w:rsidRDefault="00371D21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  <w:r w:rsidRPr="000C3E64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  <w:t>Evaluation:</w:t>
      </w:r>
    </w:p>
    <w:p w14:paraId="55EF8578" w14:textId="3E3ED9A1" w:rsidR="001E19E0" w:rsidRPr="000C3E64" w:rsidRDefault="001E19E0" w:rsidP="001E19E0">
      <w:pPr>
        <w:shd w:val="clear" w:color="auto" w:fill="F9F9F9"/>
        <w:spacing w:before="100" w:beforeAutospacing="1" w:after="100" w:afterAutospacing="1" w:line="300" w:lineRule="atLeast"/>
        <w:ind w:firstLine="360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There are multiple challenges while maintaining the ESCROW account which is related to data storage, funds management, beneficiary related data collection to handle all the obstacles, Ascent </w:t>
      </w:r>
      <w:proofErr w:type="spellStart"/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Promart</w:t>
      </w:r>
      <w:proofErr w:type="spellEnd"/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can be very useful which deals with multiple aspects of escrow account. Some of them listed below:</w:t>
      </w:r>
    </w:p>
    <w:p w14:paraId="6544225B" w14:textId="444B6225" w:rsidR="00FC0FA3" w:rsidRPr="000C3E64" w:rsidRDefault="00FC0FA3" w:rsidP="00FC0FA3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End to End Deal Initiation/Creation/Approval Matrix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01E6DFF8" w14:textId="1B01014E" w:rsidR="00FC0FA3" w:rsidRPr="00FC0FA3" w:rsidRDefault="00FC0FA3" w:rsidP="00FC0FA3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Linking Customer/Counterparty/Beneficiaries to Deals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112AD795" w14:textId="3959C79B" w:rsidR="00FC0FA3" w:rsidRPr="00FC0FA3" w:rsidRDefault="00FC0FA3" w:rsidP="00FC0FA3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Automated Recurring Fees/Payments with configurable setup through Standing Instructions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.</w:t>
      </w:r>
    </w:p>
    <w:p w14:paraId="339D223C" w14:textId="6F2F1C77" w:rsidR="00FC0FA3" w:rsidRPr="00FC0FA3" w:rsidRDefault="00FC0FA3" w:rsidP="00FC0FA3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Improved the operational effectiveness and efficiency in addition to increasing the visibility of information to the Bank’s top management to facilitate ongoing event monitoring and decision making</w:t>
      </w:r>
      <w:r w:rsidR="00066ECA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2E371DA2" w14:textId="23710ED3" w:rsidR="00FC0FA3" w:rsidRPr="00FC0FA3" w:rsidRDefault="00FC0FA3" w:rsidP="00FC0FA3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Automated the Escrow Operations cycle (Deal Onboard, Customer/Counter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 xml:space="preserve"> </w:t>
      </w: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Party Onboard, Automated FD opening, Investment options, Automated Fees for different Developer Beneficiaries, Custom Report generation etc.)</w:t>
      </w:r>
      <w:r w:rsidR="00066ECA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13788E6B" w14:textId="2ABB5EEC" w:rsidR="00FC0FA3" w:rsidRPr="00FC0FA3" w:rsidRDefault="00FC0FA3" w:rsidP="00FC0FA3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User-friendly interface with all necessary Dashboards and reports</w:t>
      </w:r>
      <w:r w:rsidR="00066ECA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 xml:space="preserve"> </w:t>
      </w:r>
    </w:p>
    <w:p w14:paraId="12FC6C0D" w14:textId="638970DB" w:rsidR="00FC0FA3" w:rsidRPr="00FC0FA3" w:rsidRDefault="00FC0FA3" w:rsidP="00FC0FA3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FC0FA3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Effective tracking and resolution</w:t>
      </w:r>
      <w:r w:rsidR="00066ECA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6AE28A01" w14:textId="42B31058" w:rsidR="00B74811" w:rsidRPr="000C3E64" w:rsidRDefault="00B74811" w:rsidP="00B74811">
      <w:pPr>
        <w:pStyle w:val="ListParagraph"/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</w:p>
    <w:p w14:paraId="6A86E0B3" w14:textId="77777777" w:rsidR="00B74811" w:rsidRPr="000C3E64" w:rsidRDefault="00B74811" w:rsidP="00B74811">
      <w:pPr>
        <w:pStyle w:val="ListParagraph"/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</w:p>
    <w:p w14:paraId="2D54C776" w14:textId="77777777" w:rsidR="000C3E64" w:rsidRDefault="000C3E64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</w:pPr>
    </w:p>
    <w:p w14:paraId="011660A3" w14:textId="2B17062D" w:rsidR="00371D21" w:rsidRPr="000C3E64" w:rsidRDefault="00371D21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C3E64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  <w:t>Solution:</w:t>
      </w:r>
    </w:p>
    <w:p w14:paraId="52860017" w14:textId="133D3C4A" w:rsidR="00371D21" w:rsidRPr="000C3E64" w:rsidRDefault="00371D21" w:rsidP="00141E85">
      <w:pPr>
        <w:shd w:val="clear" w:color="auto" w:fill="F9F9F9"/>
        <w:spacing w:before="100" w:beforeAutospacing="1" w:after="100" w:afterAutospacing="1" w:line="300" w:lineRule="atLeast"/>
        <w:ind w:firstLine="720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With these criteria fully evaluated and met, </w:t>
      </w:r>
      <w:r w:rsidR="00066ECA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ICICI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selected </w:t>
      </w:r>
      <w:r w:rsidR="00096C05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Ascent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as its partner of choice. The bank opted for the </w:t>
      </w:r>
      <w:r w:rsidR="00096C05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Ascent </w:t>
      </w:r>
      <w:proofErr w:type="spellStart"/>
      <w:r w:rsidR="00096C05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Promart</w:t>
      </w:r>
      <w:proofErr w:type="spellEnd"/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™ software-as-a-service. The </w:t>
      </w:r>
      <w:r w:rsidR="00096C05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escrow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software solution was fully live within </w:t>
      </w:r>
      <w:r w:rsidR="00096C05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twelve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weeks of project start. It was very easy for users to adapt to </w:t>
      </w:r>
      <w:r w:rsidR="00096C05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Ascent </w:t>
      </w:r>
      <w:proofErr w:type="spellStart"/>
      <w:r w:rsidR="00096C05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Promart</w:t>
      </w:r>
      <w:proofErr w:type="spellEnd"/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™. They quickly discovered a solution that was very easy to operate and user-friendly.</w:t>
      </w:r>
    </w:p>
    <w:p w14:paraId="290A3169" w14:textId="1D22C4CA" w:rsidR="001E19E0" w:rsidRDefault="00141E85" w:rsidP="00066ECA">
      <w:pPr>
        <w:shd w:val="clear" w:color="auto" w:fill="F9F9F9"/>
        <w:spacing w:before="100" w:beforeAutospacing="1" w:after="100" w:afterAutospacing="1" w:line="300" w:lineRule="atLeast"/>
        <w:ind w:firstLine="720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  <w:proofErr w:type="spellStart"/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Promart</w:t>
      </w:r>
      <w:proofErr w:type="spellEnd"/>
      <w:r w:rsidR="00371D21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™ was deployed initially for the </w:t>
      </w:r>
      <w:r w:rsidR="00066ECA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ICICI bank</w:t>
      </w:r>
      <w:r w:rsidR="00371D21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’s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</w:t>
      </w:r>
      <w:proofErr w:type="gramStart"/>
      <w:r w:rsidR="000C3E64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third party</w:t>
      </w:r>
      <w:proofErr w:type="gramEnd"/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transactions</w:t>
      </w:r>
      <w:r w:rsidR="00371D21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, a crucial 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section</w:t>
      </w:r>
      <w:r w:rsidR="00371D21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for </w:t>
      </w:r>
      <w:r w:rsidR="000C3E64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ICICI</w:t>
      </w:r>
      <w:r w:rsidR="00371D21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bank. 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It is helpful to gather all data from </w:t>
      </w:r>
      <w:r w:rsidR="000C3E64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seller, buyer, third party intermediaries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 </w:t>
      </w:r>
      <w:r w:rsidR="000C3E64"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>i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  <w:t xml:space="preserve">n one place. It is useful for tracking of inflow and outflow of money and keeping track on it. </w:t>
      </w:r>
    </w:p>
    <w:p w14:paraId="59E43F4A" w14:textId="245CE5C8" w:rsidR="004B0CF5" w:rsidRDefault="004B0CF5" w:rsidP="00066ECA">
      <w:pPr>
        <w:shd w:val="clear" w:color="auto" w:fill="F9F9F9"/>
        <w:spacing w:before="100" w:beforeAutospacing="1" w:after="100" w:afterAutospacing="1" w:line="300" w:lineRule="atLeast"/>
        <w:ind w:firstLine="720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</w:p>
    <w:p w14:paraId="1AE7F2B7" w14:textId="77777777" w:rsidR="004B0CF5" w:rsidRPr="000C3E64" w:rsidRDefault="004B0CF5" w:rsidP="00066ECA">
      <w:pPr>
        <w:shd w:val="clear" w:color="auto" w:fill="F9F9F9"/>
        <w:spacing w:before="100" w:beforeAutospacing="1" w:after="100" w:afterAutospacing="1" w:line="300" w:lineRule="atLeast"/>
        <w:ind w:firstLine="720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</w:p>
    <w:p w14:paraId="16698130" w14:textId="5334BB81" w:rsidR="00371D21" w:rsidRPr="000C3E64" w:rsidRDefault="00371D21" w:rsidP="00141E85">
      <w:pPr>
        <w:shd w:val="clear" w:color="auto" w:fill="F9F9F9"/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</w:rPr>
      </w:pPr>
      <w:r w:rsidRPr="000C3E64">
        <w:rPr>
          <w:rFonts w:ascii="Arial" w:eastAsia="Times New Roman" w:hAnsi="Arial" w:cs="Arial"/>
          <w:b/>
          <w:bCs/>
          <w:color w:val="262626" w:themeColor="text1" w:themeTint="D9"/>
          <w:spacing w:val="2"/>
          <w:sz w:val="24"/>
          <w:szCs w:val="24"/>
        </w:rPr>
        <w:t>Results:</w:t>
      </w:r>
    </w:p>
    <w:p w14:paraId="7E94494A" w14:textId="7997A0E4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Regulatory Compliance achieved through this automation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19CC8862" w14:textId="490439DF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Enabled an Executive / Top Management view of the Escrow Management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5698CBAD" w14:textId="4A4CA661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Usability and accuracy much better than the legacy/ manual approach. Top Management is confident regarding organizational efficiency.</w:t>
      </w:r>
    </w:p>
    <w:p w14:paraId="3ECA8EE7" w14:textId="34BDC123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Enabled quick and accurate data and information – at an enterprise level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7BD912B3" w14:textId="47959E21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Automated Escrow processes like Payment, Deposit classification, Beneficiary registration, Retention amount processing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51AF549D" w14:textId="51E03E57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Provided visibility of decision-making process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4E4DE0FA" w14:textId="64C04411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Enabled real time Payments/Deposits integrated with the Bank core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1CBCBDC6" w14:textId="22C46E18" w:rsidR="00066ECA" w:rsidRPr="00066ECA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Scales well from the smallest to the largest organizations</w:t>
      </w:r>
      <w:r w:rsidRPr="000C3E64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.</w:t>
      </w:r>
    </w:p>
    <w:p w14:paraId="556BB1B3" w14:textId="793A3D40" w:rsidR="00371D21" w:rsidRPr="000C3E64" w:rsidRDefault="00066ECA" w:rsidP="00066EC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</w:pPr>
      <w:r w:rsidRPr="00066ECA">
        <w:rPr>
          <w:rFonts w:ascii="Arial" w:eastAsia="Times New Roman" w:hAnsi="Arial" w:cs="Arial"/>
          <w:color w:val="262626" w:themeColor="text1" w:themeTint="D9"/>
          <w:spacing w:val="2"/>
          <w:sz w:val="24"/>
          <w:szCs w:val="24"/>
          <w:lang w:val="en-IN"/>
        </w:rPr>
        <w:t>Automated Messaging and Email notification for reviewal and approval of different activities.</w:t>
      </w:r>
    </w:p>
    <w:sectPr w:rsidR="00371D21" w:rsidRPr="000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BE0"/>
    <w:multiLevelType w:val="hybridMultilevel"/>
    <w:tmpl w:val="4516DD6C"/>
    <w:lvl w:ilvl="0" w:tplc="10C254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9A8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6F9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887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885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022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27F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662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2E0A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20DB9"/>
    <w:multiLevelType w:val="multilevel"/>
    <w:tmpl w:val="4C1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F0AA9"/>
    <w:multiLevelType w:val="hybridMultilevel"/>
    <w:tmpl w:val="C5DAC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85ECC"/>
    <w:multiLevelType w:val="hybridMultilevel"/>
    <w:tmpl w:val="033AFF84"/>
    <w:lvl w:ilvl="0" w:tplc="0E16D4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C45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DA57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4AB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EE2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811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EB5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E3C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0A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40C2C"/>
    <w:multiLevelType w:val="hybridMultilevel"/>
    <w:tmpl w:val="404E3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62E38"/>
    <w:multiLevelType w:val="hybridMultilevel"/>
    <w:tmpl w:val="14A66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C443A"/>
    <w:multiLevelType w:val="multilevel"/>
    <w:tmpl w:val="4480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A44CE"/>
    <w:multiLevelType w:val="hybridMultilevel"/>
    <w:tmpl w:val="6D7EE1CA"/>
    <w:lvl w:ilvl="0" w:tplc="9DB0F2F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80C7C"/>
    <w:multiLevelType w:val="hybridMultilevel"/>
    <w:tmpl w:val="A87C2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17F56"/>
    <w:multiLevelType w:val="hybridMultilevel"/>
    <w:tmpl w:val="B2061196"/>
    <w:lvl w:ilvl="0" w:tplc="E31A2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C1A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AB5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CC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E0B5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274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C95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E11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C71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D21"/>
    <w:rsid w:val="00066ECA"/>
    <w:rsid w:val="00096C05"/>
    <w:rsid w:val="000C3E64"/>
    <w:rsid w:val="000F781A"/>
    <w:rsid w:val="00141E85"/>
    <w:rsid w:val="001E19E0"/>
    <w:rsid w:val="00371D21"/>
    <w:rsid w:val="004B0CF5"/>
    <w:rsid w:val="005B451E"/>
    <w:rsid w:val="006748D8"/>
    <w:rsid w:val="00822B14"/>
    <w:rsid w:val="008F2225"/>
    <w:rsid w:val="009778E0"/>
    <w:rsid w:val="00B74811"/>
    <w:rsid w:val="00FC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5EC6"/>
  <w15:chartTrackingRefBased/>
  <w15:docId w15:val="{53E18A80-9440-40B2-AF41-4E14CC3D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1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1D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71D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1D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1D2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748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1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9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79ECF-79FE-4FB0-928D-B896E955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Nihar S.</cp:lastModifiedBy>
  <cp:revision>21</cp:revision>
  <dcterms:created xsi:type="dcterms:W3CDTF">2019-08-30T13:47:00Z</dcterms:created>
  <dcterms:modified xsi:type="dcterms:W3CDTF">2019-09-03T09:16:00Z</dcterms:modified>
</cp:coreProperties>
</file>