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username, password, email, is_admin, img_path)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Pet(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born, is_sterilized*, size*, type)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name, price, iva, in_stock, img_path, type, size*, min_age*, max_age*, for_sterilized*)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product_id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, title, comment, core)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ShoppingKart(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KartItem(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product_id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kart_id</w:t>
      </w:r>
      <w:r w:rsidDel="00000000" w:rsidR="00000000" w:rsidRPr="00000000">
        <w:rPr>
          <w:sz w:val="28"/>
          <w:szCs w:val="28"/>
          <w:rtl w:val="0"/>
        </w:rPr>
        <w:t xml:space="preserve">, quantity)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bill_info)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OrderItem(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product_id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order_id</w:t>
      </w:r>
      <w:r w:rsidDel="00000000" w:rsidR="00000000" w:rsidRPr="00000000">
        <w:rPr>
          <w:sz w:val="28"/>
          <w:szCs w:val="28"/>
          <w:rtl w:val="0"/>
        </w:rPr>
        <w:t xml:space="preserve">, quantity, price)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Scrivere i vincoli di integrità referenziale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Query del DB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