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852B" w14:textId="77777777" w:rsidR="00223EF5" w:rsidRPr="00326AED" w:rsidRDefault="00223EF5" w:rsidP="00223EF5">
      <w:pPr>
        <w:pStyle w:val="Title"/>
        <w:rPr>
          <w:color w:val="0F4761" w:themeColor="accent1" w:themeShade="BF"/>
          <w:spacing w:val="0"/>
          <w:kern w:val="2"/>
          <w:sz w:val="48"/>
          <w:szCs w:val="48"/>
          <w:u w:val="single"/>
        </w:rPr>
      </w:pPr>
      <w:r w:rsidRPr="00326AED">
        <w:rPr>
          <w:color w:val="0F4761" w:themeColor="accent1" w:themeShade="BF"/>
          <w:spacing w:val="0"/>
          <w:kern w:val="2"/>
          <w:sz w:val="48"/>
          <w:szCs w:val="48"/>
          <w:u w:val="single"/>
        </w:rPr>
        <w:t>Zomato Performance Dashboard - Insights</w:t>
      </w:r>
    </w:p>
    <w:p w14:paraId="05927367" w14:textId="2B094D33" w:rsidR="00223EF5" w:rsidRDefault="00223EF5" w:rsidP="00223EF5">
      <w:pPr>
        <w:pStyle w:val="Heading1"/>
      </w:pPr>
      <w:r>
        <w:t>Business Snapshot</w:t>
      </w:r>
    </w:p>
    <w:p w14:paraId="5E61F368" w14:textId="01FE1B8D" w:rsidR="00223EF5" w:rsidRDefault="00223EF5" w:rsidP="00223EF5">
      <w:r>
        <w:br/>
        <w:t>- Total Restaurants: 9,551</w:t>
      </w:r>
      <w:r>
        <w:br/>
        <w:t>- Cities Covered: 141</w:t>
      </w:r>
      <w:r>
        <w:br/>
        <w:t>- Localities Mapped: 1,208</w:t>
      </w:r>
      <w:r>
        <w:br/>
        <w:t>- Cuisines Offered: 145</w:t>
      </w:r>
      <w:r>
        <w:br/>
        <w:t xml:space="preserve">- Customer Votes: 14.98 </w:t>
      </w:r>
      <w:r w:rsidR="00512548">
        <w:t>million</w:t>
      </w:r>
      <w:r>
        <w:br/>
        <w:t>- Average Rating: 2.67 / 5.0</w:t>
      </w:r>
      <w:r>
        <w:br/>
        <w:t>- Average Cost for Two: $9.94</w:t>
      </w:r>
    </w:p>
    <w:p w14:paraId="6EC3D770" w14:textId="526C97D3" w:rsidR="00223EF5" w:rsidRDefault="00223EF5" w:rsidP="00223EF5">
      <w:pPr>
        <w:pStyle w:val="Heading1"/>
      </w:pPr>
      <w:r>
        <w:t>Key Metrics Analysis</w:t>
      </w:r>
    </w:p>
    <w:p w14:paraId="6A2CCAC9" w14:textId="77777777" w:rsidR="00223EF5" w:rsidRDefault="00223EF5" w:rsidP="00223EF5">
      <w:pPr>
        <w:pStyle w:val="Heading2"/>
      </w:pPr>
      <w:r>
        <w:t>1. Price Range &amp; Ratings</w:t>
      </w:r>
    </w:p>
    <w:p w14:paraId="355B133F" w14:textId="77777777" w:rsidR="00326AED" w:rsidRDefault="00223EF5" w:rsidP="00223EF5">
      <w:r>
        <w:br/>
        <w:t>- 80%+ restaurants fall under Price Range 1 &amp; 2.</w:t>
      </w:r>
      <w:r>
        <w:br/>
        <w:t xml:space="preserve">- Higher price range (3 &amp; 4) restaurants show significantly better ratings (≈4.0+), </w:t>
      </w:r>
      <w:r>
        <w:lastRenderedPageBreak/>
        <w:t>while Range 1 averages around 2.0.</w:t>
      </w:r>
    </w:p>
    <w:p w14:paraId="536C7ED3" w14:textId="6ADCD818" w:rsidR="00223EF5" w:rsidRDefault="00223EF5" w:rsidP="00223EF5">
      <w:r w:rsidRPr="000014D0">
        <w:rPr>
          <w:b/>
          <w:bCs/>
        </w:rPr>
        <w:t>Action</w:t>
      </w:r>
      <w:r>
        <w:t>: Implement service and quality uplift programs for low-range restaurants to boost ratings and customer satisfaction.</w:t>
      </w:r>
      <w:r>
        <w:br/>
      </w:r>
    </w:p>
    <w:p w14:paraId="044A3D85" w14:textId="77777777" w:rsidR="00223EF5" w:rsidRDefault="00223EF5" w:rsidP="00223EF5">
      <w:pPr>
        <w:pStyle w:val="Heading2"/>
      </w:pPr>
      <w:r>
        <w:t>2. Online Delivery &amp; Table Booking Adoption</w:t>
      </w:r>
    </w:p>
    <w:p w14:paraId="063AF8C7" w14:textId="77777777" w:rsidR="00326AED" w:rsidRDefault="00223EF5" w:rsidP="00223EF5">
      <w:r>
        <w:br/>
        <w:t>- Only 26% of restaurants offer online delivery.</w:t>
      </w:r>
      <w:r>
        <w:br/>
        <w:t>- A mere 12% support table booking.</w:t>
      </w:r>
    </w:p>
    <w:p w14:paraId="2F26DB21" w14:textId="5142AEDB" w:rsidR="00223EF5" w:rsidRDefault="00223EF5" w:rsidP="00223EF5">
      <w:r w:rsidRPr="000014D0">
        <w:rPr>
          <w:b/>
          <w:bCs/>
        </w:rPr>
        <w:t>Action</w:t>
      </w:r>
      <w:r>
        <w:t>: Drive platform value by incentivizing more restaurants to enable these features. Prioritize in cities with high dining demand and mobile penetration.</w:t>
      </w:r>
      <w:r>
        <w:br/>
      </w:r>
    </w:p>
    <w:p w14:paraId="00B1433B" w14:textId="77777777" w:rsidR="00223EF5" w:rsidRDefault="00223EF5" w:rsidP="00223EF5">
      <w:pPr>
        <w:pStyle w:val="Heading2"/>
      </w:pPr>
      <w:r>
        <w:t>3. Cuisine Distribution Insights</w:t>
      </w:r>
    </w:p>
    <w:p w14:paraId="1BAE1D58" w14:textId="77777777" w:rsidR="00326AED" w:rsidRDefault="00223EF5" w:rsidP="00223EF5">
      <w:r>
        <w:br/>
        <w:t>- Top Cuisines: North Indian, Continental, Ice Cream, Chinese, Fast Food.</w:t>
      </w:r>
      <w:r>
        <w:br/>
        <w:t>- Caribbean, Fusion, Nepalese) have limited presence.</w:t>
      </w:r>
      <w:r>
        <w:br/>
      </w:r>
    </w:p>
    <w:p w14:paraId="2B6CD16D" w14:textId="468C9E9F" w:rsidR="00223EF5" w:rsidRDefault="00223EF5" w:rsidP="00223EF5">
      <w:r w:rsidRPr="000014D0">
        <w:rPr>
          <w:b/>
          <w:bCs/>
        </w:rPr>
        <w:t>Action</w:t>
      </w:r>
      <w:r>
        <w:t>: Launch culinary diversity campaigns in foodie cities, partner with niche cuisine chefs, and build cuisine loyalty programs.</w:t>
      </w:r>
    </w:p>
    <w:p w14:paraId="08AB15C6" w14:textId="77777777" w:rsidR="00223EF5" w:rsidRDefault="00223EF5" w:rsidP="00223EF5">
      <w:pPr>
        <w:pStyle w:val="Heading2"/>
      </w:pPr>
      <w:r>
        <w:lastRenderedPageBreak/>
        <w:t>4. City-Level Performance</w:t>
      </w:r>
    </w:p>
    <w:p w14:paraId="3C72B5C5" w14:textId="77777777" w:rsidR="00956309" w:rsidRDefault="00223EF5" w:rsidP="009A002C">
      <w:r>
        <w:br/>
        <w:t>- Highest Ratings: Inner City, Taguig, Chennai, Kolkata – avg. &gt; 4.5.</w:t>
      </w:r>
      <w:r>
        <w:br/>
        <w:t>- Lowest Ratings: Faridabad, Ghaziabad – avg. &lt; 3.0.</w:t>
      </w:r>
      <w:r>
        <w:br/>
        <w:t>- Highest Cost Cities: Pasay, Taguig, Abu Dhabi – avg. &gt; $200.</w:t>
      </w:r>
      <w:r>
        <w:br/>
        <w:t>- Lowest Cost Cities: Indian Tier-2/3 cities – avg. &lt; $15.</w:t>
      </w:r>
    </w:p>
    <w:p w14:paraId="266EFD5F" w14:textId="46761E3C" w:rsidR="00223EF5" w:rsidRDefault="00223EF5" w:rsidP="009A002C">
      <w:r>
        <w:br/>
      </w:r>
      <w:r w:rsidRPr="000014D0">
        <w:rPr>
          <w:b/>
          <w:bCs/>
        </w:rPr>
        <w:t>Action</w:t>
      </w:r>
      <w:r>
        <w:t>: Geo-segment strategy: upscale offerings in premium cities, and volume or combo deals in price-sensitive markets.</w:t>
      </w:r>
    </w:p>
    <w:p w14:paraId="0AFAFCB2" w14:textId="533F6CA5" w:rsidR="00223EF5" w:rsidRDefault="00223EF5" w:rsidP="00223EF5">
      <w:pPr>
        <w:pStyle w:val="Heading1"/>
      </w:pPr>
      <w:r>
        <w:t xml:space="preserve"> Strategic Recommendations for Leadership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23EF5" w14:paraId="30ECAFA4" w14:textId="77777777" w:rsidTr="006F2871">
        <w:tc>
          <w:tcPr>
            <w:tcW w:w="2877" w:type="dxa"/>
          </w:tcPr>
          <w:p w14:paraId="59BCE5F5" w14:textId="77777777" w:rsidR="00223EF5" w:rsidRDefault="00223EF5" w:rsidP="00197900">
            <w:r>
              <w:t>Focus Area</w:t>
            </w:r>
          </w:p>
        </w:tc>
        <w:tc>
          <w:tcPr>
            <w:tcW w:w="2877" w:type="dxa"/>
          </w:tcPr>
          <w:p w14:paraId="3ECECD6B" w14:textId="77777777" w:rsidR="00223EF5" w:rsidRDefault="00223EF5" w:rsidP="00197900">
            <w:r>
              <w:t>Recommendation</w:t>
            </w:r>
          </w:p>
        </w:tc>
        <w:tc>
          <w:tcPr>
            <w:tcW w:w="2876" w:type="dxa"/>
          </w:tcPr>
          <w:p w14:paraId="1EAB6920" w14:textId="77777777" w:rsidR="00223EF5" w:rsidRDefault="00223EF5" w:rsidP="00197900">
            <w:r>
              <w:t>Expected Impact</w:t>
            </w:r>
          </w:p>
        </w:tc>
      </w:tr>
      <w:tr w:rsidR="00223EF5" w14:paraId="448E63C1" w14:textId="77777777" w:rsidTr="006F2871">
        <w:tc>
          <w:tcPr>
            <w:tcW w:w="2877" w:type="dxa"/>
          </w:tcPr>
          <w:p w14:paraId="031AF734" w14:textId="77777777" w:rsidR="00223EF5" w:rsidRDefault="00223EF5" w:rsidP="00197900">
            <w:r>
              <w:t>Rating Improvement</w:t>
            </w:r>
          </w:p>
        </w:tc>
        <w:tc>
          <w:tcPr>
            <w:tcW w:w="2877" w:type="dxa"/>
          </w:tcPr>
          <w:p w14:paraId="3C8A4A73" w14:textId="77777777" w:rsidR="00223EF5" w:rsidRDefault="00223EF5" w:rsidP="00197900">
            <w:r>
              <w:t>Support low-price range restaurants with hygiene, service &amp; digital training.</w:t>
            </w:r>
          </w:p>
        </w:tc>
        <w:tc>
          <w:tcPr>
            <w:tcW w:w="2876" w:type="dxa"/>
          </w:tcPr>
          <w:p w14:paraId="2056FF57" w14:textId="77777777" w:rsidR="00223EF5" w:rsidRDefault="00223EF5" w:rsidP="00197900">
            <w:r>
              <w:t>Enhanced brand trust &amp; user retention.</w:t>
            </w:r>
          </w:p>
        </w:tc>
      </w:tr>
      <w:tr w:rsidR="00223EF5" w14:paraId="2B226C00" w14:textId="77777777" w:rsidTr="006F2871">
        <w:tc>
          <w:tcPr>
            <w:tcW w:w="2877" w:type="dxa"/>
          </w:tcPr>
          <w:p w14:paraId="2595B0F7" w14:textId="77777777" w:rsidR="00223EF5" w:rsidRDefault="00223EF5" w:rsidP="00197900">
            <w:r>
              <w:t>Feature Adoption</w:t>
            </w:r>
          </w:p>
        </w:tc>
        <w:tc>
          <w:tcPr>
            <w:tcW w:w="2877" w:type="dxa"/>
          </w:tcPr>
          <w:p w14:paraId="7AB2C300" w14:textId="77777777" w:rsidR="00223EF5" w:rsidRDefault="00223EF5" w:rsidP="00197900">
            <w:r>
              <w:t>Target 30% growth in delivery-enabled restaurants via onboarding drives.</w:t>
            </w:r>
          </w:p>
        </w:tc>
        <w:tc>
          <w:tcPr>
            <w:tcW w:w="2876" w:type="dxa"/>
          </w:tcPr>
          <w:p w14:paraId="36EFDDF2" w14:textId="3C561817" w:rsidR="00223EF5" w:rsidRDefault="00223EF5" w:rsidP="00197900">
            <w:r>
              <w:t xml:space="preserve">Boosted order volumes &amp; app </w:t>
            </w:r>
            <w:r w:rsidR="0063421D">
              <w:t>engag</w:t>
            </w:r>
            <w:r w:rsidR="00FD2103">
              <w:t>ement</w:t>
            </w:r>
          </w:p>
        </w:tc>
      </w:tr>
      <w:tr w:rsidR="00223EF5" w14:paraId="4F5CBD18" w14:textId="77777777" w:rsidTr="006F2871">
        <w:tc>
          <w:tcPr>
            <w:tcW w:w="2877" w:type="dxa"/>
          </w:tcPr>
          <w:p w14:paraId="629602BB" w14:textId="77777777" w:rsidR="00223EF5" w:rsidRDefault="00223EF5" w:rsidP="00197900">
            <w:r>
              <w:t>Cuisine Expansion</w:t>
            </w:r>
          </w:p>
        </w:tc>
        <w:tc>
          <w:tcPr>
            <w:tcW w:w="2877" w:type="dxa"/>
          </w:tcPr>
          <w:p w14:paraId="2FF3ABC2" w14:textId="77777777" w:rsidR="00223EF5" w:rsidRDefault="00223EF5" w:rsidP="00197900">
            <w:r>
              <w:t>Run pilot for emerging cuisines in 5 cities with low variety scores.</w:t>
            </w:r>
          </w:p>
        </w:tc>
        <w:tc>
          <w:tcPr>
            <w:tcW w:w="2876" w:type="dxa"/>
          </w:tcPr>
          <w:p w14:paraId="3210F391" w14:textId="77777777" w:rsidR="00223EF5" w:rsidRDefault="00223EF5" w:rsidP="00197900">
            <w:r>
              <w:t>Increased order frequency &amp; discovery.</w:t>
            </w:r>
          </w:p>
        </w:tc>
      </w:tr>
      <w:tr w:rsidR="00223EF5" w14:paraId="56E011A6" w14:textId="77777777" w:rsidTr="006F2871">
        <w:tc>
          <w:tcPr>
            <w:tcW w:w="2877" w:type="dxa"/>
          </w:tcPr>
          <w:p w14:paraId="33CF1D22" w14:textId="77777777" w:rsidR="00223EF5" w:rsidRDefault="00223EF5" w:rsidP="00197900">
            <w:r>
              <w:t>Regional Pricing</w:t>
            </w:r>
          </w:p>
        </w:tc>
        <w:tc>
          <w:tcPr>
            <w:tcW w:w="2877" w:type="dxa"/>
          </w:tcPr>
          <w:p w14:paraId="2B9D6BE8" w14:textId="77777777" w:rsidR="00223EF5" w:rsidRDefault="00223EF5" w:rsidP="00197900">
            <w:r>
              <w:t>Introduce geo-specific pricing strategies &amp; loyalty bundles.</w:t>
            </w:r>
          </w:p>
        </w:tc>
        <w:tc>
          <w:tcPr>
            <w:tcW w:w="2876" w:type="dxa"/>
          </w:tcPr>
          <w:p w14:paraId="514172DB" w14:textId="77777777" w:rsidR="00223EF5" w:rsidRDefault="00223EF5" w:rsidP="00197900">
            <w:r>
              <w:t>Optimized conversion &amp; profitability.</w:t>
            </w:r>
          </w:p>
        </w:tc>
      </w:tr>
    </w:tbl>
    <w:p w14:paraId="1854C7B0" w14:textId="69AA0C06" w:rsidR="00223EF5" w:rsidRDefault="00223EF5" w:rsidP="009923E5">
      <w:r>
        <w:br/>
      </w:r>
    </w:p>
    <w:p w14:paraId="769F1FEA" w14:textId="77777777" w:rsidR="00A14583" w:rsidRPr="00223EF5" w:rsidRDefault="00A14583" w:rsidP="00223EF5"/>
    <w:sectPr w:rsidR="00A14583" w:rsidRPr="00223EF5" w:rsidSect="00223E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F5"/>
    <w:rsid w:val="000014D0"/>
    <w:rsid w:val="000072DF"/>
    <w:rsid w:val="000C5A22"/>
    <w:rsid w:val="000D357E"/>
    <w:rsid w:val="000E1A29"/>
    <w:rsid w:val="00124ABA"/>
    <w:rsid w:val="001F72C2"/>
    <w:rsid w:val="00223EF5"/>
    <w:rsid w:val="00326AED"/>
    <w:rsid w:val="003A3C5D"/>
    <w:rsid w:val="003B152C"/>
    <w:rsid w:val="00512548"/>
    <w:rsid w:val="005A0A02"/>
    <w:rsid w:val="005A38DF"/>
    <w:rsid w:val="0063421D"/>
    <w:rsid w:val="006B7711"/>
    <w:rsid w:val="006C4243"/>
    <w:rsid w:val="006F2871"/>
    <w:rsid w:val="0084625C"/>
    <w:rsid w:val="00895958"/>
    <w:rsid w:val="008D0B7F"/>
    <w:rsid w:val="00956309"/>
    <w:rsid w:val="009923E5"/>
    <w:rsid w:val="009A002C"/>
    <w:rsid w:val="00A02181"/>
    <w:rsid w:val="00A14583"/>
    <w:rsid w:val="00A30C51"/>
    <w:rsid w:val="00A40C39"/>
    <w:rsid w:val="00B55C11"/>
    <w:rsid w:val="00C11283"/>
    <w:rsid w:val="00DC108E"/>
    <w:rsid w:val="00E2006E"/>
    <w:rsid w:val="00EC0BF8"/>
    <w:rsid w:val="00F70FE9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6DC7"/>
  <w15:chartTrackingRefBased/>
  <w15:docId w15:val="{C057BE90-6930-47EF-B0D2-7796BD8B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02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E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E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F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F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F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F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F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F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F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3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F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3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F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3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F5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3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Numika Ulhas</dc:creator>
  <cp:keywords/>
  <dc:description/>
  <cp:lastModifiedBy>Shetty, Numika Ulhas</cp:lastModifiedBy>
  <cp:revision>28</cp:revision>
  <dcterms:created xsi:type="dcterms:W3CDTF">2025-06-14T06:00:00Z</dcterms:created>
  <dcterms:modified xsi:type="dcterms:W3CDTF">2025-06-14T11:21:00Z</dcterms:modified>
</cp:coreProperties>
</file>