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B96" w:rsidRDefault="00122B96" w:rsidP="00122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122B96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122B96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Alpha 6700 </w:t>
      </w:r>
      <w:bookmarkEnd w:id="0"/>
      <w:r w:rsidRPr="00122B96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Mirrorless Camera</w:t>
      </w:r>
    </w:p>
    <w:p w:rsidR="00122B96" w:rsidRPr="00122B96" w:rsidRDefault="00122B96" w:rsidP="00122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122B96" w:rsidRPr="00122B96" w:rsidRDefault="00122B96" w:rsidP="00122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B96">
        <w:rPr>
          <w:rFonts w:ascii="Times New Roman" w:eastAsia="Times New Roman" w:hAnsi="Times New Roman" w:cs="Times New Roman"/>
          <w:sz w:val="24"/>
          <w:szCs w:val="24"/>
        </w:rPr>
        <w:t xml:space="preserve">The Alpha 6700 is Sony’s flagship APS-C hybrid camera, blending high-resolution stills with professional-grade cinema features. Its most striking feature is the </w:t>
      </w:r>
      <w:r w:rsidRPr="00122B96">
        <w:rPr>
          <w:rFonts w:ascii="Times New Roman" w:eastAsia="Times New Roman" w:hAnsi="Times New Roman" w:cs="Times New Roman"/>
          <w:b/>
          <w:bCs/>
          <w:sz w:val="24"/>
          <w:szCs w:val="24"/>
        </w:rPr>
        <w:t>dedicated AI Processing Unit</w:t>
      </w:r>
      <w:r w:rsidRPr="00122B96">
        <w:rPr>
          <w:rFonts w:ascii="Times New Roman" w:eastAsia="Times New Roman" w:hAnsi="Times New Roman" w:cs="Times New Roman"/>
          <w:sz w:val="24"/>
          <w:szCs w:val="24"/>
        </w:rPr>
        <w:t>, which enables next-generation subject recognition and real-time tracking for humans, animals, and vehicles. It is a powerhouse for modern creators, offering 26.0MP clarity and oversampled 4K video in a remarkably compact, weather-sealed body.</w:t>
      </w:r>
    </w:p>
    <w:p w:rsidR="00122B96" w:rsidRPr="00122B96" w:rsidRDefault="00122B96" w:rsidP="00122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:rsidR="00122B96" w:rsidRPr="00122B96" w:rsidRDefault="00122B96" w:rsidP="00122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B96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</w:t>
      </w:r>
      <w:r w:rsidRPr="00122B9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22B96" w:rsidRDefault="00122B96" w:rsidP="00122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B96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26.0MP Exmor R Sensor:</w:t>
      </w:r>
      <w:r w:rsidRPr="00122B96">
        <w:rPr>
          <w:rFonts w:ascii="Times New Roman" w:eastAsia="Times New Roman" w:hAnsi="Times New Roman" w:cs="Times New Roman"/>
          <w:sz w:val="24"/>
          <w:szCs w:val="24"/>
        </w:rPr>
        <w:t xml:space="preserve"> Equipped with a back-illuminated APS-C sensor and the latest BIONZ XR engine, it delivers stunning image quality with 14+ stops of dynamic range. This combination ensures clean, low-noise performance even when shooting in challenging low-light environments.</w:t>
      </w:r>
    </w:p>
    <w:p w:rsidR="00122B96" w:rsidRPr="00122B96" w:rsidRDefault="00122B96" w:rsidP="00122B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22B96" w:rsidRDefault="00122B96" w:rsidP="00122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B96">
        <w:rPr>
          <w:rFonts w:ascii="Times New Roman" w:eastAsia="Times New Roman" w:hAnsi="Times New Roman" w:cs="Times New Roman"/>
          <w:b/>
          <w:bCs/>
          <w:sz w:val="24"/>
          <w:szCs w:val="24"/>
        </w:rPr>
        <w:t>Cinematic Video Performance:</w:t>
      </w:r>
      <w:r w:rsidRPr="00122B96">
        <w:rPr>
          <w:rFonts w:ascii="Times New Roman" w:eastAsia="Times New Roman" w:hAnsi="Times New Roman" w:cs="Times New Roman"/>
          <w:sz w:val="24"/>
          <w:szCs w:val="24"/>
        </w:rPr>
        <w:t xml:space="preserve"> Inheriting technology from Sony’s Cinema Line, it supports 4K recording at up to 120p and 10-bit 4:2:2 color depth. With S-Cinetone and S-Log3 profiles, it provides beautiful skin tones and professional color grading flexibility straight out of the camera.</w:t>
      </w:r>
    </w:p>
    <w:p w:rsidR="00122B96" w:rsidRDefault="00122B96" w:rsidP="00122B96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122B96" w:rsidRPr="00122B96" w:rsidRDefault="00122B96" w:rsidP="00122B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22B96" w:rsidRPr="00122B96" w:rsidRDefault="00122B96" w:rsidP="00122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B96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Focus &amp; Stabilization:</w:t>
      </w:r>
      <w:r w:rsidRPr="00122B96">
        <w:rPr>
          <w:rFonts w:ascii="Times New Roman" w:eastAsia="Times New Roman" w:hAnsi="Times New Roman" w:cs="Times New Roman"/>
          <w:sz w:val="24"/>
          <w:szCs w:val="24"/>
        </w:rPr>
        <w:t xml:space="preserve"> The AI-powered autofocus recognizes subjects with extreme precision, even when they are facing away. Combined with 5-axis in-body image stabilization (IBIS), it ensures sharp photos and smooth, cinematic handheld video without the need for a gimbal.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E0F3F"/>
    <w:multiLevelType w:val="multilevel"/>
    <w:tmpl w:val="5320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B96"/>
    <w:rsid w:val="00122B96"/>
    <w:rsid w:val="00B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919F49B"/>
  <w15:chartTrackingRefBased/>
  <w15:docId w15:val="{CD88D512-DFA6-40F4-8756-82BEEF06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2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2B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2B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B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22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1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2026-02-01T08:54:00Z</dcterms:created>
  <dcterms:modified xsi:type="dcterms:W3CDTF">2026-02-01T08:56:00Z</dcterms:modified>
</cp:coreProperties>
</file>