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Arial" w:hAnsi="Arial"/>
          <w:b w:val="0"/>
          <w:i/>
        </w:rPr>
        <w:t>Cập nhật: 09/05/2026</w:t>
      </w:r>
    </w:p>
    <w:p>
      <w:pPr>
        <w:pStyle w:val="Heading1"/>
      </w:pPr>
      <w:r>
        <w:rPr>
          <w:rFonts w:ascii="Arial" w:hAnsi="Arial"/>
          <w:b/>
          <w:color w:val="1D4ED8"/>
          <w:sz w:val="36"/>
        </w:rPr>
        <w:t>Cho Thuê Căn Hộ Novaland Phổ Quang: Giá &amp; Cách Thuê 2026</w:t>
      </w:r>
    </w:p>
    <w:p>
      <w:pPr>
        <w:spacing w:before="60" w:after="60"/>
        <w:ind w:left="567"/>
      </w:pPr>
      <w:r>
        <w:rPr>
          <w:rFonts w:ascii="Arial" w:hAnsi="Arial"/>
          <w:b/>
          <w:i w:val="0"/>
          <w:color w:val="4B5563"/>
          <w:sz w:val="20"/>
        </w:rPr>
        <w:t>TL;DR — Tóm tắt nhanh:</w:t>
      </w:r>
    </w:p>
    <w:p>
      <w:pPr>
        <w:spacing w:before="20" w:after="40"/>
        <w:ind w:left="850" w:hanging="227"/>
      </w:pPr>
      <w:r>
        <w:rPr>
          <w:rFonts w:ascii="Arial" w:hAnsi="Arial"/>
          <w:color w:val="4B5563"/>
          <w:sz w:val="20"/>
        </w:rPr>
        <w:t xml:space="preserve">• </w:t>
      </w:r>
      <w:r>
        <w:rPr>
          <w:rFonts w:ascii="Arial" w:hAnsi="Arial"/>
          <w:b w:val="0"/>
          <w:i w:val="0"/>
          <w:color w:val="4B5563"/>
          <w:sz w:val="20"/>
        </w:rPr>
        <w:t xml:space="preserve">Trên đường Phổ Quang có 2 dự án Novaland cho thuê: </w:t>
      </w:r>
      <w:r>
        <w:rPr>
          <w:rFonts w:ascii="Arial" w:hAnsi="Arial"/>
          <w:b/>
          <w:i w:val="0"/>
          <w:color w:val="4B5563"/>
          <w:sz w:val="20"/>
        </w:rPr>
        <w:t>The Botanica</w:t>
      </w:r>
      <w:r>
        <w:rPr>
          <w:rFonts w:ascii="Arial" w:hAnsi="Arial"/>
          <w:b w:val="0"/>
          <w:i w:val="0"/>
          <w:color w:val="4B5563"/>
          <w:sz w:val="20"/>
        </w:rPr>
        <w:t xml:space="preserve"> (Q.Tân Bình) và </w:t>
      </w:r>
      <w:r>
        <w:rPr>
          <w:rFonts w:ascii="Arial" w:hAnsi="Arial"/>
          <w:b/>
          <w:i w:val="0"/>
          <w:color w:val="4B5563"/>
          <w:sz w:val="20"/>
        </w:rPr>
        <w:t>Golden Mansion</w:t>
      </w:r>
      <w:r>
        <w:rPr>
          <w:rFonts w:ascii="Arial" w:hAnsi="Arial"/>
          <w:b w:val="0"/>
          <w:i w:val="0"/>
          <w:color w:val="4B5563"/>
          <w:sz w:val="20"/>
        </w:rPr>
        <w:t xml:space="preserve"> (Q.Phú Nhuận)</w:t>
      </w:r>
    </w:p>
    <w:p>
      <w:pPr>
        <w:spacing w:before="20" w:after="40"/>
        <w:ind w:left="850" w:hanging="227"/>
      </w:pPr>
      <w:r>
        <w:rPr>
          <w:rFonts w:ascii="Arial" w:hAnsi="Arial"/>
          <w:color w:val="4B5563"/>
          <w:sz w:val="20"/>
        </w:rPr>
        <w:t xml:space="preserve">• </w:t>
      </w:r>
      <w:r>
        <w:rPr>
          <w:rFonts w:ascii="Arial" w:hAnsi="Arial"/>
          <w:b w:val="0"/>
          <w:i w:val="0"/>
          <w:color w:val="4B5563"/>
          <w:sz w:val="20"/>
        </w:rPr>
        <w:t xml:space="preserve">Giá thuê dao động </w:t>
      </w:r>
      <w:r>
        <w:rPr>
          <w:rFonts w:ascii="Arial" w:hAnsi="Arial"/>
          <w:b/>
          <w:i w:val="0"/>
          <w:color w:val="4B5563"/>
          <w:sz w:val="20"/>
        </w:rPr>
        <w:t>12–25 triệu đồng/tháng</w:t>
      </w:r>
      <w:r>
        <w:rPr>
          <w:rFonts w:ascii="Arial" w:hAnsi="Arial"/>
          <w:b w:val="0"/>
          <w:i w:val="0"/>
          <w:color w:val="4B5563"/>
          <w:sz w:val="20"/>
        </w:rPr>
        <w:t xml:space="preserve"> tùy số phòng ngủ và mức độ nội thất</w:t>
      </w:r>
    </w:p>
    <w:p>
      <w:pPr>
        <w:spacing w:before="20" w:after="40"/>
        <w:ind w:left="850" w:hanging="227"/>
      </w:pPr>
      <w:r>
        <w:rPr>
          <w:rFonts w:ascii="Arial" w:hAnsi="Arial"/>
          <w:color w:val="4B5563"/>
          <w:sz w:val="20"/>
        </w:rPr>
        <w:t xml:space="preserve">• </w:t>
      </w:r>
      <w:r>
        <w:rPr>
          <w:rFonts w:ascii="Arial" w:hAnsi="Arial"/>
          <w:b w:val="0"/>
          <w:i w:val="0"/>
          <w:color w:val="4B5563"/>
          <w:sz w:val="20"/>
        </w:rPr>
        <w:t>Vị trí đắc địa: cách sân bay Tân Sơn Nhất chỉ 3–5 phút, tiện di chuyển cho expat và người hay công tác</w:t>
      </w:r>
    </w:p>
    <w:p>
      <w:pPr>
        <w:spacing w:before="20" w:after="40"/>
        <w:ind w:left="850" w:hanging="227"/>
      </w:pPr>
      <w:r>
        <w:rPr>
          <w:rFonts w:ascii="Arial" w:hAnsi="Arial"/>
          <w:color w:val="4B5563"/>
          <w:sz w:val="20"/>
        </w:rPr>
        <w:t xml:space="preserve">• </w:t>
      </w:r>
      <w:r>
        <w:rPr>
          <w:rFonts w:ascii="Arial" w:hAnsi="Arial"/>
          <w:b w:val="0"/>
          <w:i w:val="0"/>
          <w:color w:val="4B5563"/>
          <w:sz w:val="20"/>
        </w:rPr>
        <w:t>Tiện ích cao cấp: hồ bơi, gym, BBQ, bảo vệ 24/7</w:t>
      </w:r>
    </w:p>
    <w:p>
      <w:pPr>
        <w:spacing w:before="20" w:after="40"/>
        <w:ind w:left="850" w:hanging="227"/>
      </w:pPr>
      <w:r>
        <w:rPr>
          <w:rFonts w:ascii="Arial" w:hAnsi="Arial"/>
          <w:color w:val="4B5563"/>
          <w:sz w:val="20"/>
        </w:rPr>
        <w:t xml:space="preserve">• </w:t>
      </w:r>
      <w:r>
        <w:rPr>
          <w:rFonts w:ascii="Arial" w:hAnsi="Arial"/>
          <w:b w:val="0"/>
          <w:i w:val="0"/>
          <w:color w:val="4B5563"/>
          <w:sz w:val="20"/>
        </w:rPr>
        <w:t>Nên thuê qua môi giới uy tín hoặc liên hệ trực tiếp ban quản lý dự án để tránh rủi ro</w:t>
      </w:r>
    </w:p>
    <w:p>
      <w:r>
        <w:rPr>
          <w:color w:val="D1D5DB"/>
        </w:rPr>
        <w:t>────────────────────────────────────────────────────────────</w:t>
      </w:r>
    </w:p>
    <w:p>
      <w:pPr>
        <w:spacing w:after="160"/>
      </w:pPr>
      <w:r>
        <w:rPr>
          <w:rFonts w:ascii="Arial" w:hAnsi="Arial"/>
          <w:b w:val="0"/>
          <w:i w:val="0"/>
        </w:rPr>
        <w:t>Bạn đang tìm căn hộ cho thuê khu vực gần sân bay Tân Sơn Nhất, tiện nghi đầy đủ nhưng không muốn trả giá quá cao? Đường Phổ Quang thuộc quận Tân Bình và Phú Nhuận đang là một trong những khu vực được tìm kiếm nhiều nhất ở TP.HCM nhờ vị trí đắc địa và mật độ dự án Novaland dày đặc.</w:t>
      </w:r>
    </w:p>
    <w:p>
      <w:pPr>
        <w:spacing w:after="160"/>
      </w:pPr>
      <w:r>
        <w:rPr>
          <w:rFonts w:ascii="Arial" w:hAnsi="Arial"/>
          <w:b w:val="0"/>
          <w:i w:val="0"/>
        </w:rPr>
        <w:t>Bài viết này tổng hợp đầy đủ thông tin cho thuê căn hộ Novaland Phổ Quang — từ giá thuê cụ thể từng loại phòng, so sánh 2 dự án chính, đến hướng dẫn từng bước để thuê được căn hộ đúng nhu cầu, tránh rủi ro.</w:t>
      </w:r>
    </w:p>
    <w:p>
      <w:pPr>
        <w:jc w:val="center"/>
      </w:pPr>
      <w:r>
        <w:drawing>
          <wp:inline xmlns:a="http://schemas.openxmlformats.org/drawingml/2006/main" xmlns:pic="http://schemas.openxmlformats.org/drawingml/2006/picture">
            <wp:extent cx="5029200" cy="2640330"/>
            <wp:docPr id="1" name="Picture 1"/>
            <wp:cNvGraphicFramePr>
              <a:graphicFrameLocks noChangeAspect="1"/>
            </wp:cNvGraphicFramePr>
            <a:graphic>
              <a:graphicData uri="http://schemas.openxmlformats.org/drawingml/2006/picture">
                <pic:pic>
                  <pic:nvPicPr>
                    <pic:cNvPr id="0" name="image.jpg" descr="Căn hộ Novaland Phổ Quang nhìn từ mặt đường"/>
                    <pic:cNvPicPr/>
                  </pic:nvPicPr>
                  <pic:blipFill>
                    <a:blip r:embed="rId9"/>
                    <a:stretch>
                      <a:fillRect/>
                    </a:stretch>
                  </pic:blipFill>
                  <pic:spPr>
                    <a:xfrm>
                      <a:off x="0" y="0"/>
                      <a:ext cx="5029200" cy="2640330"/>
                    </a:xfrm>
                    <a:prstGeom prst="rect"/>
                  </pic:spPr>
                </pic:pic>
              </a:graphicData>
            </a:graphic>
          </wp:inline>
        </w:drawing>
      </w:r>
    </w:p>
    <w:p>
      <w:pPr>
        <w:jc w:val="center"/>
      </w:pPr>
      <w:r>
        <w:rPr>
          <w:rFonts w:ascii="Arial" w:hAnsi="Arial"/>
          <w:color w:val="6B7280"/>
          <w:sz w:val="18"/>
        </w:rPr>
        <w:t>Căn hộ Novaland Phổ Quang nhìn từ mặt đường</w:t>
      </w:r>
    </w:p>
    <w:p>
      <w:r>
        <w:rPr>
          <w:color w:val="D1D5DB"/>
        </w:rPr>
        <w:t>────────────────────────────────────────────────────────────</w:t>
      </w:r>
    </w:p>
    <w:p>
      <w:pPr>
        <w:pStyle w:val="Heading2"/>
      </w:pPr>
      <w:r>
        <w:rPr>
          <w:rFonts w:ascii="Arial" w:hAnsi="Arial"/>
          <w:b/>
          <w:color w:val="1E40AF"/>
          <w:sz w:val="30"/>
        </w:rPr>
        <w:t>Novaland Phổ Quang Có Những Dự Án Nào?</w:t>
      </w:r>
    </w:p>
    <w:p>
      <w:pPr>
        <w:spacing w:after="160"/>
      </w:pPr>
      <w:r>
        <w:rPr>
          <w:rFonts w:ascii="Arial" w:hAnsi="Arial"/>
          <w:b w:val="0"/>
          <w:i w:val="0"/>
        </w:rPr>
        <w:t xml:space="preserve">Trên tuyến đường Phổ Quang có </w:t>
      </w:r>
      <w:r>
        <w:rPr>
          <w:rFonts w:ascii="Arial" w:hAnsi="Arial"/>
          <w:b/>
          <w:i w:val="0"/>
        </w:rPr>
        <w:t>2 dự án căn hộ cao cấp do Novaland phát triển</w:t>
      </w:r>
      <w:r>
        <w:rPr>
          <w:rFonts w:ascii="Arial" w:hAnsi="Arial"/>
          <w:b w:val="0"/>
          <w:i w:val="0"/>
        </w:rPr>
        <w:t xml:space="preserve"> đang hoạt động và có nhu cầu cho thuê thường xuyên:</w:t>
      </w:r>
    </w:p>
    <w:p>
      <w:pPr>
        <w:pStyle w:val="Heading3"/>
      </w:pPr>
      <w:r>
        <w:rPr>
          <w:rFonts w:ascii="Arial" w:hAnsi="Arial"/>
          <w:b/>
          <w:color w:val="374151"/>
          <w:sz w:val="26"/>
        </w:rPr>
        <w:t>The Botanica — 104 Phổ Quang, Quận Tân Bình</w:t>
      </w:r>
    </w:p>
    <w:p>
      <w:pPr>
        <w:spacing w:after="160"/>
      </w:pPr>
      <w:r>
        <w:rPr>
          <w:rFonts w:ascii="Arial" w:hAnsi="Arial"/>
          <w:b/>
          <w:i w:val="0"/>
        </w:rPr>
        <w:t>The Botanica</w:t>
      </w:r>
      <w:r>
        <w:rPr>
          <w:rFonts w:ascii="Arial" w:hAnsi="Arial"/>
          <w:b w:val="0"/>
          <w:i w:val="0"/>
        </w:rPr>
        <w:t xml:space="preserve"> là dự án căn hộ của Novaland tọa lạc tại 104 Phổ Quang, Phường 2, Quận Tân Bình. Dự án gồm các tòa tháp căn hộ từ 1–3 phòng ngủ, diện tích 50–120m², bàn giao hoàn thiện cao cấp.</w:t>
      </w:r>
    </w:p>
    <w:p>
      <w:pPr>
        <w:pStyle w:val="ListBullet"/>
      </w:pPr>
      <w:r>
        <w:rPr>
          <w:rFonts w:ascii="Arial" w:hAnsi="Arial"/>
          <w:b w:val="0"/>
          <w:i w:val="0"/>
          <w:sz w:val="22"/>
        </w:rPr>
        <w:t>Quy mô: 3 tòa tháp, gần 700 căn hộ</w:t>
      </w:r>
    </w:p>
    <w:p>
      <w:pPr>
        <w:pStyle w:val="ListBullet"/>
      </w:pPr>
      <w:r>
        <w:rPr>
          <w:rFonts w:ascii="Arial" w:hAnsi="Arial"/>
          <w:b w:val="0"/>
          <w:i w:val="0"/>
          <w:sz w:val="22"/>
        </w:rPr>
        <w:t>Diện tích căn hộ: 50m² (1PN) đến 120m² (3PN)</w:t>
      </w:r>
    </w:p>
    <w:p>
      <w:pPr>
        <w:pStyle w:val="ListBullet"/>
      </w:pPr>
      <w:r>
        <w:rPr>
          <w:rFonts w:ascii="Arial" w:hAnsi="Arial"/>
          <w:b w:val="0"/>
          <w:i w:val="0"/>
          <w:sz w:val="22"/>
        </w:rPr>
        <w:t>Phong cách: hiện đại, nhiều cây xanh trong nội khu</w:t>
      </w:r>
    </w:p>
    <w:p>
      <w:pPr>
        <w:pStyle w:val="ListBullet"/>
      </w:pPr>
      <w:r>
        <w:rPr>
          <w:rFonts w:ascii="Arial" w:hAnsi="Arial"/>
          <w:b w:val="0"/>
          <w:i w:val="0"/>
          <w:sz w:val="22"/>
        </w:rPr>
        <w:t>Phù hợp: gia đình trẻ, expat, chuyên gia làm việc gần sân bay</w:t>
      </w:r>
    </w:p>
    <w:p>
      <w:pPr>
        <w:pStyle w:val="Heading3"/>
      </w:pPr>
      <w:r>
        <w:rPr>
          <w:rFonts w:ascii="Arial" w:hAnsi="Arial"/>
          <w:b/>
          <w:color w:val="374151"/>
          <w:sz w:val="26"/>
        </w:rPr>
        <w:t>Golden Mansion — Phổ Quang, Quận Phú Nhuận</w:t>
      </w:r>
    </w:p>
    <w:p>
      <w:pPr>
        <w:spacing w:after="160"/>
      </w:pPr>
      <w:r>
        <w:rPr>
          <w:rFonts w:ascii="Arial" w:hAnsi="Arial"/>
          <w:b/>
          <w:i w:val="0"/>
        </w:rPr>
        <w:t>Golden Mansion</w:t>
      </w:r>
      <w:r>
        <w:rPr>
          <w:rFonts w:ascii="Arial" w:hAnsi="Arial"/>
          <w:b w:val="0"/>
          <w:i w:val="0"/>
        </w:rPr>
        <w:t xml:space="preserve"> là dự án Novaland tại Phổ Quang, Phường 9, Quận Phú Nhuận. Dự án này nổi bật hơn về quy mô và mật độ tiện ích nội khu, thường được expat và khách nước ngoài ưa chuộng.</w:t>
      </w:r>
    </w:p>
    <w:p>
      <w:pPr>
        <w:pStyle w:val="ListBullet"/>
      </w:pPr>
      <w:r>
        <w:rPr>
          <w:rFonts w:ascii="Arial" w:hAnsi="Arial"/>
          <w:b w:val="0"/>
          <w:i w:val="0"/>
          <w:sz w:val="22"/>
        </w:rPr>
        <w:t>Quy mô: 4 tòa tháp, trên 1.000 căn hộ</w:t>
      </w:r>
    </w:p>
    <w:p>
      <w:pPr>
        <w:pStyle w:val="ListBullet"/>
      </w:pPr>
      <w:r>
        <w:rPr>
          <w:rFonts w:ascii="Arial" w:hAnsi="Arial"/>
          <w:b w:val="0"/>
          <w:i w:val="0"/>
          <w:sz w:val="22"/>
        </w:rPr>
        <w:t>Diện tích căn hộ: 50–130m²</w:t>
      </w:r>
    </w:p>
    <w:p>
      <w:pPr>
        <w:pStyle w:val="ListBullet"/>
      </w:pPr>
      <w:r>
        <w:rPr>
          <w:rFonts w:ascii="Arial" w:hAnsi="Arial"/>
          <w:b w:val="0"/>
          <w:i w:val="0"/>
          <w:sz w:val="22"/>
        </w:rPr>
        <w:t>Phong cách: sang trọng, sảnh lobby 5 sao</w:t>
      </w:r>
    </w:p>
    <w:p>
      <w:pPr>
        <w:pStyle w:val="ListBullet"/>
      </w:pPr>
      <w:r>
        <w:rPr>
          <w:rFonts w:ascii="Arial" w:hAnsi="Arial"/>
          <w:b w:val="0"/>
          <w:i w:val="0"/>
          <w:sz w:val="22"/>
        </w:rPr>
        <w:t>Phù hợp: expat, chuyên gia quốc tế, người cần thuê dài hạn</w:t>
      </w:r>
    </w:p>
    <w:p>
      <w:pPr>
        <w:jc w:val="center"/>
      </w:pPr>
      <w:r>
        <w:drawing>
          <wp:inline xmlns:a="http://schemas.openxmlformats.org/drawingml/2006/main" xmlns:pic="http://schemas.openxmlformats.org/drawingml/2006/picture">
            <wp:extent cx="5029200" cy="2821797"/>
            <wp:docPr id="2" name="Picture 2"/>
            <wp:cNvGraphicFramePr>
              <a:graphicFrameLocks noChangeAspect="1"/>
            </wp:cNvGraphicFramePr>
            <a:graphic>
              <a:graphicData uri="http://schemas.openxmlformats.org/drawingml/2006/picture">
                <pic:pic>
                  <pic:nvPicPr>
                    <pic:cNvPr id="0" name="image.jpg" descr="So sánh The Botanica và Golden Mansion Novaland Phổ Quang"/>
                    <pic:cNvPicPr/>
                  </pic:nvPicPr>
                  <pic:blipFill>
                    <a:blip r:embed="rId10"/>
                    <a:stretch>
                      <a:fillRect/>
                    </a:stretch>
                  </pic:blipFill>
                  <pic:spPr>
                    <a:xfrm>
                      <a:off x="0" y="0"/>
                      <a:ext cx="5029200" cy="2821797"/>
                    </a:xfrm>
                    <a:prstGeom prst="rect"/>
                  </pic:spPr>
                </pic:pic>
              </a:graphicData>
            </a:graphic>
          </wp:inline>
        </w:drawing>
      </w:r>
    </w:p>
    <w:p>
      <w:pPr>
        <w:jc w:val="center"/>
      </w:pPr>
      <w:r>
        <w:rPr>
          <w:rFonts w:ascii="Arial" w:hAnsi="Arial"/>
          <w:color w:val="6B7280"/>
          <w:sz w:val="18"/>
        </w:rPr>
        <w:t>So sánh The Botanica và Golden Mansion Novaland Phổ Quang</w:t>
      </w:r>
    </w:p>
    <w:p>
      <w:r>
        <w:rPr>
          <w:color w:val="D1D5DB"/>
        </w:rPr>
        <w:t>────────────────────────────────────────────────────────────</w:t>
      </w:r>
    </w:p>
    <w:p>
      <w:pPr>
        <w:pStyle w:val="Heading2"/>
      </w:pPr>
      <w:r>
        <w:rPr>
          <w:rFonts w:ascii="Arial" w:hAnsi="Arial"/>
          <w:b/>
          <w:color w:val="1E40AF"/>
          <w:sz w:val="30"/>
        </w:rPr>
        <w:t>Giá Thuê Căn Hộ Novaland Phổ Quang Bao Nhiêu?</w:t>
      </w:r>
    </w:p>
    <w:p>
      <w:pPr>
        <w:spacing w:after="160"/>
      </w:pPr>
      <w:r>
        <w:rPr>
          <w:rFonts w:ascii="Arial" w:hAnsi="Arial"/>
          <w:b w:val="0"/>
          <w:i w:val="0"/>
        </w:rPr>
        <w:t xml:space="preserve">Giá thuê căn hộ Novaland Phổ Quang dao động từ </w:t>
      </w:r>
      <w:r>
        <w:rPr>
          <w:rFonts w:ascii="Arial" w:hAnsi="Arial"/>
          <w:b/>
          <w:i w:val="0"/>
        </w:rPr>
        <w:t>12 đến 25 triệu đồng/tháng</w:t>
      </w:r>
      <w:r>
        <w:rPr>
          <w:rFonts w:ascii="Arial" w:hAnsi="Arial"/>
          <w:b w:val="0"/>
          <w:i w:val="0"/>
        </w:rPr>
        <w:t>, tùy thuộc vào dự án, số phòng ngủ, diện tích và mức độ nội thất. Dưới đây là bảng tham khảo chi tiết cập nhật năm 2026:</w:t>
      </w:r>
    </w:p>
    <w:p>
      <w:pPr>
        <w:pStyle w:val="Heading3"/>
      </w:pPr>
      <w:r>
        <w:rPr>
          <w:rFonts w:ascii="Arial" w:hAnsi="Arial"/>
          <w:b/>
          <w:color w:val="374151"/>
          <w:sz w:val="26"/>
        </w:rPr>
        <w:t>Bảng giá thuê The Botanica Phổ Quang</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Arial" w:hAnsi="Arial"/>
                <w:b/>
                <w:sz w:val="20"/>
              </w:rPr>
            </w:r>
            <w:r>
              <w:rPr>
                <w:rFonts w:ascii="Arial" w:hAnsi="Arial"/>
                <w:b/>
                <w:i w:val="0"/>
                <w:sz w:val="20"/>
              </w:rPr>
              <w:t>Loại căn</w:t>
            </w:r>
          </w:p>
        </w:tc>
        <w:tc>
          <w:tcPr>
            <w:tcW w:type="dxa" w:w="2340"/>
          </w:tcPr>
          <w:p>
            <w:r>
              <w:rPr>
                <w:rFonts w:ascii="Arial" w:hAnsi="Arial"/>
                <w:b/>
                <w:sz w:val="20"/>
              </w:rPr>
            </w:r>
            <w:r>
              <w:rPr>
                <w:rFonts w:ascii="Arial" w:hAnsi="Arial"/>
                <w:b/>
                <w:i w:val="0"/>
                <w:sz w:val="20"/>
              </w:rPr>
              <w:t>Diện tích</w:t>
            </w:r>
          </w:p>
        </w:tc>
        <w:tc>
          <w:tcPr>
            <w:tcW w:type="dxa" w:w="2340"/>
          </w:tcPr>
          <w:p>
            <w:r>
              <w:rPr>
                <w:rFonts w:ascii="Arial" w:hAnsi="Arial"/>
                <w:b/>
                <w:sz w:val="20"/>
              </w:rPr>
            </w:r>
            <w:r>
              <w:rPr>
                <w:rFonts w:ascii="Arial" w:hAnsi="Arial"/>
                <w:b/>
                <w:i w:val="0"/>
                <w:sz w:val="20"/>
              </w:rPr>
              <w:t>Nội thất cơ bản</w:t>
            </w:r>
          </w:p>
        </w:tc>
        <w:tc>
          <w:tcPr>
            <w:tcW w:type="dxa" w:w="2340"/>
          </w:tcPr>
          <w:p>
            <w:r>
              <w:rPr>
                <w:rFonts w:ascii="Arial" w:hAnsi="Arial"/>
                <w:b/>
                <w:sz w:val="20"/>
              </w:rPr>
            </w:r>
            <w:r>
              <w:rPr>
                <w:rFonts w:ascii="Arial" w:hAnsi="Arial"/>
                <w:b/>
                <w:i w:val="0"/>
                <w:sz w:val="20"/>
              </w:rPr>
              <w:t>Full nội thất</w:t>
            </w:r>
          </w:p>
        </w:tc>
      </w:tr>
      <w:tr>
        <w:tc>
          <w:tcPr>
            <w:tcW w:type="dxa" w:w="2340"/>
          </w:tcPr>
          <w:p>
            <w:r>
              <w:rPr>
                <w:rFonts w:ascii="Arial" w:hAnsi="Arial"/>
                <w:sz w:val="20"/>
              </w:rPr>
            </w:r>
            <w:r>
              <w:rPr>
                <w:rFonts w:ascii="Arial" w:hAnsi="Arial"/>
                <w:b w:val="0"/>
                <w:i w:val="0"/>
                <w:sz w:val="20"/>
              </w:rPr>
              <w:t>1 phòng ngủ</w:t>
            </w:r>
          </w:p>
        </w:tc>
        <w:tc>
          <w:tcPr>
            <w:tcW w:type="dxa" w:w="2340"/>
          </w:tcPr>
          <w:p>
            <w:r>
              <w:rPr>
                <w:rFonts w:ascii="Arial" w:hAnsi="Arial"/>
                <w:sz w:val="20"/>
              </w:rPr>
            </w:r>
            <w:r>
              <w:rPr>
                <w:rFonts w:ascii="Arial" w:hAnsi="Arial"/>
                <w:b w:val="0"/>
                <w:i w:val="0"/>
                <w:sz w:val="20"/>
              </w:rPr>
              <w:t>~50m²</w:t>
            </w:r>
          </w:p>
        </w:tc>
        <w:tc>
          <w:tcPr>
            <w:tcW w:type="dxa" w:w="2340"/>
          </w:tcPr>
          <w:p>
            <w:r>
              <w:rPr>
                <w:rFonts w:ascii="Arial" w:hAnsi="Arial"/>
                <w:sz w:val="20"/>
              </w:rPr>
            </w:r>
            <w:r>
              <w:rPr>
                <w:rFonts w:ascii="Arial" w:hAnsi="Arial"/>
                <w:b w:val="0"/>
                <w:i w:val="0"/>
                <w:sz w:val="20"/>
              </w:rPr>
              <w:t>10–12 triệu/tháng</w:t>
            </w:r>
          </w:p>
        </w:tc>
        <w:tc>
          <w:tcPr>
            <w:tcW w:type="dxa" w:w="2340"/>
          </w:tcPr>
          <w:p>
            <w:r>
              <w:rPr>
                <w:rFonts w:ascii="Arial" w:hAnsi="Arial"/>
                <w:sz w:val="20"/>
              </w:rPr>
            </w:r>
            <w:r>
              <w:rPr>
                <w:rFonts w:ascii="Arial" w:hAnsi="Arial"/>
                <w:b w:val="0"/>
                <w:i w:val="0"/>
                <w:sz w:val="20"/>
              </w:rPr>
              <w:t>12–14 triệu/tháng</w:t>
            </w:r>
          </w:p>
        </w:tc>
      </w:tr>
      <w:tr>
        <w:tc>
          <w:tcPr>
            <w:tcW w:type="dxa" w:w="2340"/>
          </w:tcPr>
          <w:p>
            <w:r>
              <w:rPr>
                <w:rFonts w:ascii="Arial" w:hAnsi="Arial"/>
                <w:sz w:val="20"/>
              </w:rPr>
            </w:r>
            <w:r>
              <w:rPr>
                <w:rFonts w:ascii="Arial" w:hAnsi="Arial"/>
                <w:b w:val="0"/>
                <w:i w:val="0"/>
                <w:sz w:val="20"/>
              </w:rPr>
              <w:t>2 phòng ngủ</w:t>
            </w:r>
          </w:p>
        </w:tc>
        <w:tc>
          <w:tcPr>
            <w:tcW w:type="dxa" w:w="2340"/>
          </w:tcPr>
          <w:p>
            <w:r>
              <w:rPr>
                <w:rFonts w:ascii="Arial" w:hAnsi="Arial"/>
                <w:sz w:val="20"/>
              </w:rPr>
            </w:r>
            <w:r>
              <w:rPr>
                <w:rFonts w:ascii="Arial" w:hAnsi="Arial"/>
                <w:b w:val="0"/>
                <w:i w:val="0"/>
                <w:sz w:val="20"/>
              </w:rPr>
              <w:t>~69–75m²</w:t>
            </w:r>
          </w:p>
        </w:tc>
        <w:tc>
          <w:tcPr>
            <w:tcW w:type="dxa" w:w="2340"/>
          </w:tcPr>
          <w:p>
            <w:r>
              <w:rPr>
                <w:rFonts w:ascii="Arial" w:hAnsi="Arial"/>
                <w:sz w:val="20"/>
              </w:rPr>
            </w:r>
            <w:r>
              <w:rPr>
                <w:rFonts w:ascii="Arial" w:hAnsi="Arial"/>
                <w:b w:val="0"/>
                <w:i w:val="0"/>
                <w:sz w:val="20"/>
              </w:rPr>
              <w:t>13–15 triệu/tháng</w:t>
            </w:r>
          </w:p>
        </w:tc>
        <w:tc>
          <w:tcPr>
            <w:tcW w:type="dxa" w:w="2340"/>
          </w:tcPr>
          <w:p>
            <w:r>
              <w:rPr>
                <w:rFonts w:ascii="Arial" w:hAnsi="Arial"/>
                <w:sz w:val="20"/>
              </w:rPr>
            </w:r>
            <w:r>
              <w:rPr>
                <w:rFonts w:ascii="Arial" w:hAnsi="Arial"/>
                <w:b w:val="0"/>
                <w:i w:val="0"/>
                <w:sz w:val="20"/>
              </w:rPr>
              <w:t>15–18 triệu/tháng</w:t>
            </w:r>
          </w:p>
        </w:tc>
      </w:tr>
      <w:tr>
        <w:tc>
          <w:tcPr>
            <w:tcW w:type="dxa" w:w="2340"/>
          </w:tcPr>
          <w:p>
            <w:r>
              <w:rPr>
                <w:rFonts w:ascii="Arial" w:hAnsi="Arial"/>
                <w:sz w:val="20"/>
              </w:rPr>
            </w:r>
            <w:r>
              <w:rPr>
                <w:rFonts w:ascii="Arial" w:hAnsi="Arial"/>
                <w:b w:val="0"/>
                <w:i w:val="0"/>
                <w:sz w:val="20"/>
              </w:rPr>
              <w:t>3 phòng ngủ</w:t>
            </w:r>
          </w:p>
        </w:tc>
        <w:tc>
          <w:tcPr>
            <w:tcW w:type="dxa" w:w="2340"/>
          </w:tcPr>
          <w:p>
            <w:r>
              <w:rPr>
                <w:rFonts w:ascii="Arial" w:hAnsi="Arial"/>
                <w:sz w:val="20"/>
              </w:rPr>
            </w:r>
            <w:r>
              <w:rPr>
                <w:rFonts w:ascii="Arial" w:hAnsi="Arial"/>
                <w:b w:val="0"/>
                <w:i w:val="0"/>
                <w:sz w:val="20"/>
              </w:rPr>
              <w:t>~100–120m²</w:t>
            </w:r>
          </w:p>
        </w:tc>
        <w:tc>
          <w:tcPr>
            <w:tcW w:type="dxa" w:w="2340"/>
          </w:tcPr>
          <w:p>
            <w:r>
              <w:rPr>
                <w:rFonts w:ascii="Arial" w:hAnsi="Arial"/>
                <w:sz w:val="20"/>
              </w:rPr>
            </w:r>
            <w:r>
              <w:rPr>
                <w:rFonts w:ascii="Arial" w:hAnsi="Arial"/>
                <w:b w:val="0"/>
                <w:i w:val="0"/>
                <w:sz w:val="20"/>
              </w:rPr>
              <w:t>18–20 triệu/tháng</w:t>
            </w:r>
          </w:p>
        </w:tc>
        <w:tc>
          <w:tcPr>
            <w:tcW w:type="dxa" w:w="2340"/>
          </w:tcPr>
          <w:p>
            <w:r>
              <w:rPr>
                <w:rFonts w:ascii="Arial" w:hAnsi="Arial"/>
                <w:sz w:val="20"/>
              </w:rPr>
            </w:r>
            <w:r>
              <w:rPr>
                <w:rFonts w:ascii="Arial" w:hAnsi="Arial"/>
                <w:b w:val="0"/>
                <w:i w:val="0"/>
                <w:sz w:val="20"/>
              </w:rPr>
              <w:t>20–24 triệu/tháng</w:t>
            </w:r>
          </w:p>
        </w:tc>
      </w:tr>
    </w:tbl>
    <w:p/>
    <w:p>
      <w:pPr>
        <w:spacing w:after="160"/>
      </w:pPr>
      <w:r>
        <w:rPr>
          <w:rFonts w:ascii="Arial" w:hAnsi="Arial"/>
          <w:b w:val="0"/>
          <w:i/>
        </w:rPr>
        <w:t xml:space="preserve">Nguồn: </w:t>
      </w:r>
      <w:r>
        <w:rPr>
          <w:rFonts w:ascii="Arial" w:hAnsi="Arial"/>
          <w:b w:val="0"/>
          <w:i/>
          <w:color w:val="3B82F6"/>
        </w:rPr>
        <w:t>batdongsan.com.vn</w:t>
      </w:r>
      <w:r>
        <w:rPr>
          <w:rFonts w:ascii="Arial" w:hAnsi="Arial"/>
          <w:b w:val="0"/>
          <w:i/>
        </w:rPr>
        <w:t xml:space="preserve"> và </w:t>
      </w:r>
      <w:r>
        <w:rPr>
          <w:rFonts w:ascii="Arial" w:hAnsi="Arial"/>
          <w:b w:val="0"/>
          <w:i/>
          <w:color w:val="3B82F6"/>
        </w:rPr>
        <w:t>dotproperty.com.vn</w:t>
      </w:r>
      <w:r>
        <w:rPr>
          <w:rFonts w:ascii="Arial" w:hAnsi="Arial"/>
          <w:b w:val="0"/>
          <w:i/>
        </w:rPr>
        <w:t xml:space="preserve"> — tổng hợp tháng 5/2026</w:t>
      </w:r>
    </w:p>
    <w:p>
      <w:pPr>
        <w:pStyle w:val="Heading3"/>
      </w:pPr>
      <w:r>
        <w:rPr>
          <w:rFonts w:ascii="Arial" w:hAnsi="Arial"/>
          <w:b/>
          <w:color w:val="374151"/>
          <w:sz w:val="26"/>
        </w:rPr>
        <w:t>Bảng giá thuê Golden Mansion Phổ Quang</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Arial" w:hAnsi="Arial"/>
                <w:b/>
                <w:sz w:val="20"/>
              </w:rPr>
            </w:r>
            <w:r>
              <w:rPr>
                <w:rFonts w:ascii="Arial" w:hAnsi="Arial"/>
                <w:b/>
                <w:i w:val="0"/>
                <w:sz w:val="20"/>
              </w:rPr>
              <w:t>Loại căn</w:t>
            </w:r>
          </w:p>
        </w:tc>
        <w:tc>
          <w:tcPr>
            <w:tcW w:type="dxa" w:w="2340"/>
          </w:tcPr>
          <w:p>
            <w:r>
              <w:rPr>
                <w:rFonts w:ascii="Arial" w:hAnsi="Arial"/>
                <w:b/>
                <w:sz w:val="20"/>
              </w:rPr>
            </w:r>
            <w:r>
              <w:rPr>
                <w:rFonts w:ascii="Arial" w:hAnsi="Arial"/>
                <w:b/>
                <w:i w:val="0"/>
                <w:sz w:val="20"/>
              </w:rPr>
              <w:t>Diện tích</w:t>
            </w:r>
          </w:p>
        </w:tc>
        <w:tc>
          <w:tcPr>
            <w:tcW w:type="dxa" w:w="2340"/>
          </w:tcPr>
          <w:p>
            <w:r>
              <w:rPr>
                <w:rFonts w:ascii="Arial" w:hAnsi="Arial"/>
                <w:b/>
                <w:sz w:val="20"/>
              </w:rPr>
            </w:r>
            <w:r>
              <w:rPr>
                <w:rFonts w:ascii="Arial" w:hAnsi="Arial"/>
                <w:b/>
                <w:i w:val="0"/>
                <w:sz w:val="20"/>
              </w:rPr>
              <w:t>Nội thất cơ bản</w:t>
            </w:r>
          </w:p>
        </w:tc>
        <w:tc>
          <w:tcPr>
            <w:tcW w:type="dxa" w:w="2340"/>
          </w:tcPr>
          <w:p>
            <w:r>
              <w:rPr>
                <w:rFonts w:ascii="Arial" w:hAnsi="Arial"/>
                <w:b/>
                <w:sz w:val="20"/>
              </w:rPr>
            </w:r>
            <w:r>
              <w:rPr>
                <w:rFonts w:ascii="Arial" w:hAnsi="Arial"/>
                <w:b/>
                <w:i w:val="0"/>
                <w:sz w:val="20"/>
              </w:rPr>
              <w:t>Full nội thất</w:t>
            </w:r>
          </w:p>
        </w:tc>
      </w:tr>
      <w:tr>
        <w:tc>
          <w:tcPr>
            <w:tcW w:type="dxa" w:w="2340"/>
          </w:tcPr>
          <w:p>
            <w:r>
              <w:rPr>
                <w:rFonts w:ascii="Arial" w:hAnsi="Arial"/>
                <w:sz w:val="20"/>
              </w:rPr>
            </w:r>
            <w:r>
              <w:rPr>
                <w:rFonts w:ascii="Arial" w:hAnsi="Arial"/>
                <w:b w:val="0"/>
                <w:i w:val="0"/>
                <w:sz w:val="20"/>
              </w:rPr>
              <w:t>1 phòng ngủ</w:t>
            </w:r>
          </w:p>
        </w:tc>
        <w:tc>
          <w:tcPr>
            <w:tcW w:type="dxa" w:w="2340"/>
          </w:tcPr>
          <w:p>
            <w:r>
              <w:rPr>
                <w:rFonts w:ascii="Arial" w:hAnsi="Arial"/>
                <w:sz w:val="20"/>
              </w:rPr>
            </w:r>
            <w:r>
              <w:rPr>
                <w:rFonts w:ascii="Arial" w:hAnsi="Arial"/>
                <w:b w:val="0"/>
                <w:i w:val="0"/>
                <w:sz w:val="20"/>
              </w:rPr>
              <w:t>~50m²</w:t>
            </w:r>
          </w:p>
        </w:tc>
        <w:tc>
          <w:tcPr>
            <w:tcW w:type="dxa" w:w="2340"/>
          </w:tcPr>
          <w:p>
            <w:r>
              <w:rPr>
                <w:rFonts w:ascii="Arial" w:hAnsi="Arial"/>
                <w:sz w:val="20"/>
              </w:rPr>
            </w:r>
            <w:r>
              <w:rPr>
                <w:rFonts w:ascii="Arial" w:hAnsi="Arial"/>
                <w:b w:val="0"/>
                <w:i w:val="0"/>
                <w:sz w:val="20"/>
              </w:rPr>
              <w:t>12–13 triệu/tháng</w:t>
            </w:r>
          </w:p>
        </w:tc>
        <w:tc>
          <w:tcPr>
            <w:tcW w:type="dxa" w:w="2340"/>
          </w:tcPr>
          <w:p>
            <w:r>
              <w:rPr>
                <w:rFonts w:ascii="Arial" w:hAnsi="Arial"/>
                <w:sz w:val="20"/>
              </w:rPr>
            </w:r>
            <w:r>
              <w:rPr>
                <w:rFonts w:ascii="Arial" w:hAnsi="Arial"/>
                <w:b w:val="0"/>
                <w:i w:val="0"/>
                <w:sz w:val="20"/>
              </w:rPr>
              <w:t>14–15 triệu/tháng</w:t>
            </w:r>
          </w:p>
        </w:tc>
      </w:tr>
      <w:tr>
        <w:tc>
          <w:tcPr>
            <w:tcW w:type="dxa" w:w="2340"/>
          </w:tcPr>
          <w:p>
            <w:r>
              <w:rPr>
                <w:rFonts w:ascii="Arial" w:hAnsi="Arial"/>
                <w:sz w:val="20"/>
              </w:rPr>
            </w:r>
            <w:r>
              <w:rPr>
                <w:rFonts w:ascii="Arial" w:hAnsi="Arial"/>
                <w:b w:val="0"/>
                <w:i w:val="0"/>
                <w:sz w:val="20"/>
              </w:rPr>
              <w:t>2 phòng ngủ</w:t>
            </w:r>
          </w:p>
        </w:tc>
        <w:tc>
          <w:tcPr>
            <w:tcW w:type="dxa" w:w="2340"/>
          </w:tcPr>
          <w:p>
            <w:r>
              <w:rPr>
                <w:rFonts w:ascii="Arial" w:hAnsi="Arial"/>
                <w:sz w:val="20"/>
              </w:rPr>
            </w:r>
            <w:r>
              <w:rPr>
                <w:rFonts w:ascii="Arial" w:hAnsi="Arial"/>
                <w:b w:val="0"/>
                <w:i w:val="0"/>
                <w:sz w:val="20"/>
              </w:rPr>
              <w:t>~69–75m²</w:t>
            </w:r>
          </w:p>
        </w:tc>
        <w:tc>
          <w:tcPr>
            <w:tcW w:type="dxa" w:w="2340"/>
          </w:tcPr>
          <w:p>
            <w:r>
              <w:rPr>
                <w:rFonts w:ascii="Arial" w:hAnsi="Arial"/>
                <w:sz w:val="20"/>
              </w:rPr>
            </w:r>
            <w:r>
              <w:rPr>
                <w:rFonts w:ascii="Arial" w:hAnsi="Arial"/>
                <w:b w:val="0"/>
                <w:i w:val="0"/>
                <w:sz w:val="20"/>
              </w:rPr>
              <w:t>13–16 triệu/tháng</w:t>
            </w:r>
          </w:p>
        </w:tc>
        <w:tc>
          <w:tcPr>
            <w:tcW w:type="dxa" w:w="2340"/>
          </w:tcPr>
          <w:p>
            <w:r>
              <w:rPr>
                <w:rFonts w:ascii="Arial" w:hAnsi="Arial"/>
                <w:sz w:val="20"/>
              </w:rPr>
            </w:r>
            <w:r>
              <w:rPr>
                <w:rFonts w:ascii="Arial" w:hAnsi="Arial"/>
                <w:b w:val="0"/>
                <w:i w:val="0"/>
                <w:sz w:val="20"/>
              </w:rPr>
              <w:t>16–19 triệu/tháng</w:t>
            </w:r>
          </w:p>
        </w:tc>
      </w:tr>
      <w:tr>
        <w:tc>
          <w:tcPr>
            <w:tcW w:type="dxa" w:w="2340"/>
          </w:tcPr>
          <w:p>
            <w:r>
              <w:rPr>
                <w:rFonts w:ascii="Arial" w:hAnsi="Arial"/>
                <w:sz w:val="20"/>
              </w:rPr>
            </w:r>
            <w:r>
              <w:rPr>
                <w:rFonts w:ascii="Arial" w:hAnsi="Arial"/>
                <w:b w:val="0"/>
                <w:i w:val="0"/>
                <w:sz w:val="20"/>
              </w:rPr>
              <w:t>3 phòng ngủ</w:t>
            </w:r>
          </w:p>
        </w:tc>
        <w:tc>
          <w:tcPr>
            <w:tcW w:type="dxa" w:w="2340"/>
          </w:tcPr>
          <w:p>
            <w:r>
              <w:rPr>
                <w:rFonts w:ascii="Arial" w:hAnsi="Arial"/>
                <w:sz w:val="20"/>
              </w:rPr>
            </w:r>
            <w:r>
              <w:rPr>
                <w:rFonts w:ascii="Arial" w:hAnsi="Arial"/>
                <w:b w:val="0"/>
                <w:i w:val="0"/>
                <w:sz w:val="20"/>
              </w:rPr>
              <w:t>~100–109m²</w:t>
            </w:r>
          </w:p>
        </w:tc>
        <w:tc>
          <w:tcPr>
            <w:tcW w:type="dxa" w:w="2340"/>
          </w:tcPr>
          <w:p>
            <w:r>
              <w:rPr>
                <w:rFonts w:ascii="Arial" w:hAnsi="Arial"/>
                <w:sz w:val="20"/>
              </w:rPr>
            </w:r>
            <w:r>
              <w:rPr>
                <w:rFonts w:ascii="Arial" w:hAnsi="Arial"/>
                <w:b w:val="0"/>
                <w:i w:val="0"/>
                <w:sz w:val="20"/>
              </w:rPr>
              <w:t>20–22 triệu/tháng</w:t>
            </w:r>
          </w:p>
        </w:tc>
        <w:tc>
          <w:tcPr>
            <w:tcW w:type="dxa" w:w="2340"/>
          </w:tcPr>
          <w:p>
            <w:r>
              <w:rPr>
                <w:rFonts w:ascii="Arial" w:hAnsi="Arial"/>
                <w:sz w:val="20"/>
              </w:rPr>
            </w:r>
            <w:r>
              <w:rPr>
                <w:rFonts w:ascii="Arial" w:hAnsi="Arial"/>
                <w:b w:val="0"/>
                <w:i w:val="0"/>
                <w:sz w:val="20"/>
              </w:rPr>
              <w:t>23–25 triệu/tháng</w:t>
            </w:r>
          </w:p>
        </w:tc>
      </w:tr>
    </w:tbl>
    <w:p/>
    <w:p>
      <w:pPr>
        <w:spacing w:after="160"/>
      </w:pPr>
      <w:r>
        <w:rPr>
          <w:rFonts w:ascii="Arial" w:hAnsi="Arial"/>
          <w:b w:val="0"/>
          <w:i/>
        </w:rPr>
        <w:t xml:space="preserve">Nguồn: </w:t>
      </w:r>
      <w:r>
        <w:rPr>
          <w:rFonts w:ascii="Arial" w:hAnsi="Arial"/>
          <w:b w:val="0"/>
          <w:i/>
          <w:color w:val="3B82F6"/>
        </w:rPr>
        <w:t>batdongsan.com.vn</w:t>
      </w:r>
      <w:r>
        <w:rPr>
          <w:rFonts w:ascii="Arial" w:hAnsi="Arial"/>
          <w:b w:val="0"/>
          <w:i/>
        </w:rPr>
        <w:t xml:space="preserve"> và </w:t>
      </w:r>
      <w:r>
        <w:rPr>
          <w:rFonts w:ascii="Arial" w:hAnsi="Arial"/>
          <w:b w:val="0"/>
          <w:i/>
          <w:color w:val="3B82F6"/>
        </w:rPr>
        <w:t>dotproperty.com.vn</w:t>
      </w:r>
      <w:r>
        <w:rPr>
          <w:rFonts w:ascii="Arial" w:hAnsi="Arial"/>
          <w:b w:val="0"/>
          <w:i/>
        </w:rPr>
        <w:t xml:space="preserve"> — tổng hợp tháng 5/2026</w:t>
      </w:r>
    </w:p>
    <w:p>
      <w:pPr>
        <w:spacing w:before="60" w:after="60"/>
        <w:ind w:left="567"/>
      </w:pPr>
      <w:r>
        <w:rPr>
          <w:rFonts w:ascii="Arial" w:hAnsi="Arial"/>
          <w:b/>
          <w:i w:val="0"/>
          <w:color w:val="4B5563"/>
          <w:sz w:val="20"/>
        </w:rPr>
        <w:t>Lưu ý:</w:t>
      </w:r>
      <w:r>
        <w:rPr>
          <w:rFonts w:ascii="Arial" w:hAnsi="Arial"/>
          <w:b w:val="0"/>
          <w:i w:val="0"/>
          <w:color w:val="4B5563"/>
          <w:sz w:val="20"/>
        </w:rPr>
        <w:t xml:space="preserve"> Giá trên chưa bao gồm phí quản lý (thường 10.000–15.000 đồng/m²/tháng) và phí gửi xe. Với căn 75m², phí quản lý bổ sung khoảng 750.000–1.125.000 đồng/tháng.</w:t>
      </w:r>
    </w:p>
    <w:p>
      <w:r>
        <w:rPr>
          <w:color w:val="D1D5DB"/>
        </w:rPr>
        <w:t>────────────────────────────────────────────────────────────</w:t>
      </w:r>
    </w:p>
    <w:p>
      <w:pPr>
        <w:pStyle w:val="Heading2"/>
      </w:pPr>
      <w:r>
        <w:rPr>
          <w:rFonts w:ascii="Arial" w:hAnsi="Arial"/>
          <w:b/>
          <w:color w:val="1E40AF"/>
          <w:sz w:val="30"/>
        </w:rPr>
        <w:t>Tiện Ích Căn Hộ Novaland Phổ Quang Có Gì?</w:t>
      </w:r>
    </w:p>
    <w:p>
      <w:pPr>
        <w:spacing w:after="160"/>
      </w:pPr>
      <w:r>
        <w:rPr>
          <w:rFonts w:ascii="Arial" w:hAnsi="Arial"/>
          <w:b w:val="0"/>
          <w:i w:val="0"/>
        </w:rPr>
        <w:t xml:space="preserve">Cả hai dự án The Botanica và Golden Mansion đều thuộc phân khúc </w:t>
      </w:r>
      <w:r>
        <w:rPr>
          <w:rFonts w:ascii="Arial" w:hAnsi="Arial"/>
          <w:b/>
          <w:i w:val="0"/>
        </w:rPr>
        <w:t>căn hộ cao cấp</w:t>
      </w:r>
      <w:r>
        <w:rPr>
          <w:rFonts w:ascii="Arial" w:hAnsi="Arial"/>
          <w:b w:val="0"/>
          <w:i w:val="0"/>
        </w:rPr>
        <w:t xml:space="preserve"> với tiện ích nội khu đầy đủ — đây là lý do giá thuê cao hơn mặt bằng chung của khu vực.</w:t>
      </w:r>
    </w:p>
    <w:p>
      <w:pPr>
        <w:spacing w:after="160"/>
      </w:pPr>
      <w:r>
        <w:rPr>
          <w:rFonts w:ascii="Arial" w:hAnsi="Arial"/>
          <w:b/>
          <w:i w:val="0"/>
        </w:rPr>
        <w:t>Tiện ích nội khu tiêu biểu:</w:t>
      </w:r>
    </w:p>
    <w:p>
      <w:pPr>
        <w:pStyle w:val="ListBullet"/>
      </w:pPr>
      <w:r>
        <w:rPr>
          <w:rFonts w:ascii="Arial" w:hAnsi="Arial"/>
          <w:b w:val="0"/>
          <w:i w:val="0"/>
          <w:sz w:val="22"/>
        </w:rPr>
        <w:t>Hồ bơi ngoài trời và/hoặc trong nhà</w:t>
      </w:r>
    </w:p>
    <w:p>
      <w:pPr>
        <w:pStyle w:val="ListBullet"/>
      </w:pPr>
      <w:r>
        <w:rPr>
          <w:rFonts w:ascii="Arial" w:hAnsi="Arial"/>
          <w:b w:val="0"/>
          <w:i w:val="0"/>
          <w:sz w:val="22"/>
        </w:rPr>
        <w:t>Phòng gym và yoga</w:t>
      </w:r>
    </w:p>
    <w:p>
      <w:pPr>
        <w:pStyle w:val="ListBullet"/>
      </w:pPr>
      <w:r>
        <w:rPr>
          <w:rFonts w:ascii="Arial" w:hAnsi="Arial"/>
          <w:b w:val="0"/>
          <w:i w:val="0"/>
          <w:sz w:val="22"/>
        </w:rPr>
        <w:t>Khu BBQ và vườn thư giãn</w:t>
      </w:r>
    </w:p>
    <w:p>
      <w:pPr>
        <w:pStyle w:val="ListBullet"/>
      </w:pPr>
      <w:r>
        <w:rPr>
          <w:rFonts w:ascii="Arial" w:hAnsi="Arial"/>
          <w:b w:val="0"/>
          <w:i w:val="0"/>
          <w:sz w:val="22"/>
        </w:rPr>
        <w:t>Sảnh lobby sang trọng, lễ tân 24/7</w:t>
      </w:r>
    </w:p>
    <w:p>
      <w:pPr>
        <w:pStyle w:val="ListBullet"/>
      </w:pPr>
      <w:r>
        <w:rPr>
          <w:rFonts w:ascii="Arial" w:hAnsi="Arial"/>
          <w:b w:val="0"/>
          <w:i w:val="0"/>
          <w:sz w:val="22"/>
        </w:rPr>
        <w:t>Bảo vệ an ninh 24/7, camera giám sát</w:t>
      </w:r>
    </w:p>
    <w:p>
      <w:pPr>
        <w:pStyle w:val="ListBullet"/>
      </w:pPr>
      <w:r>
        <w:rPr>
          <w:rFonts w:ascii="Arial" w:hAnsi="Arial"/>
          <w:b w:val="0"/>
          <w:i w:val="0"/>
          <w:sz w:val="22"/>
        </w:rPr>
        <w:t>Bãi đỗ xe tầng hầm (thường tính phí riêng)</w:t>
      </w:r>
    </w:p>
    <w:p>
      <w:pPr>
        <w:pStyle w:val="ListBullet"/>
      </w:pPr>
      <w:r>
        <w:rPr>
          <w:rFonts w:ascii="Arial" w:hAnsi="Arial"/>
          <w:b w:val="0"/>
          <w:i w:val="0"/>
          <w:sz w:val="22"/>
        </w:rPr>
        <w:t>Khu vui chơi trẻ em</w:t>
      </w:r>
    </w:p>
    <w:p>
      <w:pPr>
        <w:pStyle w:val="ListBullet"/>
      </w:pPr>
      <w:r>
        <w:rPr>
          <w:rFonts w:ascii="Arial" w:hAnsi="Arial"/>
          <w:b w:val="0"/>
          <w:i w:val="0"/>
          <w:sz w:val="22"/>
        </w:rPr>
        <w:t>Siêu thị tiện lợi hoặc mini-mart trong khuôn viên (Golden Mansion)</w:t>
      </w:r>
    </w:p>
    <w:p>
      <w:pPr>
        <w:spacing w:after="160"/>
      </w:pPr>
      <w:r>
        <w:rPr>
          <w:rFonts w:ascii="Arial" w:hAnsi="Arial"/>
          <w:b/>
          <w:i w:val="0"/>
        </w:rPr>
        <w:t>So sánh tiện ích:</w:t>
      </w:r>
      <w:r>
        <w:rPr>
          <w:rFonts w:ascii="Arial" w:hAnsi="Arial"/>
          <w:b w:val="0"/>
          <w:i w:val="0"/>
        </w:rPr>
        <w:t xml:space="preserve"> Phù hợp cho ai?</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Arial" w:hAnsi="Arial"/>
                <w:b/>
                <w:sz w:val="20"/>
              </w:rPr>
            </w:r>
            <w:r>
              <w:rPr>
                <w:rFonts w:ascii="Arial" w:hAnsi="Arial"/>
                <w:b/>
                <w:i w:val="0"/>
                <w:sz w:val="20"/>
              </w:rPr>
              <w:t>Tiêu chí</w:t>
            </w:r>
          </w:p>
        </w:tc>
        <w:tc>
          <w:tcPr>
            <w:tcW w:type="dxa" w:w="2340"/>
          </w:tcPr>
          <w:p>
            <w:r>
              <w:rPr>
                <w:rFonts w:ascii="Arial" w:hAnsi="Arial"/>
                <w:b/>
                <w:sz w:val="20"/>
              </w:rPr>
            </w:r>
            <w:r>
              <w:rPr>
                <w:rFonts w:ascii="Arial" w:hAnsi="Arial"/>
                <w:b/>
                <w:i w:val="0"/>
                <w:sz w:val="20"/>
              </w:rPr>
              <w:t>The Botanica</w:t>
            </w:r>
          </w:p>
        </w:tc>
        <w:tc>
          <w:tcPr>
            <w:tcW w:type="dxa" w:w="2340"/>
          </w:tcPr>
          <w:p>
            <w:r>
              <w:rPr>
                <w:rFonts w:ascii="Arial" w:hAnsi="Arial"/>
                <w:b/>
                <w:sz w:val="20"/>
              </w:rPr>
            </w:r>
            <w:r>
              <w:rPr>
                <w:rFonts w:ascii="Arial" w:hAnsi="Arial"/>
                <w:b/>
                <w:i w:val="0"/>
                <w:sz w:val="20"/>
              </w:rPr>
              <w:t>Golden Mansion</w:t>
            </w:r>
          </w:p>
        </w:tc>
        <w:tc>
          <w:tcPr>
            <w:tcW w:type="dxa" w:w="2340"/>
          </w:tcPr>
          <w:p>
            <w:r>
              <w:rPr>
                <w:rFonts w:ascii="Arial" w:hAnsi="Arial"/>
                <w:b/>
                <w:sz w:val="20"/>
              </w:rPr>
            </w:r>
            <w:r>
              <w:rPr>
                <w:rFonts w:ascii="Arial" w:hAnsi="Arial"/>
                <w:b/>
                <w:i w:val="0"/>
                <w:sz w:val="20"/>
              </w:rPr>
              <w:t>Phù hợp cho ai</w:t>
            </w:r>
          </w:p>
        </w:tc>
      </w:tr>
      <w:tr>
        <w:tc>
          <w:tcPr>
            <w:tcW w:type="dxa" w:w="2340"/>
          </w:tcPr>
          <w:p>
            <w:r>
              <w:rPr>
                <w:rFonts w:ascii="Arial" w:hAnsi="Arial"/>
                <w:sz w:val="20"/>
              </w:rPr>
            </w:r>
            <w:r>
              <w:rPr>
                <w:rFonts w:ascii="Arial" w:hAnsi="Arial"/>
                <w:b w:val="0"/>
                <w:i w:val="0"/>
                <w:sz w:val="20"/>
              </w:rPr>
              <w:t>Quy mô</w:t>
            </w:r>
          </w:p>
        </w:tc>
        <w:tc>
          <w:tcPr>
            <w:tcW w:type="dxa" w:w="2340"/>
          </w:tcPr>
          <w:p>
            <w:r>
              <w:rPr>
                <w:rFonts w:ascii="Arial" w:hAnsi="Arial"/>
                <w:sz w:val="20"/>
              </w:rPr>
            </w:r>
            <w:r>
              <w:rPr>
                <w:rFonts w:ascii="Arial" w:hAnsi="Arial"/>
                <w:b w:val="0"/>
                <w:i w:val="0"/>
                <w:sz w:val="20"/>
              </w:rPr>
              <w:t>Nhỏ hơn, ít cư dân</w:t>
            </w:r>
          </w:p>
        </w:tc>
        <w:tc>
          <w:tcPr>
            <w:tcW w:type="dxa" w:w="2340"/>
          </w:tcPr>
          <w:p>
            <w:r>
              <w:rPr>
                <w:rFonts w:ascii="Arial" w:hAnsi="Arial"/>
                <w:sz w:val="20"/>
              </w:rPr>
            </w:r>
            <w:r>
              <w:rPr>
                <w:rFonts w:ascii="Arial" w:hAnsi="Arial"/>
                <w:b w:val="0"/>
                <w:i w:val="0"/>
                <w:sz w:val="20"/>
              </w:rPr>
              <w:t>Lớn hơn, đông cư dân</w:t>
            </w:r>
          </w:p>
        </w:tc>
        <w:tc>
          <w:tcPr>
            <w:tcW w:type="dxa" w:w="2340"/>
          </w:tcPr>
          <w:p>
            <w:r>
              <w:rPr>
                <w:rFonts w:ascii="Arial" w:hAnsi="Arial"/>
                <w:sz w:val="20"/>
              </w:rPr>
            </w:r>
            <w:r>
              <w:rPr>
                <w:rFonts w:ascii="Arial" w:hAnsi="Arial"/>
                <w:b w:val="0"/>
                <w:i w:val="0"/>
                <w:sz w:val="20"/>
              </w:rPr>
              <w:t>Thích yên tĩnh → The Botanica</w:t>
            </w:r>
          </w:p>
        </w:tc>
      </w:tr>
      <w:tr>
        <w:tc>
          <w:tcPr>
            <w:tcW w:type="dxa" w:w="2340"/>
          </w:tcPr>
          <w:p>
            <w:r>
              <w:rPr>
                <w:rFonts w:ascii="Arial" w:hAnsi="Arial"/>
                <w:sz w:val="20"/>
              </w:rPr>
            </w:r>
            <w:r>
              <w:rPr>
                <w:rFonts w:ascii="Arial" w:hAnsi="Arial"/>
                <w:b w:val="0"/>
                <w:i w:val="0"/>
                <w:sz w:val="20"/>
              </w:rPr>
              <w:t>Lobby</w:t>
            </w:r>
          </w:p>
        </w:tc>
        <w:tc>
          <w:tcPr>
            <w:tcW w:type="dxa" w:w="2340"/>
          </w:tcPr>
          <w:p>
            <w:r>
              <w:rPr>
                <w:rFonts w:ascii="Arial" w:hAnsi="Arial"/>
                <w:sz w:val="20"/>
              </w:rPr>
            </w:r>
            <w:r>
              <w:rPr>
                <w:rFonts w:ascii="Arial" w:hAnsi="Arial"/>
                <w:b w:val="0"/>
                <w:i w:val="0"/>
                <w:sz w:val="20"/>
              </w:rPr>
              <w:t>Hiện đại, tinh tế</w:t>
            </w:r>
          </w:p>
        </w:tc>
        <w:tc>
          <w:tcPr>
            <w:tcW w:type="dxa" w:w="2340"/>
          </w:tcPr>
          <w:p>
            <w:r>
              <w:rPr>
                <w:rFonts w:ascii="Arial" w:hAnsi="Arial"/>
                <w:sz w:val="20"/>
              </w:rPr>
            </w:r>
            <w:r>
              <w:rPr>
                <w:rFonts w:ascii="Arial" w:hAnsi="Arial"/>
                <w:b w:val="0"/>
                <w:i w:val="0"/>
                <w:sz w:val="20"/>
              </w:rPr>
              <w:t>5 sao, hoành tráng</w:t>
            </w:r>
          </w:p>
        </w:tc>
        <w:tc>
          <w:tcPr>
            <w:tcW w:type="dxa" w:w="2340"/>
          </w:tcPr>
          <w:p>
            <w:r>
              <w:rPr>
                <w:rFonts w:ascii="Arial" w:hAnsi="Arial"/>
                <w:sz w:val="20"/>
              </w:rPr>
            </w:r>
            <w:r>
              <w:rPr>
                <w:rFonts w:ascii="Arial" w:hAnsi="Arial"/>
                <w:b w:val="0"/>
                <w:i w:val="0"/>
                <w:sz w:val="20"/>
              </w:rPr>
              <w:t>Ưa ấn tượng → Golden Mansion</w:t>
            </w:r>
          </w:p>
        </w:tc>
      </w:tr>
      <w:tr>
        <w:tc>
          <w:tcPr>
            <w:tcW w:type="dxa" w:w="2340"/>
          </w:tcPr>
          <w:p>
            <w:r>
              <w:rPr>
                <w:rFonts w:ascii="Arial" w:hAnsi="Arial"/>
                <w:sz w:val="20"/>
              </w:rPr>
            </w:r>
            <w:r>
              <w:rPr>
                <w:rFonts w:ascii="Arial" w:hAnsi="Arial"/>
                <w:b w:val="0"/>
                <w:i w:val="0"/>
                <w:sz w:val="20"/>
              </w:rPr>
              <w:t>Cộng đồng expat</w:t>
            </w:r>
          </w:p>
        </w:tc>
        <w:tc>
          <w:tcPr>
            <w:tcW w:type="dxa" w:w="2340"/>
          </w:tcPr>
          <w:p>
            <w:r>
              <w:rPr>
                <w:rFonts w:ascii="Arial" w:hAnsi="Arial"/>
                <w:sz w:val="20"/>
              </w:rPr>
            </w:r>
            <w:r>
              <w:rPr>
                <w:rFonts w:ascii="Arial" w:hAnsi="Arial"/>
                <w:b w:val="0"/>
                <w:i w:val="0"/>
                <w:sz w:val="20"/>
              </w:rPr>
              <w:t>Ít hơn</w:t>
            </w:r>
          </w:p>
        </w:tc>
        <w:tc>
          <w:tcPr>
            <w:tcW w:type="dxa" w:w="2340"/>
          </w:tcPr>
          <w:p>
            <w:r>
              <w:rPr>
                <w:rFonts w:ascii="Arial" w:hAnsi="Arial"/>
                <w:sz w:val="20"/>
              </w:rPr>
            </w:r>
            <w:r>
              <w:rPr>
                <w:rFonts w:ascii="Arial" w:hAnsi="Arial"/>
                <w:b w:val="0"/>
                <w:i w:val="0"/>
                <w:sz w:val="20"/>
              </w:rPr>
              <w:t>Nhiều hơn</w:t>
            </w:r>
          </w:p>
        </w:tc>
        <w:tc>
          <w:tcPr>
            <w:tcW w:type="dxa" w:w="2340"/>
          </w:tcPr>
          <w:p>
            <w:r>
              <w:rPr>
                <w:rFonts w:ascii="Arial" w:hAnsi="Arial"/>
                <w:sz w:val="20"/>
              </w:rPr>
            </w:r>
            <w:r>
              <w:rPr>
                <w:rFonts w:ascii="Arial" w:hAnsi="Arial"/>
                <w:b w:val="0"/>
                <w:i w:val="0"/>
                <w:sz w:val="20"/>
              </w:rPr>
              <w:t>Người nước ngoài → Golden Mansion</w:t>
            </w:r>
          </w:p>
        </w:tc>
      </w:tr>
      <w:tr>
        <w:tc>
          <w:tcPr>
            <w:tcW w:type="dxa" w:w="2340"/>
          </w:tcPr>
          <w:p>
            <w:r>
              <w:rPr>
                <w:rFonts w:ascii="Arial" w:hAnsi="Arial"/>
                <w:sz w:val="20"/>
              </w:rPr>
            </w:r>
            <w:r>
              <w:rPr>
                <w:rFonts w:ascii="Arial" w:hAnsi="Arial"/>
                <w:b w:val="0"/>
                <w:i w:val="0"/>
                <w:sz w:val="20"/>
              </w:rPr>
              <w:t>Giá thuê</w:t>
            </w:r>
          </w:p>
        </w:tc>
        <w:tc>
          <w:tcPr>
            <w:tcW w:type="dxa" w:w="2340"/>
          </w:tcPr>
          <w:p>
            <w:r>
              <w:rPr>
                <w:rFonts w:ascii="Arial" w:hAnsi="Arial"/>
                <w:sz w:val="20"/>
              </w:rPr>
            </w:r>
            <w:r>
              <w:rPr>
                <w:rFonts w:ascii="Arial" w:hAnsi="Arial"/>
                <w:b w:val="0"/>
                <w:i w:val="0"/>
                <w:sz w:val="20"/>
              </w:rPr>
              <w:t>Nhỉnh thấp hơn ~10%</w:t>
            </w:r>
          </w:p>
        </w:tc>
        <w:tc>
          <w:tcPr>
            <w:tcW w:type="dxa" w:w="2340"/>
          </w:tcPr>
          <w:p>
            <w:r>
              <w:rPr>
                <w:rFonts w:ascii="Arial" w:hAnsi="Arial"/>
                <w:sz w:val="20"/>
              </w:rPr>
            </w:r>
            <w:r>
              <w:rPr>
                <w:rFonts w:ascii="Arial" w:hAnsi="Arial"/>
                <w:b w:val="0"/>
                <w:i w:val="0"/>
                <w:sz w:val="20"/>
              </w:rPr>
              <w:t>Nhỉnh cao hơn</w:t>
            </w:r>
          </w:p>
        </w:tc>
        <w:tc>
          <w:tcPr>
            <w:tcW w:type="dxa" w:w="2340"/>
          </w:tcPr>
          <w:p>
            <w:r>
              <w:rPr>
                <w:rFonts w:ascii="Arial" w:hAnsi="Arial"/>
                <w:sz w:val="20"/>
              </w:rPr>
            </w:r>
            <w:r>
              <w:rPr>
                <w:rFonts w:ascii="Arial" w:hAnsi="Arial"/>
                <w:b w:val="0"/>
                <w:i w:val="0"/>
                <w:sz w:val="20"/>
              </w:rPr>
              <w:t>Tiết kiệm hơn → The Botanica</w:t>
            </w:r>
          </w:p>
        </w:tc>
      </w:tr>
    </w:tbl>
    <w:p/>
    <w:p>
      <w:r>
        <w:rPr>
          <w:color w:val="D1D5DB"/>
        </w:rPr>
        <w:t>────────────────────────────────────────────────────────────</w:t>
      </w:r>
    </w:p>
    <w:p>
      <w:pPr>
        <w:pStyle w:val="Heading2"/>
      </w:pPr>
      <w:r>
        <w:rPr>
          <w:rFonts w:ascii="Arial" w:hAnsi="Arial"/>
          <w:b/>
          <w:color w:val="1E40AF"/>
          <w:sz w:val="30"/>
        </w:rPr>
        <w:t>Vị Trí Novaland Phổ Quang Có Gì Nổi Bật?</w:t>
      </w:r>
    </w:p>
    <w:p>
      <w:pPr>
        <w:spacing w:after="160"/>
      </w:pPr>
      <w:r>
        <w:rPr>
          <w:rFonts w:ascii="Arial" w:hAnsi="Arial"/>
          <w:b w:val="0"/>
          <w:i w:val="0"/>
        </w:rPr>
        <w:t xml:space="preserve">Đường Phổ Quang nằm ở vị trí </w:t>
      </w:r>
      <w:r>
        <w:rPr>
          <w:rFonts w:ascii="Arial" w:hAnsi="Arial"/>
          <w:b/>
          <w:i w:val="0"/>
        </w:rPr>
        <w:t>giao điểm của 3 quận trung tâm</w:t>
      </w:r>
      <w:r>
        <w:rPr>
          <w:rFonts w:ascii="Arial" w:hAnsi="Arial"/>
          <w:b w:val="0"/>
          <w:i w:val="0"/>
        </w:rPr>
        <w:t xml:space="preserve"> TP.HCM: Tân Bình, Phú Nhuận và Gò Vấp — đây là lợi thế di chuyển lớn nhất của khu vực này.</w:t>
      </w:r>
    </w:p>
    <w:p>
      <w:pPr>
        <w:spacing w:after="160"/>
      </w:pPr>
      <w:r>
        <w:rPr>
          <w:rFonts w:ascii="Arial" w:hAnsi="Arial"/>
          <w:b/>
          <w:i w:val="0"/>
        </w:rPr>
        <w:t>Khoảng cách từ Novaland Phổ Quang đến các điểm trọng yếu:</w:t>
      </w:r>
    </w:p>
    <w:p>
      <w:pPr>
        <w:pStyle w:val="ListBullet"/>
      </w:pPr>
      <w:r>
        <w:rPr>
          <w:rFonts w:ascii="Arial" w:hAnsi="Arial"/>
          <w:b w:val="0"/>
          <w:i w:val="0"/>
          <w:sz w:val="22"/>
        </w:rPr>
        <w:t xml:space="preserve">Sân bay Tân Sơn Nhất: </w:t>
      </w:r>
      <w:r>
        <w:rPr>
          <w:rFonts w:ascii="Arial" w:hAnsi="Arial"/>
          <w:b/>
          <w:i w:val="0"/>
          <w:sz w:val="22"/>
        </w:rPr>
        <w:t>3–5 phút</w:t>
      </w:r>
      <w:r>
        <w:rPr>
          <w:rFonts w:ascii="Arial" w:hAnsi="Arial"/>
          <w:b w:val="0"/>
          <w:i w:val="0"/>
          <w:sz w:val="22"/>
        </w:rPr>
        <w:t xml:space="preserve"> (không kẹt xe)</w:t>
      </w:r>
    </w:p>
    <w:p>
      <w:pPr>
        <w:pStyle w:val="ListBullet"/>
      </w:pPr>
      <w:r>
        <w:rPr>
          <w:rFonts w:ascii="Arial" w:hAnsi="Arial"/>
          <w:b w:val="0"/>
          <w:i w:val="0"/>
          <w:sz w:val="22"/>
        </w:rPr>
        <w:t xml:space="preserve">Quận 1 (trung tâm): </w:t>
      </w:r>
      <w:r>
        <w:rPr>
          <w:rFonts w:ascii="Arial" w:hAnsi="Arial"/>
          <w:b/>
          <w:i w:val="0"/>
          <w:sz w:val="22"/>
        </w:rPr>
        <w:t>15–20 phút</w:t>
      </w:r>
      <w:r>
        <w:rPr>
          <w:rFonts w:ascii="Arial" w:hAnsi="Arial"/>
          <w:b w:val="0"/>
          <w:i w:val="0"/>
          <w:sz w:val="22"/>
        </w:rPr>
        <w:t xml:space="preserve"> qua đường Hoàng Văn Thụ</w:t>
      </w:r>
    </w:p>
    <w:p>
      <w:pPr>
        <w:pStyle w:val="ListBullet"/>
      </w:pPr>
      <w:r>
        <w:rPr>
          <w:rFonts w:ascii="Arial" w:hAnsi="Arial"/>
          <w:b w:val="0"/>
          <w:i w:val="0"/>
          <w:sz w:val="22"/>
        </w:rPr>
        <w:t xml:space="preserve">Quận 7 (Phú Mỹ Hưng): </w:t>
      </w:r>
      <w:r>
        <w:rPr>
          <w:rFonts w:ascii="Arial" w:hAnsi="Arial"/>
          <w:b/>
          <w:i w:val="0"/>
          <w:sz w:val="22"/>
        </w:rPr>
        <w:t>25–35 phút</w:t>
      </w:r>
      <w:r>
        <w:rPr>
          <w:rFonts w:ascii="Arial" w:hAnsi="Arial"/>
          <w:b w:val="0"/>
          <w:i w:val="0"/>
          <w:sz w:val="22"/>
        </w:rPr>
        <w:t xml:space="preserve"> qua đại lộ Đông–Tây</w:t>
      </w:r>
    </w:p>
    <w:p>
      <w:pPr>
        <w:pStyle w:val="ListBullet"/>
      </w:pPr>
      <w:r>
        <w:rPr>
          <w:rFonts w:ascii="Arial" w:hAnsi="Arial"/>
          <w:b w:val="0"/>
          <w:i w:val="0"/>
          <w:sz w:val="22"/>
        </w:rPr>
        <w:t xml:space="preserve">Trường Quốc tế BVIS, British Vietnamese: </w:t>
      </w:r>
      <w:r>
        <w:rPr>
          <w:rFonts w:ascii="Arial" w:hAnsi="Arial"/>
          <w:b/>
          <w:i w:val="0"/>
          <w:sz w:val="22"/>
        </w:rPr>
        <w:t>5–10 phút</w:t>
      </w:r>
    </w:p>
    <w:p>
      <w:pPr>
        <w:pStyle w:val="ListBullet"/>
      </w:pPr>
      <w:r>
        <w:rPr>
          <w:rFonts w:ascii="Arial" w:hAnsi="Arial"/>
          <w:b w:val="0"/>
          <w:i w:val="0"/>
          <w:sz w:val="22"/>
        </w:rPr>
        <w:t xml:space="preserve">Bệnh viện Vinmec, FV Hospital: </w:t>
      </w:r>
      <w:r>
        <w:rPr>
          <w:rFonts w:ascii="Arial" w:hAnsi="Arial"/>
          <w:b/>
          <w:i w:val="0"/>
          <w:sz w:val="22"/>
        </w:rPr>
        <w:t>10–15 phút</w:t>
      </w:r>
    </w:p>
    <w:p>
      <w:pPr>
        <w:spacing w:after="160"/>
      </w:pPr>
      <w:r>
        <w:rPr>
          <w:rFonts w:ascii="Arial" w:hAnsi="Arial"/>
          <w:b w:val="0"/>
          <w:i w:val="0"/>
        </w:rPr>
        <w:t xml:space="preserve">Vị trí này lý tưởng cho </w:t>
      </w:r>
      <w:r>
        <w:rPr>
          <w:rFonts w:ascii="Arial" w:hAnsi="Arial"/>
          <w:b/>
          <w:i w:val="0"/>
        </w:rPr>
        <w:t>chuyên gia hay đi công tác nước ngoài, expat làm việc tại quận 1–3, và gia đình có con học trường quốc tế</w:t>
      </w:r>
      <w:r>
        <w:rPr>
          <w:rFonts w:ascii="Arial" w:hAnsi="Arial"/>
          <w:b w:val="0"/>
          <w:i w:val="0"/>
        </w:rPr>
        <w:t xml:space="preserve"> quanh khu sân bay. Xem thêm tổng hợp </w:t>
      </w:r>
      <w:r>
        <w:rPr>
          <w:rFonts w:ascii="Arial" w:hAnsi="Arial"/>
          <w:color w:val="3B82F6"/>
        </w:rPr>
        <w:t>căn hộ gần sân bay Tân Sơn Nhất</w:t>
      </w:r>
      <w:r>
        <w:rPr>
          <w:rFonts w:ascii="Arial" w:hAnsi="Arial"/>
          <w:b w:val="0"/>
          <w:i w:val="0"/>
        </w:rPr>
        <w:t xml:space="preserve"> nếu muốn so sánh thêm lựa chọn.</w:t>
      </w:r>
    </w:p>
    <w:p>
      <w:pPr>
        <w:spacing w:before="60" w:after="60"/>
        <w:ind w:left="567"/>
      </w:pPr>
      <w:r>
        <w:rPr>
          <w:rFonts w:ascii="Arial" w:hAnsi="Arial"/>
          <w:b/>
          <w:i w:val="0"/>
          <w:color w:val="4B5563"/>
          <w:sz w:val="20"/>
        </w:rPr>
        <w:t>Ghi chú thực địa:</w:t>
      </w:r>
      <w:r>
        <w:rPr>
          <w:rFonts w:ascii="Arial" w:hAnsi="Arial"/>
          <w:b w:val="0"/>
          <w:i w:val="0"/>
          <w:color w:val="4B5563"/>
          <w:sz w:val="20"/>
        </w:rPr>
        <w:t xml:space="preserve"> Đoạn Phổ Quang trước cổng Golden Mansion khá ồn trong giờ cao điểm sáng (7–9h) và chiều (17–19h). Các căn hướng Tây nhìn ra mặt đường tiếp xúc tiếng ồn nhiều hơn căn hướng Đông–Nam nhìn vào nội khu. Nếu bạn nhạy cảm tiếng ồn, ưu tiên tầng 10 trở lên và yêu cầu chủ nhà xác nhận hướng căn trước khi ký hợp đồng.</w:t>
      </w:r>
    </w:p>
    <w:p>
      <w:pPr>
        <w:jc w:val="center"/>
      </w:pPr>
      <w:r>
        <w:drawing>
          <wp:inline xmlns:a="http://schemas.openxmlformats.org/drawingml/2006/main" xmlns:pic="http://schemas.openxmlformats.org/drawingml/2006/picture">
            <wp:extent cx="5029200" cy="3378478"/>
            <wp:docPr id="3" name="Picture 3"/>
            <wp:cNvGraphicFramePr>
              <a:graphicFrameLocks noChangeAspect="1"/>
            </wp:cNvGraphicFramePr>
            <a:graphic>
              <a:graphicData uri="http://schemas.openxmlformats.org/drawingml/2006/picture">
                <pic:pic>
                  <pic:nvPicPr>
                    <pic:cNvPr id="0" name="image.jpg" descr="Vị trí căn hộ Novaland Phổ Quang trên bản đồ TP.HCM"/>
                    <pic:cNvPicPr/>
                  </pic:nvPicPr>
                  <pic:blipFill>
                    <a:blip r:embed="rId11"/>
                    <a:stretch>
                      <a:fillRect/>
                    </a:stretch>
                  </pic:blipFill>
                  <pic:spPr>
                    <a:xfrm>
                      <a:off x="0" y="0"/>
                      <a:ext cx="5029200" cy="3378478"/>
                    </a:xfrm>
                    <a:prstGeom prst="rect"/>
                  </pic:spPr>
                </pic:pic>
              </a:graphicData>
            </a:graphic>
          </wp:inline>
        </w:drawing>
      </w:r>
    </w:p>
    <w:p>
      <w:pPr>
        <w:jc w:val="center"/>
      </w:pPr>
      <w:r>
        <w:rPr>
          <w:rFonts w:ascii="Arial" w:hAnsi="Arial"/>
          <w:color w:val="6B7280"/>
          <w:sz w:val="18"/>
        </w:rPr>
        <w:t>Vị trí căn hộ Novaland Phổ Quang trên bản đồ TP.HCM</w:t>
      </w:r>
    </w:p>
    <w:p>
      <w:r>
        <w:rPr>
          <w:color w:val="D1D5DB"/>
        </w:rPr>
        <w:t>────────────────────────────────────────────────────────────</w:t>
      </w:r>
    </w:p>
    <w:p>
      <w:pPr>
        <w:pStyle w:val="Heading2"/>
      </w:pPr>
      <w:r>
        <w:rPr>
          <w:rFonts w:ascii="Arial" w:hAnsi="Arial"/>
          <w:b/>
          <w:color w:val="1E40AF"/>
          <w:sz w:val="30"/>
        </w:rPr>
        <w:t>Thuê Novaland Phổ Quang hay Khu Vực Lân Cận?</w:t>
      </w:r>
    </w:p>
    <w:p>
      <w:pPr>
        <w:spacing w:after="160"/>
      </w:pPr>
      <w:r>
        <w:rPr>
          <w:rFonts w:ascii="Arial" w:hAnsi="Arial"/>
          <w:b w:val="0"/>
          <w:i w:val="0"/>
        </w:rPr>
        <w:t>Trước khi quyết định, nhiều người băn khoăn liệu Novaland Phổ Quang có thực sự đáng tiền hay nên tìm căn hộ ở khu lân cận như Cộng Hòa, Hoàng Văn Thụ hay Nguyễn Văn Trỗi.</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Arial" w:hAnsi="Arial"/>
                <w:b/>
                <w:sz w:val="20"/>
              </w:rPr>
            </w:r>
            <w:r>
              <w:rPr>
                <w:rFonts w:ascii="Arial" w:hAnsi="Arial"/>
                <w:b/>
                <w:i w:val="0"/>
                <w:sz w:val="20"/>
              </w:rPr>
              <w:t>Tiêu chí</w:t>
            </w:r>
          </w:p>
        </w:tc>
        <w:tc>
          <w:tcPr>
            <w:tcW w:type="dxa" w:w="2340"/>
          </w:tcPr>
          <w:p>
            <w:r>
              <w:rPr>
                <w:rFonts w:ascii="Arial" w:hAnsi="Arial"/>
                <w:b/>
                <w:sz w:val="20"/>
              </w:rPr>
            </w:r>
            <w:r>
              <w:rPr>
                <w:rFonts w:ascii="Arial" w:hAnsi="Arial"/>
                <w:b/>
                <w:i w:val="0"/>
                <w:sz w:val="20"/>
              </w:rPr>
              <w:t>Novaland Phổ Quang</w:t>
            </w:r>
          </w:p>
        </w:tc>
        <w:tc>
          <w:tcPr>
            <w:tcW w:type="dxa" w:w="2340"/>
          </w:tcPr>
          <w:p>
            <w:r>
              <w:rPr>
                <w:rFonts w:ascii="Arial" w:hAnsi="Arial"/>
                <w:b/>
                <w:sz w:val="20"/>
              </w:rPr>
            </w:r>
            <w:r>
              <w:rPr>
                <w:rFonts w:ascii="Arial" w:hAnsi="Arial"/>
                <w:b/>
                <w:i w:val="0"/>
                <w:sz w:val="20"/>
              </w:rPr>
              <w:t>Căn hộ khu Cộng Hòa</w:t>
            </w:r>
          </w:p>
        </w:tc>
        <w:tc>
          <w:tcPr>
            <w:tcW w:type="dxa" w:w="2340"/>
          </w:tcPr>
          <w:p>
            <w:r>
              <w:rPr>
                <w:rFonts w:ascii="Arial" w:hAnsi="Arial"/>
                <w:b/>
                <w:sz w:val="20"/>
              </w:rPr>
            </w:r>
            <w:r>
              <w:rPr>
                <w:rFonts w:ascii="Arial" w:hAnsi="Arial"/>
                <w:b/>
                <w:i w:val="0"/>
                <w:sz w:val="20"/>
              </w:rPr>
              <w:t>Căn hộ khu Nguyễn Văn Trỗi</w:t>
            </w:r>
          </w:p>
        </w:tc>
      </w:tr>
      <w:tr>
        <w:tc>
          <w:tcPr>
            <w:tcW w:type="dxa" w:w="2340"/>
          </w:tcPr>
          <w:p>
            <w:r>
              <w:rPr>
                <w:rFonts w:ascii="Arial" w:hAnsi="Arial"/>
                <w:sz w:val="20"/>
              </w:rPr>
            </w:r>
            <w:r>
              <w:rPr>
                <w:rFonts w:ascii="Arial" w:hAnsi="Arial"/>
                <w:b w:val="0"/>
                <w:i w:val="0"/>
                <w:sz w:val="20"/>
              </w:rPr>
              <w:t>Giá thuê 2PN</w:t>
            </w:r>
          </w:p>
        </w:tc>
        <w:tc>
          <w:tcPr>
            <w:tcW w:type="dxa" w:w="2340"/>
          </w:tcPr>
          <w:p>
            <w:r>
              <w:rPr>
                <w:rFonts w:ascii="Arial" w:hAnsi="Arial"/>
                <w:sz w:val="20"/>
              </w:rPr>
            </w:r>
            <w:r>
              <w:rPr>
                <w:rFonts w:ascii="Arial" w:hAnsi="Arial"/>
                <w:b w:val="0"/>
                <w:i w:val="0"/>
                <w:sz w:val="20"/>
              </w:rPr>
              <w:t>16–19 triệu</w:t>
            </w:r>
          </w:p>
        </w:tc>
        <w:tc>
          <w:tcPr>
            <w:tcW w:type="dxa" w:w="2340"/>
          </w:tcPr>
          <w:p>
            <w:r>
              <w:rPr>
                <w:rFonts w:ascii="Arial" w:hAnsi="Arial"/>
                <w:sz w:val="20"/>
              </w:rPr>
            </w:r>
            <w:r>
              <w:rPr>
                <w:rFonts w:ascii="Arial" w:hAnsi="Arial"/>
                <w:b w:val="0"/>
                <w:i w:val="0"/>
                <w:sz w:val="20"/>
              </w:rPr>
              <w:t>12–16 triệu</w:t>
            </w:r>
          </w:p>
        </w:tc>
        <w:tc>
          <w:tcPr>
            <w:tcW w:type="dxa" w:w="2340"/>
          </w:tcPr>
          <w:p>
            <w:r>
              <w:rPr>
                <w:rFonts w:ascii="Arial" w:hAnsi="Arial"/>
                <w:sz w:val="20"/>
              </w:rPr>
            </w:r>
            <w:r>
              <w:rPr>
                <w:rFonts w:ascii="Arial" w:hAnsi="Arial"/>
                <w:b w:val="0"/>
                <w:i w:val="0"/>
                <w:sz w:val="20"/>
              </w:rPr>
              <w:t>14–20 triệu</w:t>
            </w:r>
          </w:p>
        </w:tc>
      </w:tr>
      <w:tr>
        <w:tc>
          <w:tcPr>
            <w:tcW w:type="dxa" w:w="2340"/>
          </w:tcPr>
          <w:p>
            <w:r>
              <w:rPr>
                <w:rFonts w:ascii="Arial" w:hAnsi="Arial"/>
                <w:sz w:val="20"/>
              </w:rPr>
            </w:r>
            <w:r>
              <w:rPr>
                <w:rFonts w:ascii="Arial" w:hAnsi="Arial"/>
                <w:b w:val="0"/>
                <w:i w:val="0"/>
                <w:sz w:val="20"/>
              </w:rPr>
              <w:t>Tiện ích nội khu</w:t>
            </w:r>
          </w:p>
        </w:tc>
        <w:tc>
          <w:tcPr>
            <w:tcW w:type="dxa" w:w="2340"/>
          </w:tcPr>
          <w:p>
            <w:r>
              <w:rPr>
                <w:rFonts w:ascii="Arial" w:hAnsi="Arial"/>
                <w:sz w:val="20"/>
              </w:rPr>
            </w:r>
            <w:r>
              <w:rPr>
                <w:rFonts w:ascii="Arial" w:hAnsi="Arial"/>
                <w:b w:val="0"/>
                <w:i w:val="0"/>
                <w:sz w:val="20"/>
              </w:rPr>
              <w:t>Cao cấp đầy đủ</w:t>
            </w:r>
          </w:p>
        </w:tc>
        <w:tc>
          <w:tcPr>
            <w:tcW w:type="dxa" w:w="2340"/>
          </w:tcPr>
          <w:p>
            <w:r>
              <w:rPr>
                <w:rFonts w:ascii="Arial" w:hAnsi="Arial"/>
                <w:sz w:val="20"/>
              </w:rPr>
            </w:r>
            <w:r>
              <w:rPr>
                <w:rFonts w:ascii="Arial" w:hAnsi="Arial"/>
                <w:b w:val="0"/>
                <w:i w:val="0"/>
                <w:sz w:val="20"/>
              </w:rPr>
              <w:t>Trung bình</w:t>
            </w:r>
          </w:p>
        </w:tc>
        <w:tc>
          <w:tcPr>
            <w:tcW w:type="dxa" w:w="2340"/>
          </w:tcPr>
          <w:p>
            <w:r>
              <w:rPr>
                <w:rFonts w:ascii="Arial" w:hAnsi="Arial"/>
                <w:sz w:val="20"/>
              </w:rPr>
            </w:r>
            <w:r>
              <w:rPr>
                <w:rFonts w:ascii="Arial" w:hAnsi="Arial"/>
                <w:b w:val="0"/>
                <w:i w:val="0"/>
                <w:sz w:val="20"/>
              </w:rPr>
              <w:t>Trung–Cao</w:t>
            </w:r>
          </w:p>
        </w:tc>
      </w:tr>
      <w:tr>
        <w:tc>
          <w:tcPr>
            <w:tcW w:type="dxa" w:w="2340"/>
          </w:tcPr>
          <w:p>
            <w:r>
              <w:rPr>
                <w:rFonts w:ascii="Arial" w:hAnsi="Arial"/>
                <w:sz w:val="20"/>
              </w:rPr>
            </w:r>
            <w:r>
              <w:rPr>
                <w:rFonts w:ascii="Arial" w:hAnsi="Arial"/>
                <w:b w:val="0"/>
                <w:i w:val="0"/>
                <w:sz w:val="20"/>
              </w:rPr>
              <w:t>Cộng đồng expat</w:t>
            </w:r>
          </w:p>
        </w:tc>
        <w:tc>
          <w:tcPr>
            <w:tcW w:type="dxa" w:w="2340"/>
          </w:tcPr>
          <w:p>
            <w:r>
              <w:rPr>
                <w:rFonts w:ascii="Arial" w:hAnsi="Arial"/>
                <w:sz w:val="20"/>
              </w:rPr>
            </w:r>
            <w:r>
              <w:rPr>
                <w:rFonts w:ascii="Arial" w:hAnsi="Arial"/>
                <w:b w:val="0"/>
                <w:i w:val="0"/>
                <w:sz w:val="20"/>
              </w:rPr>
              <w:t>Nhiều</w:t>
            </w:r>
          </w:p>
        </w:tc>
        <w:tc>
          <w:tcPr>
            <w:tcW w:type="dxa" w:w="2340"/>
          </w:tcPr>
          <w:p>
            <w:r>
              <w:rPr>
                <w:rFonts w:ascii="Arial" w:hAnsi="Arial"/>
                <w:sz w:val="20"/>
              </w:rPr>
            </w:r>
            <w:r>
              <w:rPr>
                <w:rFonts w:ascii="Arial" w:hAnsi="Arial"/>
                <w:b w:val="0"/>
                <w:i w:val="0"/>
                <w:sz w:val="20"/>
              </w:rPr>
              <w:t>Ít</w:t>
            </w:r>
          </w:p>
        </w:tc>
        <w:tc>
          <w:tcPr>
            <w:tcW w:type="dxa" w:w="2340"/>
          </w:tcPr>
          <w:p>
            <w:r>
              <w:rPr>
                <w:rFonts w:ascii="Arial" w:hAnsi="Arial"/>
                <w:sz w:val="20"/>
              </w:rPr>
            </w:r>
            <w:r>
              <w:rPr>
                <w:rFonts w:ascii="Arial" w:hAnsi="Arial"/>
                <w:b w:val="0"/>
                <w:i w:val="0"/>
                <w:sz w:val="20"/>
              </w:rPr>
              <w:t>Trung bình</w:t>
            </w:r>
          </w:p>
        </w:tc>
      </w:tr>
      <w:tr>
        <w:tc>
          <w:tcPr>
            <w:tcW w:type="dxa" w:w="2340"/>
          </w:tcPr>
          <w:p>
            <w:r>
              <w:rPr>
                <w:rFonts w:ascii="Arial" w:hAnsi="Arial"/>
                <w:sz w:val="20"/>
              </w:rPr>
            </w:r>
            <w:r>
              <w:rPr>
                <w:rFonts w:ascii="Arial" w:hAnsi="Arial"/>
                <w:b w:val="0"/>
                <w:i w:val="0"/>
                <w:sz w:val="20"/>
              </w:rPr>
              <w:t>Gần sân bay</w:t>
            </w:r>
          </w:p>
        </w:tc>
        <w:tc>
          <w:tcPr>
            <w:tcW w:type="dxa" w:w="2340"/>
          </w:tcPr>
          <w:p>
            <w:r>
              <w:rPr>
                <w:rFonts w:ascii="Arial" w:hAnsi="Arial"/>
                <w:sz w:val="20"/>
              </w:rPr>
            </w:r>
            <w:r>
              <w:rPr>
                <w:rFonts w:ascii="Arial" w:hAnsi="Arial"/>
                <w:b w:val="0"/>
                <w:i w:val="0"/>
                <w:sz w:val="20"/>
              </w:rPr>
              <w:t>Rất gần (3–5 phút)</w:t>
            </w:r>
          </w:p>
        </w:tc>
        <w:tc>
          <w:tcPr>
            <w:tcW w:type="dxa" w:w="2340"/>
          </w:tcPr>
          <w:p>
            <w:r>
              <w:rPr>
                <w:rFonts w:ascii="Arial" w:hAnsi="Arial"/>
                <w:sz w:val="20"/>
              </w:rPr>
            </w:r>
            <w:r>
              <w:rPr>
                <w:rFonts w:ascii="Arial" w:hAnsi="Arial"/>
                <w:b w:val="0"/>
                <w:i w:val="0"/>
                <w:sz w:val="20"/>
              </w:rPr>
              <w:t>Gần (10 phút)</w:t>
            </w:r>
          </w:p>
        </w:tc>
        <w:tc>
          <w:tcPr>
            <w:tcW w:type="dxa" w:w="2340"/>
          </w:tcPr>
          <w:p>
            <w:r>
              <w:rPr>
                <w:rFonts w:ascii="Arial" w:hAnsi="Arial"/>
                <w:sz w:val="20"/>
              </w:rPr>
            </w:r>
            <w:r>
              <w:rPr>
                <w:rFonts w:ascii="Arial" w:hAnsi="Arial"/>
                <w:b w:val="0"/>
                <w:i w:val="0"/>
                <w:sz w:val="20"/>
              </w:rPr>
              <w:t>Trung bình (15 phút)</w:t>
            </w:r>
          </w:p>
        </w:tc>
      </w:tr>
      <w:tr>
        <w:tc>
          <w:tcPr>
            <w:tcW w:type="dxa" w:w="2340"/>
          </w:tcPr>
          <w:p>
            <w:r>
              <w:rPr>
                <w:rFonts w:ascii="Arial" w:hAnsi="Arial"/>
                <w:sz w:val="20"/>
              </w:rPr>
            </w:r>
            <w:r>
              <w:rPr>
                <w:rFonts w:ascii="Arial" w:hAnsi="Arial"/>
                <w:b w:val="0"/>
                <w:i w:val="0"/>
                <w:sz w:val="20"/>
              </w:rPr>
              <w:t>An ninh</w:t>
            </w:r>
          </w:p>
        </w:tc>
        <w:tc>
          <w:tcPr>
            <w:tcW w:type="dxa" w:w="2340"/>
          </w:tcPr>
          <w:p>
            <w:r>
              <w:rPr>
                <w:rFonts w:ascii="Arial" w:hAnsi="Arial"/>
                <w:sz w:val="20"/>
              </w:rPr>
            </w:r>
            <w:r>
              <w:rPr>
                <w:rFonts w:ascii="Arial" w:hAnsi="Arial"/>
                <w:b w:val="0"/>
                <w:i w:val="0"/>
                <w:sz w:val="20"/>
              </w:rPr>
              <w:t>24/7 chuyên nghiệp</w:t>
            </w:r>
          </w:p>
        </w:tc>
        <w:tc>
          <w:tcPr>
            <w:tcW w:type="dxa" w:w="2340"/>
          </w:tcPr>
          <w:p>
            <w:r>
              <w:rPr>
                <w:rFonts w:ascii="Arial" w:hAnsi="Arial"/>
                <w:sz w:val="20"/>
              </w:rPr>
            </w:r>
            <w:r>
              <w:rPr>
                <w:rFonts w:ascii="Arial" w:hAnsi="Arial"/>
                <w:b w:val="0"/>
                <w:i w:val="0"/>
                <w:sz w:val="20"/>
              </w:rPr>
              <w:t>Trung bình</w:t>
            </w:r>
          </w:p>
        </w:tc>
        <w:tc>
          <w:tcPr>
            <w:tcW w:type="dxa" w:w="2340"/>
          </w:tcPr>
          <w:p>
            <w:r>
              <w:rPr>
                <w:rFonts w:ascii="Arial" w:hAnsi="Arial"/>
                <w:sz w:val="20"/>
              </w:rPr>
            </w:r>
            <w:r>
              <w:rPr>
                <w:rFonts w:ascii="Arial" w:hAnsi="Arial"/>
                <w:b w:val="0"/>
                <w:i w:val="0"/>
                <w:sz w:val="20"/>
              </w:rPr>
              <w:t>Tốt</w:t>
            </w:r>
          </w:p>
        </w:tc>
      </w:tr>
      <w:tr>
        <w:tc>
          <w:tcPr>
            <w:tcW w:type="dxa" w:w="2340"/>
          </w:tcPr>
          <w:p>
            <w:r>
              <w:rPr>
                <w:rFonts w:ascii="Arial" w:hAnsi="Arial"/>
                <w:sz w:val="20"/>
              </w:rPr>
            </w:r>
            <w:r>
              <w:rPr>
                <w:rFonts w:ascii="Arial" w:hAnsi="Arial"/>
                <w:b/>
                <w:i w:val="0"/>
                <w:sz w:val="20"/>
              </w:rPr>
              <w:t>Phù hợp cho ai</w:t>
            </w:r>
          </w:p>
        </w:tc>
        <w:tc>
          <w:tcPr>
            <w:tcW w:type="dxa" w:w="2340"/>
          </w:tcPr>
          <w:p>
            <w:r>
              <w:rPr>
                <w:rFonts w:ascii="Arial" w:hAnsi="Arial"/>
                <w:sz w:val="20"/>
              </w:rPr>
            </w:r>
            <w:r>
              <w:rPr>
                <w:rFonts w:ascii="Arial" w:hAnsi="Arial"/>
                <w:b/>
                <w:i w:val="0"/>
                <w:sz w:val="20"/>
              </w:rPr>
              <w:t>Expat, hay công tác</w:t>
            </w:r>
          </w:p>
        </w:tc>
        <w:tc>
          <w:tcPr>
            <w:tcW w:type="dxa" w:w="2340"/>
          </w:tcPr>
          <w:p>
            <w:r>
              <w:rPr>
                <w:rFonts w:ascii="Arial" w:hAnsi="Arial"/>
                <w:sz w:val="20"/>
              </w:rPr>
            </w:r>
            <w:r>
              <w:rPr>
                <w:rFonts w:ascii="Arial" w:hAnsi="Arial"/>
                <w:b/>
                <w:i w:val="0"/>
                <w:sz w:val="20"/>
              </w:rPr>
              <w:t>Người Việt, tiết kiệm</w:t>
            </w:r>
          </w:p>
        </w:tc>
        <w:tc>
          <w:tcPr>
            <w:tcW w:type="dxa" w:w="2340"/>
          </w:tcPr>
          <w:p>
            <w:r>
              <w:rPr>
                <w:rFonts w:ascii="Arial" w:hAnsi="Arial"/>
                <w:sz w:val="20"/>
              </w:rPr>
            </w:r>
            <w:r>
              <w:rPr>
                <w:rFonts w:ascii="Arial" w:hAnsi="Arial"/>
                <w:b/>
                <w:i w:val="0"/>
                <w:sz w:val="20"/>
              </w:rPr>
              <w:t>Gia đình, cân bằng</w:t>
            </w:r>
          </w:p>
        </w:tc>
      </w:tr>
    </w:tbl>
    <w:p/>
    <w:p>
      <w:pPr>
        <w:spacing w:after="160"/>
      </w:pPr>
      <w:r>
        <w:rPr>
          <w:rFonts w:ascii="Arial" w:hAnsi="Arial"/>
          <w:b/>
          <w:i w:val="0"/>
        </w:rPr>
        <w:t>Kết luận:</w:t>
      </w:r>
      <w:r>
        <w:rPr>
          <w:rFonts w:ascii="Arial" w:hAnsi="Arial"/>
          <w:b w:val="0"/>
          <w:i w:val="0"/>
        </w:rPr>
        <w:t xml:space="preserve"> Nếu bạn ưu tiên tiện ích cao cấp, cộng đồng quốc tế và vị trí gần sân bay — Novaland Phổ Quang xứng đáng với mức chênh lệch giá ~2–3 triệu/tháng so với khu lân cận. Xem thêm danh sách </w:t>
      </w:r>
      <w:r>
        <w:rPr>
          <w:rFonts w:ascii="Arial" w:hAnsi="Arial"/>
          <w:color w:val="3B82F6"/>
        </w:rPr>
        <w:t>cho thuê căn hộ quận Phú Nhuận</w:t>
      </w:r>
      <w:r>
        <w:rPr>
          <w:rFonts w:ascii="Arial" w:hAnsi="Arial"/>
          <w:b w:val="0"/>
          <w:i w:val="0"/>
        </w:rPr>
        <w:t xml:space="preserve"> để có thêm lựa chọn, hoặc tham khảo </w:t>
      </w:r>
      <w:r>
        <w:rPr>
          <w:rFonts w:ascii="Arial" w:hAnsi="Arial"/>
          <w:color w:val="3B82F6"/>
        </w:rPr>
        <w:t>bảng giá cho thuê căn hộ TP.HCM 2026</w:t>
      </w:r>
      <w:r>
        <w:rPr>
          <w:rFonts w:ascii="Arial" w:hAnsi="Arial"/>
          <w:b w:val="0"/>
          <w:i w:val="0"/>
        </w:rPr>
        <w:t xml:space="preserve"> để so sánh toàn thành phố.</w:t>
      </w:r>
    </w:p>
    <w:p>
      <w:pPr>
        <w:spacing w:before="60" w:after="60"/>
        <w:ind w:left="567"/>
      </w:pPr>
      <w:r>
        <w:rPr>
          <w:rFonts w:ascii="Arial" w:hAnsi="Arial"/>
          <w:b/>
          <w:i w:val="0"/>
          <w:color w:val="4B5563"/>
          <w:sz w:val="20"/>
        </w:rPr>
        <w:t>Phân biệt cho thuê và mua:</w:t>
      </w:r>
      <w:r>
        <w:rPr>
          <w:rFonts w:ascii="Arial" w:hAnsi="Arial"/>
          <w:b w:val="0"/>
          <w:i w:val="0"/>
          <w:color w:val="4B5563"/>
          <w:sz w:val="20"/>
        </w:rPr>
        <w:t xml:space="preserve"> Bài này tổng hợp thông tin </w:t>
      </w:r>
      <w:r>
        <w:rPr>
          <w:rFonts w:ascii="Arial" w:hAnsi="Arial"/>
          <w:b/>
          <w:i w:val="0"/>
          <w:color w:val="4B5563"/>
          <w:sz w:val="20"/>
        </w:rPr>
        <w:t>cho thuê</w:t>
      </w:r>
      <w:r>
        <w:rPr>
          <w:rFonts w:ascii="Arial" w:hAnsi="Arial"/>
          <w:b w:val="0"/>
          <w:i w:val="0"/>
          <w:color w:val="4B5563"/>
          <w:sz w:val="20"/>
        </w:rPr>
        <w:t xml:space="preserve"> căn hộ Novaland Phổ Quang. Nếu bạn đang tìm </w:t>
      </w:r>
      <w:r>
        <w:rPr>
          <w:rFonts w:ascii="Arial" w:hAnsi="Arial"/>
          <w:b/>
          <w:i w:val="0"/>
          <w:color w:val="4B5563"/>
          <w:sz w:val="20"/>
        </w:rPr>
        <w:t>mua</w:t>
      </w:r>
      <w:r>
        <w:rPr>
          <w:rFonts w:ascii="Arial" w:hAnsi="Arial"/>
          <w:b w:val="0"/>
          <w:i w:val="0"/>
          <w:color w:val="4B5563"/>
          <w:sz w:val="20"/>
        </w:rPr>
        <w:t xml:space="preserve"> căn hộ Novaland Phổ Quang, giá bán khác biệt đáng kể — The Botanica từ ~4–5 tỷ/căn, Golden Mansion từ ~5–7 tỷ/căn tùy diện tích và tầng (nguồn: viethouse.com.vn, 2025).</w:t>
      </w:r>
    </w:p>
    <w:p>
      <w:r>
        <w:rPr>
          <w:color w:val="D1D5DB"/>
        </w:rPr>
        <w:t>────────────────────────────────────────────────────────────</w:t>
      </w:r>
    </w:p>
    <w:p>
      <w:pPr>
        <w:pStyle w:val="Heading2"/>
      </w:pPr>
      <w:r>
        <w:rPr>
          <w:rFonts w:ascii="Arial" w:hAnsi="Arial"/>
          <w:b/>
          <w:color w:val="1E40AF"/>
          <w:sz w:val="30"/>
        </w:rPr>
        <w:t>Làm Thế Nào Để Thuê Căn Hộ Novaland Phổ Quang An Toàn?</w:t>
      </w:r>
    </w:p>
    <w:p>
      <w:pPr>
        <w:spacing w:after="160"/>
      </w:pPr>
      <w:r>
        <w:rPr>
          <w:rFonts w:ascii="Arial" w:hAnsi="Arial"/>
          <w:b w:val="0"/>
          <w:i w:val="0"/>
        </w:rPr>
        <w:t>Quy trình thuê căn hộ Novaland Phổ Quang thường diễn ra qua 5 bước dưới đây. Nắm rõ từng bước giúp bạn tránh bị ép giá, tránh tranh chấp hợp đồng sau này.</w:t>
      </w:r>
    </w:p>
    <w:p>
      <w:pPr>
        <w:spacing w:after="160"/>
      </w:pPr>
      <w:r>
        <w:rPr>
          <w:rFonts w:ascii="Arial" w:hAnsi="Arial"/>
          <w:b/>
          <w:i w:val="0"/>
        </w:rPr>
        <w:t>Bước 1: Xác định nhu cầu và ngân sách</w:t>
      </w:r>
    </w:p>
    <w:p>
      <w:pPr>
        <w:spacing w:after="160"/>
      </w:pPr>
      <w:r>
        <w:rPr>
          <w:rFonts w:ascii="Arial" w:hAnsi="Arial"/>
          <w:b w:val="0"/>
          <w:i w:val="0"/>
        </w:rPr>
        <w:t>Xác định trước: số phòng ngủ, diện tích tối thiểu, yêu cầu nội thất (cơ bản hay full), thời gian thuê (ngắn hạn 3–6 tháng hay dài hạn 12–24 tháng). Thuê dài hạn thường được giảm 5–10% so với giá niêm yết.</w:t>
      </w:r>
    </w:p>
    <w:p>
      <w:pPr>
        <w:spacing w:after="160"/>
      </w:pPr>
      <w:r>
        <w:rPr>
          <w:rFonts w:ascii="Arial" w:hAnsi="Arial"/>
          <w:b/>
          <w:i w:val="0"/>
        </w:rPr>
        <w:t>Bước 2: Tìm nguồn tin đáng tin cậy</w:t>
      </w:r>
    </w:p>
    <w:p>
      <w:pPr>
        <w:spacing w:after="160"/>
      </w:pPr>
      <w:r>
        <w:rPr>
          <w:rFonts w:ascii="Arial" w:hAnsi="Arial"/>
          <w:b w:val="0"/>
          <w:i w:val="0"/>
        </w:rPr>
        <w:t>Ba kênh tìm căn hộ phổ biến và an toàn nhất:</w:t>
      </w:r>
    </w:p>
    <w:p>
      <w:pPr>
        <w:spacing w:before="40" w:after="80"/>
        <w:ind w:left="567" w:hanging="357"/>
      </w:pPr>
      <w:r>
        <w:rPr>
          <w:rFonts w:ascii="Arial" w:hAnsi="Arial"/>
          <w:sz w:val="22"/>
        </w:rPr>
        <w:t xml:space="preserve">1. </w:t>
      </w:r>
      <w:r>
        <w:rPr>
          <w:rFonts w:ascii="Arial" w:hAnsi="Arial"/>
          <w:b/>
          <w:i w:val="0"/>
          <w:sz w:val="22"/>
        </w:rPr>
        <w:t>Ban quản lý dự án</w:t>
      </w:r>
      <w:r>
        <w:rPr>
          <w:rFonts w:ascii="Arial" w:hAnsi="Arial"/>
          <w:b w:val="0"/>
          <w:i w:val="0"/>
          <w:sz w:val="22"/>
        </w:rPr>
        <w:t xml:space="preserve"> — liên hệ trực tiếp để nhận danh sách căn hộ đang trống:</w:t>
      </w:r>
    </w:p>
    <w:p>
      <w:pPr>
        <w:pStyle w:val="ListBullet"/>
      </w:pPr>
      <w:r>
        <w:rPr>
          <w:rFonts w:ascii="Arial" w:hAnsi="Arial"/>
          <w:b/>
          <w:i w:val="0"/>
          <w:sz w:val="22"/>
        </w:rPr>
        <w:t>The Botanica:</w:t>
      </w:r>
      <w:r>
        <w:rPr>
          <w:rFonts w:ascii="Arial" w:hAnsi="Arial"/>
          <w:b w:val="0"/>
          <w:i w:val="0"/>
          <w:sz w:val="22"/>
        </w:rPr>
        <w:t xml:space="preserve"> 0938 55 1919 | Email: bqt.thebotanica@gmail.com</w:t>
      </w:r>
    </w:p>
    <w:p>
      <w:pPr>
        <w:pStyle w:val="ListBullet"/>
      </w:pPr>
      <w:r>
        <w:rPr>
          <w:rFonts w:ascii="Arial" w:hAnsi="Arial"/>
          <w:b/>
          <w:i w:val="0"/>
          <w:sz w:val="22"/>
        </w:rPr>
        <w:t>Golden Mansion (Nova Service):</w:t>
      </w:r>
      <w:r>
        <w:rPr>
          <w:rFonts w:ascii="Arial" w:hAnsi="Arial"/>
          <w:b w:val="0"/>
          <w:i w:val="0"/>
          <w:sz w:val="22"/>
        </w:rPr>
        <w:t xml:space="preserve"> 0934 479 268 | Email: customer@novaservice.vn</w:t>
      </w:r>
    </w:p>
    <w:p>
      <w:pPr>
        <w:spacing w:before="40" w:after="80"/>
        <w:ind w:left="567" w:hanging="357"/>
      </w:pPr>
      <w:r>
        <w:rPr>
          <w:rFonts w:ascii="Arial" w:hAnsi="Arial"/>
          <w:sz w:val="22"/>
        </w:rPr>
        <w:t xml:space="preserve">2. </w:t>
      </w:r>
      <w:r>
        <w:rPr>
          <w:rFonts w:ascii="Arial" w:hAnsi="Arial"/>
          <w:b/>
          <w:i w:val="0"/>
          <w:sz w:val="22"/>
        </w:rPr>
        <w:t>Sàn giao dịch BĐS uy tín</w:t>
      </w:r>
      <w:r>
        <w:rPr>
          <w:rFonts w:ascii="Arial" w:hAnsi="Arial"/>
          <w:b w:val="0"/>
          <w:i w:val="0"/>
          <w:sz w:val="22"/>
        </w:rPr>
        <w:t xml:space="preserve"> — </w:t>
      </w:r>
      <w:r>
        <w:rPr>
          <w:rFonts w:ascii="Arial" w:hAnsi="Arial"/>
          <w:color w:val="3B82F6"/>
          <w:sz w:val="22"/>
        </w:rPr>
        <w:t>batdongsan.com.vn</w:t>
      </w:r>
      <w:r>
        <w:rPr>
          <w:rFonts w:ascii="Arial" w:hAnsi="Arial"/>
          <w:b w:val="0"/>
          <w:i w:val="0"/>
          <w:sz w:val="22"/>
        </w:rPr>
        <w:t xml:space="preserve"> và </w:t>
      </w:r>
      <w:r>
        <w:rPr>
          <w:rFonts w:ascii="Arial" w:hAnsi="Arial"/>
          <w:color w:val="3B82F6"/>
          <w:sz w:val="22"/>
        </w:rPr>
        <w:t>dotproperty.com.vn</w:t>
      </w:r>
      <w:r>
        <w:rPr>
          <w:rFonts w:ascii="Arial" w:hAnsi="Arial"/>
          <w:b w:val="0"/>
          <w:i w:val="0"/>
          <w:sz w:val="22"/>
        </w:rPr>
        <w:t xml:space="preserve"> có nhiều tin cho thuê cập nhật thường xuyên</w:t>
      </w:r>
    </w:p>
    <w:p>
      <w:pPr>
        <w:spacing w:before="40" w:after="80"/>
        <w:ind w:left="567" w:hanging="357"/>
      </w:pPr>
      <w:r>
        <w:rPr>
          <w:rFonts w:ascii="Arial" w:hAnsi="Arial"/>
          <w:sz w:val="22"/>
        </w:rPr>
        <w:t xml:space="preserve">3. </w:t>
      </w:r>
      <w:r>
        <w:rPr>
          <w:rFonts w:ascii="Arial" w:hAnsi="Arial"/>
          <w:b/>
          <w:i w:val="0"/>
          <w:sz w:val="22"/>
        </w:rPr>
        <w:t>Môi giới có giấy phép</w:t>
      </w:r>
      <w:r>
        <w:rPr>
          <w:rFonts w:ascii="Arial" w:hAnsi="Arial"/>
          <w:b w:val="0"/>
          <w:i w:val="0"/>
          <w:sz w:val="22"/>
        </w:rPr>
        <w:t xml:space="preserve"> — ưu tiên môi giới có kinh nghiệm khu vực Tân Bình–Phú Nhuận</w:t>
      </w:r>
    </w:p>
    <w:p>
      <w:pPr>
        <w:spacing w:before="60" w:after="60"/>
        <w:ind w:left="567"/>
      </w:pPr>
      <w:r>
        <w:rPr>
          <w:rFonts w:ascii="Arial" w:hAnsi="Arial"/>
          <w:b/>
          <w:i w:val="0"/>
          <w:color w:val="4B5563"/>
          <w:sz w:val="20"/>
        </w:rPr>
        <w:t>Cảnh báo:</w:t>
      </w:r>
      <w:r>
        <w:rPr>
          <w:rFonts w:ascii="Arial" w:hAnsi="Arial"/>
          <w:b w:val="0"/>
          <w:i w:val="0"/>
          <w:color w:val="4B5563"/>
          <w:sz w:val="20"/>
        </w:rPr>
        <w:t xml:space="preserve"> Tránh các tin đăng yêu cầu đặt cọc trước khi xem nhà thực tế, hoặc giá thấp bất thường (hơn 30% so với mặt bằng chung).</w:t>
      </w:r>
    </w:p>
    <w:p>
      <w:pPr>
        <w:spacing w:after="160"/>
      </w:pPr>
      <w:r>
        <w:rPr>
          <w:rFonts w:ascii="Arial" w:hAnsi="Arial"/>
          <w:b/>
          <w:i w:val="0"/>
        </w:rPr>
        <w:t>Bước 3: Đi xem thực tế</w:t>
      </w:r>
    </w:p>
    <w:p>
      <w:pPr>
        <w:spacing w:after="160"/>
      </w:pPr>
      <w:r>
        <w:rPr>
          <w:rFonts w:ascii="Arial" w:hAnsi="Arial"/>
          <w:b w:val="0"/>
          <w:i w:val="0"/>
        </w:rPr>
        <w:t>Khi xem căn hộ, kiểm tra kỹ:</w:t>
      </w:r>
    </w:p>
    <w:p>
      <w:pPr>
        <w:pStyle w:val="ListBullet"/>
      </w:pPr>
      <w:r>
        <w:rPr>
          <w:rFonts w:ascii="Arial" w:hAnsi="Arial"/>
          <w:b w:val="0"/>
          <w:i w:val="0"/>
          <w:sz w:val="22"/>
        </w:rPr>
        <w:t>Tình trạng nội thất (chụp ảnh đầy đủ trước khi ký)</w:t>
      </w:r>
    </w:p>
    <w:p>
      <w:pPr>
        <w:pStyle w:val="ListBullet"/>
      </w:pPr>
      <w:r>
        <w:rPr>
          <w:rFonts w:ascii="Arial" w:hAnsi="Arial"/>
          <w:b w:val="0"/>
          <w:i w:val="0"/>
          <w:sz w:val="22"/>
        </w:rPr>
        <w:t>Hướng căn (hướng Đông–Nam thông thoáng, tránh hướng Tây nắng gắt)</w:t>
      </w:r>
    </w:p>
    <w:p>
      <w:pPr>
        <w:pStyle w:val="ListBullet"/>
      </w:pPr>
      <w:r>
        <w:rPr>
          <w:rFonts w:ascii="Arial" w:hAnsi="Arial"/>
          <w:b w:val="0"/>
          <w:i w:val="0"/>
          <w:sz w:val="22"/>
        </w:rPr>
        <w:t>Tầng (càng cao view càng đẹp nhưng giá cao hơn; tầng trung 8–15 là tối ưu về giá)</w:t>
      </w:r>
    </w:p>
    <w:p>
      <w:pPr>
        <w:pStyle w:val="ListBullet"/>
      </w:pPr>
      <w:r>
        <w:rPr>
          <w:rFonts w:ascii="Arial" w:hAnsi="Arial"/>
          <w:b w:val="0"/>
          <w:i w:val="0"/>
          <w:sz w:val="22"/>
        </w:rPr>
        <w:t>Tiếng ồn từ đường Phổ Quang (giờ cao điểm khá ồn)</w:t>
      </w:r>
    </w:p>
    <w:p>
      <w:pPr>
        <w:spacing w:after="160"/>
      </w:pPr>
      <w:r>
        <w:rPr>
          <w:rFonts w:ascii="Arial" w:hAnsi="Arial"/>
          <w:b/>
          <w:i w:val="0"/>
        </w:rPr>
        <w:t>Bước 4: Đàm phán và ký hợp đồng</w:t>
      </w:r>
    </w:p>
    <w:p>
      <w:pPr>
        <w:spacing w:after="160"/>
      </w:pPr>
      <w:r>
        <w:rPr>
          <w:rFonts w:ascii="Arial" w:hAnsi="Arial"/>
          <w:b w:val="0"/>
          <w:i w:val="0"/>
        </w:rPr>
        <w:t>Các điều khoản quan trọng cần thỏa thuận rõ trong hợp đồng:</w:t>
      </w:r>
    </w:p>
    <w:p>
      <w:pPr>
        <w:pStyle w:val="ListBullet"/>
      </w:pPr>
      <w:r>
        <w:rPr>
          <w:rFonts w:ascii="Arial" w:hAnsi="Arial"/>
          <w:b w:val="0"/>
          <w:i w:val="0"/>
          <w:sz w:val="22"/>
        </w:rPr>
        <w:t>Giá thuê và thời hạn điều chỉnh giá (thường 1 năm/lần, tăng không quá 5–10%)</w:t>
      </w:r>
    </w:p>
    <w:p>
      <w:pPr>
        <w:pStyle w:val="ListBullet"/>
      </w:pPr>
      <w:r>
        <w:rPr>
          <w:rFonts w:ascii="Arial" w:hAnsi="Arial"/>
          <w:b w:val="0"/>
          <w:i w:val="0"/>
          <w:sz w:val="22"/>
        </w:rPr>
        <w:t>Mức đặt cọc (thông lệ: 1–2 tháng tiền thuê)</w:t>
      </w:r>
    </w:p>
    <w:p>
      <w:pPr>
        <w:pStyle w:val="ListBullet"/>
      </w:pPr>
      <w:r>
        <w:rPr>
          <w:rFonts w:ascii="Arial" w:hAnsi="Arial"/>
          <w:b w:val="0"/>
          <w:i w:val="0"/>
          <w:sz w:val="22"/>
        </w:rPr>
        <w:t>Ai chịu chi phí sửa chữa nhỏ/lớn</w:t>
      </w:r>
    </w:p>
    <w:p>
      <w:pPr>
        <w:pStyle w:val="ListBullet"/>
      </w:pPr>
      <w:r>
        <w:rPr>
          <w:rFonts w:ascii="Arial" w:hAnsi="Arial"/>
          <w:b w:val="0"/>
          <w:i w:val="0"/>
          <w:sz w:val="22"/>
        </w:rPr>
        <w:t>Điều kiện chấm dứt hợp đồng trước hạn</w:t>
      </w:r>
    </w:p>
    <w:p>
      <w:pPr>
        <w:spacing w:after="160"/>
      </w:pPr>
      <w:r>
        <w:rPr>
          <w:rFonts w:ascii="Arial" w:hAnsi="Arial"/>
          <w:b/>
          <w:i w:val="0"/>
        </w:rPr>
        <w:t>Bước 5: Nhận bàn giao và lập biên bản</w:t>
      </w:r>
    </w:p>
    <w:p>
      <w:pPr>
        <w:spacing w:after="160"/>
      </w:pPr>
      <w:r>
        <w:rPr>
          <w:rFonts w:ascii="Arial" w:hAnsi="Arial"/>
          <w:b w:val="0"/>
          <w:i w:val="0"/>
        </w:rPr>
        <w:t xml:space="preserve">Lập </w:t>
      </w:r>
      <w:r>
        <w:rPr>
          <w:rFonts w:ascii="Arial" w:hAnsi="Arial"/>
          <w:b/>
          <w:i w:val="0"/>
        </w:rPr>
        <w:t>biên bản bàn giao tài sản</w:t>
      </w:r>
      <w:r>
        <w:rPr>
          <w:rFonts w:ascii="Arial" w:hAnsi="Arial"/>
          <w:b w:val="0"/>
          <w:i w:val="0"/>
        </w:rPr>
        <w:t xml:space="preserve"> có chữ ký đôi bên, ghi rõ danh sách nội thất và tình trạng hiện tại. Đây là tài liệu quan trọng khi trả nhà để tránh tranh chấp tiền cọc.</w:t>
      </w:r>
    </w:p>
    <w:p>
      <w:r>
        <w:rPr>
          <w:color w:val="D1D5DB"/>
        </w:rPr>
        <w:t>────────────────────────────────────────────────────────────</w:t>
      </w:r>
    </w:p>
    <w:p>
      <w:pPr>
        <w:pStyle w:val="Heading2"/>
      </w:pPr>
      <w:r>
        <w:rPr>
          <w:rFonts w:ascii="Arial" w:hAnsi="Arial"/>
          <w:b/>
          <w:color w:val="1E40AF"/>
          <w:sz w:val="30"/>
        </w:rPr>
        <w:t>Câu Hỏi Thường Gặp (FAQ)</w:t>
      </w:r>
    </w:p>
    <w:p>
      <w:pPr>
        <w:pStyle w:val="Heading3"/>
      </w:pPr>
      <w:r>
        <w:rPr>
          <w:rFonts w:ascii="Arial" w:hAnsi="Arial"/>
          <w:b/>
          <w:color w:val="374151"/>
          <w:sz w:val="26"/>
        </w:rPr>
        <w:t>Cho thuê căn hộ Novaland Phổ Quang giá bao nhiêu?</w:t>
      </w:r>
    </w:p>
    <w:p>
      <w:pPr>
        <w:spacing w:after="160"/>
      </w:pPr>
      <w:r>
        <w:rPr>
          <w:rFonts w:ascii="Arial" w:hAnsi="Arial"/>
          <w:b w:val="0"/>
          <w:i w:val="0"/>
        </w:rPr>
        <w:t>Giá thuê căn hộ Novaland Phổ Quang dao động từ 12 đến 25 triệu đồng/tháng tùy loại căn. Cụ thể: căn 1 phòng ngủ khoảng 12–15 triệu, căn 2 phòng ngủ 15–19 triệu, căn 3 phòng ngủ 20–25 triệu. Giá chưa bao gồm phí quản lý và gửi xe.</w:t>
      </w:r>
    </w:p>
    <w:p>
      <w:pPr>
        <w:pStyle w:val="Heading3"/>
      </w:pPr>
      <w:r>
        <w:rPr>
          <w:rFonts w:ascii="Arial" w:hAnsi="Arial"/>
          <w:b/>
          <w:color w:val="374151"/>
          <w:sz w:val="26"/>
        </w:rPr>
        <w:t>The Botanica và Golden Mansion khác nhau như thế nào?</w:t>
      </w:r>
    </w:p>
    <w:p>
      <w:pPr>
        <w:spacing w:after="160"/>
      </w:pPr>
      <w:r>
        <w:rPr>
          <w:rFonts w:ascii="Arial" w:hAnsi="Arial"/>
          <w:b w:val="0"/>
          <w:i w:val="0"/>
        </w:rPr>
        <w:t>The Botanica tọa lạc tại 104 Phổ Quang, Quận Tân Bình — quy mô nhỏ hơn, giá thuê thấp hơn khoảng 10%, phù hợp người thích yên tĩnh. Golden Mansion ở Phổ Quang, Quận Phú Nhuận — quy mô lớn hơn, lobby 5 sao, cộng đồng expat đông hơn, giá thuê nhỉnh hơn.</w:t>
      </w:r>
    </w:p>
    <w:p>
      <w:pPr>
        <w:pStyle w:val="Heading3"/>
      </w:pPr>
      <w:r>
        <w:rPr>
          <w:rFonts w:ascii="Arial" w:hAnsi="Arial"/>
          <w:b/>
          <w:color w:val="374151"/>
          <w:sz w:val="26"/>
        </w:rPr>
        <w:t>Thuê căn hộ Novaland Phổ Quang có cần trả phí gì ngoài tiền thuê không?</w:t>
      </w:r>
    </w:p>
    <w:p>
      <w:pPr>
        <w:spacing w:after="160"/>
      </w:pPr>
      <w:r>
        <w:rPr>
          <w:rFonts w:ascii="Arial" w:hAnsi="Arial"/>
          <w:b w:val="0"/>
          <w:i w:val="0"/>
        </w:rPr>
        <w:t>Có. Ngoài tiền thuê hàng tháng, người thuê thường phải trả thêm: phí quản lý (khoảng 10.000–15.000 đồng/m²/tháng), phí gửi xe (1,5–2 triệu/tháng cho ô tô), và điện nước theo giá nhà nước hoặc dịch vụ tùy thỏa thuận với chủ nhà.</w:t>
      </w:r>
    </w:p>
    <w:p>
      <w:pPr>
        <w:pStyle w:val="Heading3"/>
      </w:pPr>
      <w:r>
        <w:rPr>
          <w:rFonts w:ascii="Arial" w:hAnsi="Arial"/>
          <w:b/>
          <w:color w:val="374151"/>
          <w:sz w:val="26"/>
        </w:rPr>
        <w:t>Có thể thuê ngắn hạn (dưới 6 tháng) căn hộ Novaland Phổ Quang không?</w:t>
      </w:r>
    </w:p>
    <w:p>
      <w:pPr>
        <w:spacing w:after="160"/>
      </w:pPr>
      <w:r>
        <w:rPr>
          <w:rFonts w:ascii="Arial" w:hAnsi="Arial"/>
          <w:b w:val="0"/>
          <w:i w:val="0"/>
        </w:rPr>
        <w:t>Được, nhưng giá thuê ngắn hạn thường cao hơn 10–20% so với hợp đồng dài hạn 12 tháng. Một số chủ nhà không chấp nhận hợp đồng dưới 3 tháng. Nếu cần thuê ngắn hạn, nên thương lượng rõ điều kiện từ đầu.</w:t>
      </w:r>
    </w:p>
    <w:p>
      <w:pPr>
        <w:pStyle w:val="Heading3"/>
      </w:pPr>
      <w:r>
        <w:rPr>
          <w:rFonts w:ascii="Arial" w:hAnsi="Arial"/>
          <w:b/>
          <w:color w:val="374151"/>
          <w:sz w:val="26"/>
        </w:rPr>
        <w:t>Căn hộ Novaland Phổ Quang có phù hợp cho người nước ngoài (expat) không?</w:t>
      </w:r>
    </w:p>
    <w:p>
      <w:pPr>
        <w:spacing w:after="160"/>
      </w:pPr>
      <w:r>
        <w:rPr>
          <w:rFonts w:ascii="Arial" w:hAnsi="Arial"/>
          <w:b w:val="0"/>
          <w:i w:val="0"/>
        </w:rPr>
        <w:t>Rất phù hợp. Golden Mansion đặc biệt được cộng đồng expat ưa chuộng nhờ vị trí gần sân bay, cộng đồng quốc tế đông đúc, ban quản lý nói được tiếng Anh và hợp đồng thuê có thể lập bằng tiếng Anh. Người nước ngoài cần xuất trình hộ chiếu và visa/thẻ tạm trú để ký hợp đồng.</w:t>
      </w:r>
    </w:p>
    <w:p>
      <w:r>
        <w:rPr>
          <w:color w:val="D1D5DB"/>
        </w:rPr>
        <w:t>────────────────────────────────────────────────────────────</w:t>
      </w:r>
    </w:p>
    <w:p>
      <w:pPr>
        <w:pStyle w:val="Heading2"/>
      </w:pPr>
      <w:r>
        <w:rPr>
          <w:rFonts w:ascii="Arial" w:hAnsi="Arial"/>
          <w:b/>
          <w:color w:val="1E40AF"/>
          <w:sz w:val="30"/>
        </w:rPr>
        <w:t>Kết Luận</w:t>
      </w:r>
    </w:p>
    <w:p>
      <w:pPr>
        <w:spacing w:after="160"/>
      </w:pPr>
      <w:r>
        <w:rPr>
          <w:rFonts w:ascii="Arial" w:hAnsi="Arial"/>
          <w:b w:val="0"/>
          <w:i w:val="0"/>
        </w:rPr>
        <w:t xml:space="preserve">Cho thuê căn hộ Novaland Phổ Quang là lựa chọn đáng cân nhắc nếu bạn ưu tiên </w:t>
      </w:r>
      <w:r>
        <w:rPr>
          <w:rFonts w:ascii="Arial" w:hAnsi="Arial"/>
          <w:b/>
          <w:i w:val="0"/>
        </w:rPr>
        <w:t>vị trí gần sân bay, tiện ích cao cấp và môi trường sống an toàn</w:t>
      </w:r>
      <w:r>
        <w:rPr>
          <w:rFonts w:ascii="Arial" w:hAnsi="Arial"/>
          <w:b w:val="0"/>
          <w:i w:val="0"/>
        </w:rPr>
        <w:t xml:space="preserve"> tại TP.HCM.</w:t>
      </w:r>
    </w:p>
    <w:p>
      <w:pPr>
        <w:spacing w:after="160"/>
      </w:pPr>
      <w:r>
        <w:rPr>
          <w:rFonts w:ascii="Arial" w:hAnsi="Arial"/>
          <w:b w:val="0"/>
          <w:i w:val="0"/>
        </w:rPr>
        <w:t>Tóm tắt những điều cần nhớ:</w:t>
      </w:r>
    </w:p>
    <w:p>
      <w:pPr>
        <w:pStyle w:val="ListBullet"/>
      </w:pPr>
      <w:r>
        <w:rPr>
          <w:rFonts w:ascii="Arial" w:hAnsi="Arial"/>
          <w:b/>
          <w:i w:val="0"/>
          <w:sz w:val="22"/>
        </w:rPr>
        <w:t>2 dự án chính:</w:t>
      </w:r>
      <w:r>
        <w:rPr>
          <w:rFonts w:ascii="Arial" w:hAnsi="Arial"/>
          <w:b w:val="0"/>
          <w:i w:val="0"/>
          <w:sz w:val="22"/>
        </w:rPr>
        <w:t xml:space="preserve"> The Botanica (Q.Tân Bình) và Golden Mansion (Q.Phú Nhuận) — cùng tuyến đường Phổ Quang</w:t>
      </w:r>
    </w:p>
    <w:p>
      <w:pPr>
        <w:pStyle w:val="ListBullet"/>
      </w:pPr>
      <w:r>
        <w:rPr>
          <w:rFonts w:ascii="Arial" w:hAnsi="Arial"/>
          <w:b/>
          <w:i w:val="0"/>
          <w:sz w:val="22"/>
        </w:rPr>
        <w:t>Giá thuê 2026:</w:t>
      </w:r>
      <w:r>
        <w:rPr>
          <w:rFonts w:ascii="Arial" w:hAnsi="Arial"/>
          <w:b w:val="0"/>
          <w:i w:val="0"/>
          <w:sz w:val="22"/>
        </w:rPr>
        <w:t xml:space="preserve"> 12–25 triệu/tháng tùy loại căn và nội thất</w:t>
      </w:r>
    </w:p>
    <w:p>
      <w:pPr>
        <w:pStyle w:val="ListBullet"/>
      </w:pPr>
      <w:r>
        <w:rPr>
          <w:rFonts w:ascii="Arial" w:hAnsi="Arial"/>
          <w:b/>
          <w:i w:val="0"/>
          <w:sz w:val="22"/>
        </w:rPr>
        <w:t>Golden Mansion</w:t>
      </w:r>
      <w:r>
        <w:rPr>
          <w:rFonts w:ascii="Arial" w:hAnsi="Arial"/>
          <w:b w:val="0"/>
          <w:i w:val="0"/>
          <w:sz w:val="22"/>
        </w:rPr>
        <w:t xml:space="preserve"> phù hợp expat, </w:t>
      </w:r>
      <w:r>
        <w:rPr>
          <w:rFonts w:ascii="Arial" w:hAnsi="Arial"/>
          <w:b/>
          <w:i w:val="0"/>
          <w:sz w:val="22"/>
        </w:rPr>
        <w:t>The Botanica</w:t>
      </w:r>
      <w:r>
        <w:rPr>
          <w:rFonts w:ascii="Arial" w:hAnsi="Arial"/>
          <w:b w:val="0"/>
          <w:i w:val="0"/>
          <w:sz w:val="22"/>
        </w:rPr>
        <w:t xml:space="preserve"> phù hợp người Việt tìm căn hộ yên tĩnh hơn với giá tốt hơn</w:t>
      </w:r>
    </w:p>
    <w:p>
      <w:pPr>
        <w:pStyle w:val="ListBullet"/>
      </w:pPr>
      <w:r>
        <w:rPr>
          <w:rFonts w:ascii="Arial" w:hAnsi="Arial"/>
          <w:b w:val="0"/>
          <w:i w:val="0"/>
          <w:sz w:val="22"/>
        </w:rPr>
        <w:t>Luôn lập biên bản bàn giao nội thất trước khi nhận nhà để tránh tranh chấp tiền cọc</w:t>
      </w:r>
    </w:p>
    <w:p>
      <w:pPr>
        <w:spacing w:after="160"/>
      </w:pPr>
      <w:r>
        <w:rPr>
          <w:rFonts w:ascii="Arial" w:hAnsi="Arial"/>
          <w:b w:val="0"/>
          <w:i w:val="0"/>
        </w:rPr>
        <w:t xml:space="preserve">Đang tìm căn hộ phù hợp? Liên hệ trực tiếp ban quản lý The Botanica hoặc Golden Mansion, hoặc tham khảo trực tiếp trên </w:t>
      </w:r>
      <w:r>
        <w:rPr>
          <w:rFonts w:ascii="Arial" w:hAnsi="Arial"/>
          <w:color w:val="3B82F6"/>
        </w:rPr>
        <w:t>batdongsan.com.vn</w:t>
      </w:r>
      <w:r>
        <w:rPr>
          <w:rFonts w:ascii="Arial" w:hAnsi="Arial"/>
          <w:b w:val="0"/>
          <w:i w:val="0"/>
        </w:rPr>
        <w:t xml:space="preserve"> và </w:t>
      </w:r>
      <w:r>
        <w:rPr>
          <w:rFonts w:ascii="Arial" w:hAnsi="Arial"/>
          <w:color w:val="3B82F6"/>
        </w:rPr>
        <w:t>dotproperty.com.vn</w:t>
      </w:r>
      <w:r>
        <w:rPr>
          <w:rFonts w:ascii="Arial" w:hAnsi="Arial"/>
          <w:b w:val="0"/>
          <w:i w:val="0"/>
        </w:rPr>
        <w:t xml:space="preserve"> để có thông tin cho thuê mới nhất.</w:t>
      </w:r>
    </w:p>
    <w:p>
      <w:r>
        <w:rPr>
          <w:color w:val="D1D5DB"/>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