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SELECTED</w:t>
      </w:r>
      <w:r>
        <w:t xml:space="preserve"> </w:t>
      </w:r>
      <w:r>
        <w:t xml:space="preserve">pieces</w:t>
      </w:r>
      <w:r>
        <w:t xml:space="preserve"> </w:t>
      </w:r>
      <w:r>
        <w:t xml:space="preserve">from:</w:t>
      </w:r>
      <w:r>
        <w:t xml:space="preserve"> </w:t>
      </w:r>
      <w:r>
        <w:t xml:space="preserve">Contrasting</w:t>
      </w:r>
      <w:r>
        <w:t xml:space="preserve"> </w:t>
      </w:r>
      <w:r>
        <w:t xml:space="preserve">TLS-derived</w:t>
      </w:r>
      <w:r>
        <w:t xml:space="preserve"> </w:t>
      </w:r>
      <w:r>
        <w:t xml:space="preserve">orthogonal</w:t>
      </w:r>
      <w:r>
        <w:t xml:space="preserve"> </w:t>
      </w:r>
      <w:r>
        <w:t xml:space="preserve">stem</w:t>
      </w:r>
      <w:r>
        <w:t xml:space="preserve"> </w:t>
      </w:r>
      <w:r>
        <w:t xml:space="preserve">profiles,</w:t>
      </w:r>
      <w:r>
        <w:t xml:space="preserve"> </w:t>
      </w:r>
      <w:r>
        <w:t xml:space="preserve">in</w:t>
      </w:r>
      <w:r>
        <w:t xml:space="preserve"> </w:t>
      </w:r>
      <w:r>
        <w:t xml:space="preserve">poplar</w:t>
      </w:r>
      <w:r>
        <w:t xml:space="preserve"> </w:t>
      </w:r>
      <w:r>
        <w:t xml:space="preserve">plantations</w:t>
      </w:r>
    </w:p>
    <w:p>
      <w:pPr>
        <w:pStyle w:val="Author"/>
      </w:pPr>
      <w:r>
        <w:t xml:space="preserve">Puletti</w:t>
      </w:r>
      <w:r>
        <w:t xml:space="preserve"> </w:t>
      </w:r>
      <w:r>
        <w:t xml:space="preserve">N.,</w:t>
      </w:r>
      <w:r>
        <w:t xml:space="preserve"> </w:t>
      </w:r>
      <w:r>
        <w:t xml:space="preserve">Grotti</w:t>
      </w:r>
      <w:r>
        <w:t xml:space="preserve"> </w:t>
      </w:r>
      <w:r>
        <w:t xml:space="preserve">M.,</w:t>
      </w:r>
      <w:r>
        <w:t xml:space="preserve"> </w:t>
      </w:r>
      <w:r>
        <w:t xml:space="preserve">Scotti</w:t>
      </w:r>
      <w:r>
        <w:t xml:space="preserve"> </w:t>
      </w:r>
      <w:r>
        <w:t xml:space="preserve">R.</w:t>
      </w:r>
    </w:p>
    <w:p>
      <w:pPr>
        <w:pStyle w:val="Date"/>
      </w:pPr>
      <w:r>
        <w:t xml:space="preserve">september</w:t>
      </w:r>
      <w:r>
        <w:t xml:space="preserve"> </w:t>
      </w:r>
      <w:r>
        <w:t xml:space="preserve">2018</w:t>
      </w:r>
    </w:p>
    <w:p>
      <w:pPr>
        <w:pStyle w:val="Heading1"/>
      </w:pPr>
      <w:bookmarkStart w:id="20" w:name="select-some-profiles"/>
      <w:r>
        <w:t xml:space="preserve">Select some profiles</w:t>
      </w:r>
      <w:bookmarkEnd w:id="20"/>
    </w:p>
    <w:p>
      <w:pPr>
        <w:pStyle w:val="SourceCode"/>
      </w:pPr>
      <w:r>
        <w:rPr>
          <w:rStyle w:val="VerbatimChar"/>
        </w:rPr>
        <w:t xml:space="preserve">## # A tibble: 12 x 3</w:t>
      </w:r>
      <w:r>
        <w:br w:type="textWrapping"/>
      </w:r>
      <w:r>
        <w:rPr>
          <w:rStyle w:val="VerbatimChar"/>
        </w:rPr>
        <w:t xml:space="preserve">##    Treat treid treid2</w:t>
      </w:r>
      <w:r>
        <w:br w:type="textWrapping"/>
      </w:r>
      <w:r>
        <w:rPr>
          <w:rStyle w:val="VerbatimChar"/>
        </w:rPr>
        <w:t xml:space="preserve">##    &lt;chr&gt; &lt;chr&gt; &lt;chr&gt; </w:t>
      </w:r>
      <w:r>
        <w:br w:type="textWrapping"/>
      </w:r>
      <w:r>
        <w:rPr>
          <w:rStyle w:val="VerbatimChar"/>
        </w:rPr>
        <w:t xml:space="preserve">##  1 V400  s01   A     </w:t>
      </w:r>
      <w:r>
        <w:br w:type="textWrapping"/>
      </w:r>
      <w:r>
        <w:rPr>
          <w:rStyle w:val="VerbatimChar"/>
        </w:rPr>
        <w:t xml:space="preserve">##  2 V400  s03   B     </w:t>
      </w:r>
      <w:r>
        <w:br w:type="textWrapping"/>
      </w:r>
      <w:r>
        <w:rPr>
          <w:rStyle w:val="VerbatimChar"/>
        </w:rPr>
        <w:t xml:space="preserve">##  3 V400  s07   C     </w:t>
      </w:r>
      <w:r>
        <w:br w:type="textWrapping"/>
      </w:r>
      <w:r>
        <w:rPr>
          <w:rStyle w:val="VerbatimChar"/>
        </w:rPr>
        <w:t xml:space="preserve">##  4 V400  s12   D     </w:t>
      </w:r>
      <w:r>
        <w:br w:type="textWrapping"/>
      </w:r>
      <w:r>
        <w:rPr>
          <w:rStyle w:val="VerbatimChar"/>
        </w:rPr>
        <w:t xml:space="preserve">##  5 V450  s07   A     </w:t>
      </w:r>
      <w:r>
        <w:br w:type="textWrapping"/>
      </w:r>
      <w:r>
        <w:rPr>
          <w:rStyle w:val="VerbatimChar"/>
        </w:rPr>
        <w:t xml:space="preserve">##  6 V450  s08   B     </w:t>
      </w:r>
      <w:r>
        <w:br w:type="textWrapping"/>
      </w:r>
      <w:r>
        <w:rPr>
          <w:rStyle w:val="VerbatimChar"/>
        </w:rPr>
        <w:t xml:space="preserve">##  7 V450  s09   C     </w:t>
      </w:r>
      <w:r>
        <w:br w:type="textWrapping"/>
      </w:r>
      <w:r>
        <w:rPr>
          <w:rStyle w:val="VerbatimChar"/>
        </w:rPr>
        <w:t xml:space="preserve">##  8 V450  s12   D     </w:t>
      </w:r>
      <w:r>
        <w:br w:type="textWrapping"/>
      </w:r>
      <w:r>
        <w:rPr>
          <w:rStyle w:val="VerbatimChar"/>
        </w:rPr>
        <w:t xml:space="preserve">##  9 V500  s03   A     </w:t>
      </w:r>
      <w:r>
        <w:br w:type="textWrapping"/>
      </w:r>
      <w:r>
        <w:rPr>
          <w:rStyle w:val="VerbatimChar"/>
        </w:rPr>
        <w:t xml:space="preserve">## 10 V500  s04   B     </w:t>
      </w:r>
      <w:r>
        <w:br w:type="textWrapping"/>
      </w:r>
      <w:r>
        <w:rPr>
          <w:rStyle w:val="VerbatimChar"/>
        </w:rPr>
        <w:t xml:space="preserve">## 11 V500  s08   C     </w:t>
      </w:r>
      <w:r>
        <w:br w:type="textWrapping"/>
      </w:r>
      <w:r>
        <w:rPr>
          <w:rStyle w:val="VerbatimChar"/>
        </w:rPr>
        <w:t xml:space="preserve">## 12 V500  s12   D</w:t>
      </w:r>
    </w:p>
    <w:p>
      <w:pPr>
        <w:pStyle w:val="Heading1"/>
      </w:pPr>
      <w:bookmarkStart w:id="21" w:name="plot-selected-profiles"/>
      <w:r>
        <w:t xml:space="preserve">Plot selected profiles</w:t>
      </w:r>
      <w:bookmarkEnd w:id="21"/>
    </w:p>
    <w:p>
      <w:pPr>
        <w:pStyle w:val="SourceCode"/>
      </w:pPr>
      <w:r>
        <w:rPr>
          <w:rStyle w:val="VerbatimChar"/>
        </w:rPr>
        <w:t xml:space="preserve">## Warning: Column `Treat` joining factor and character vector, coercing into</w:t>
      </w:r>
      <w:r>
        <w:br w:type="textWrapping"/>
      </w:r>
      <w:r>
        <w:rPr>
          <w:rStyle w:val="VerbatimChar"/>
        </w:rPr>
        <w:t xml:space="preserve">## character vector</w:t>
      </w:r>
    </w:p>
    <w:p>
      <w:pPr>
        <w:pStyle w:val="SourceCode"/>
      </w:pPr>
      <w:r>
        <w:rPr>
          <w:rStyle w:val="VerbatimChar"/>
        </w:rPr>
        <w:t xml:space="preserve">## Warning: Column `treid` joining factor and character vector, coercing into</w:t>
      </w:r>
      <w:r>
        <w:br w:type="textWrapping"/>
      </w:r>
      <w:r>
        <w:rPr>
          <w:rStyle w:val="VerbatimChar"/>
        </w:rPr>
        <w:t xml:space="preserve">## character vector</w:t>
      </w:r>
    </w:p>
    <w:p>
      <w:pPr>
        <w:pStyle w:val="FirstParagraph"/>
      </w:pPr>
      <w:r>
        <w:drawing>
          <wp:inline>
            <wp:extent cx="5334000" cy="4044739"/>
            <wp:effectExtent b="0" l="0" r="0" t="0"/>
            <wp:docPr descr="" title="" id="1" name="Picture"/>
            <a:graphic>
              <a:graphicData uri="http://schemas.openxmlformats.org/drawingml/2006/picture">
                <pic:pic>
                  <pic:nvPicPr>
                    <pic:cNvPr descr="AnalysisOfTLSbasedOrthogonalStemProfiles_SelectedOutputs_files/figure-docx/plot1-1.png" id="0" name="Picture"/>
                    <pic:cNvPicPr>
                      <a:picLocks noChangeArrowheads="1" noChangeAspect="1"/>
                    </pic:cNvPicPr>
                  </pic:nvPicPr>
                  <pic:blipFill>
                    <a:blip r:embed="rId22"/>
                    <a:stretch>
                      <a:fillRect/>
                    </a:stretch>
                  </pic:blipFill>
                  <pic:spPr bwMode="auto">
                    <a:xfrm>
                      <a:off x="0" y="0"/>
                      <a:ext cx="5334000" cy="4044739"/>
                    </a:xfrm>
                    <a:prstGeom prst="rect">
                      <a:avLst/>
                    </a:prstGeom>
                    <a:noFill/>
                    <a:ln w="9525">
                      <a:noFill/>
                      <a:headEnd/>
                      <a:tailEnd/>
                    </a:ln>
                  </pic:spPr>
                </pic:pic>
              </a:graphicData>
            </a:graphic>
          </wp:inline>
        </w:drawing>
      </w:r>
    </w:p>
    <w:p>
      <w:pPr>
        <w:pStyle w:val="BodyText"/>
      </w:pPr>
      <w:r>
        <w:t xml:space="preserve">The analysis considers the lower part of the stems, up to 6 m high. The typical neiloidic shape due to butt swell and the transition to the parabloidic shape of the central part of the bole are well recognizable in all the selected profiles. Single curves present some irregularities that are due to data extraction problems. All stems exibit some level of difference between the profile based on measurements taken along the</w:t>
      </w:r>
      <w:r>
        <w:t xml:space="preserve"> </w:t>
      </w:r>
      <w:r>
        <w:t xml:space="preserve">‘</w:t>
      </w:r>
      <w:r>
        <w:t xml:space="preserve">row</w:t>
      </w:r>
      <w:r>
        <w:t xml:space="preserve">’</w:t>
      </w:r>
      <w:r>
        <w:t xml:space="preserve"> </w:t>
      </w:r>
      <w:r>
        <w:t xml:space="preserve">direction, where competition is higher because the neighbours are nearer (and bigger), and the orthogonal measurements, in the direction with the lowest competition.</w:t>
      </w:r>
    </w:p>
    <w:p>
      <w:pPr>
        <w:pStyle w:val="Heading1"/>
      </w:pPr>
      <w:bookmarkStart w:id="23" w:name="quantitative-effects"/>
      <w:r>
        <w:t xml:space="preserve">Quantitative effects</w:t>
      </w:r>
      <w:bookmarkEnd w:id="23"/>
    </w:p>
    <w:p>
      <w:pPr>
        <w:pStyle w:val="SourceCode"/>
      </w:pPr>
      <w:r>
        <w:rPr>
          <w:rStyle w:val="KeywordTok"/>
        </w:rPr>
        <w:t xml:space="preserve">library</w:t>
      </w:r>
      <w:r>
        <w:rPr>
          <w:rStyle w:val="NormalTok"/>
        </w:rPr>
        <w:t xml:space="preserve">(kableExtra)</w:t>
      </w:r>
      <w:r>
        <w:br w:type="textWrapping"/>
      </w:r>
      <w:r>
        <w:br w:type="textWrapping"/>
      </w:r>
      <w:r>
        <w:rPr>
          <w:rStyle w:val="NormalTok"/>
        </w:rPr>
        <w:t xml:space="preserve">TLSdbh_df &lt;-</w:t>
      </w:r>
      <w:r>
        <w:rPr>
          <w:rStyle w:val="StringTok"/>
        </w:rPr>
        <w:t xml:space="preserve"> </w:t>
      </w:r>
      <w:r>
        <w:rPr>
          <w:rStyle w:val="NormalTok"/>
        </w:rPr>
        <w:t xml:space="preserve">tff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w:t>
      </w:r>
      <w:r>
        <w:rPr>
          <w:rStyle w:val="FloatTok"/>
        </w:rPr>
        <w:t xml:space="preserve">1.3</w:t>
      </w:r>
      <w:r>
        <w:rPr>
          <w:rStyle w:val="NormalTok"/>
        </w:rPr>
        <w:t xml:space="preserve"> </w:t>
      </w:r>
      <w:r>
        <w:rPr>
          <w:rStyle w:val="OperatorTok"/>
        </w:rPr>
        <w:t xml:space="preserve">-</w:t>
      </w:r>
      <w:r>
        <w:rPr>
          <w:rStyle w:val="StringTok"/>
        </w:rPr>
        <w:t xml:space="preserve"> </w:t>
      </w:r>
      <w:r>
        <w:rPr>
          <w:rStyle w:val="NormalTok"/>
        </w:rPr>
        <w:t xml:space="preserve">Sect_height)</w:t>
      </w:r>
      <w:r>
        <w:rPr>
          <w:rStyle w:val="OperatorTok"/>
        </w:rPr>
        <w:t xml:space="preserve">&lt;</w:t>
      </w:r>
      <w:r>
        <w:rPr>
          <w:rStyle w:val="NormalTok"/>
        </w:rPr>
        <w:t xml:space="preserve">.</w:t>
      </w:r>
      <w:r>
        <w:rPr>
          <w:rStyle w:val="DecValTok"/>
        </w:rPr>
        <w:t xml:space="preserve">0001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(Treat, treid, TreeId, </w:t>
      </w:r>
      <w:r>
        <w:rPr>
          <w:rStyle w:val="DataTypeTok"/>
        </w:rPr>
        <w:t xml:space="preserve">dbh =</w:t>
      </w:r>
      <w:r>
        <w:rPr>
          <w:rStyle w:val="NormalTok"/>
        </w:rPr>
        <w:t xml:space="preserve"> DBH, </w:t>
      </w:r>
      <w:r>
        <w:rPr>
          <w:rStyle w:val="KeywordTok"/>
        </w:rPr>
        <w:t xml:space="preserve">starts_with</w:t>
      </w:r>
      <w:r>
        <w:rPr>
          <w:rStyle w:val="NormalTok"/>
        </w:rPr>
        <w:t xml:space="preserve">(</w:t>
      </w:r>
      <w:r>
        <w:rPr>
          <w:rStyle w:val="StringTok"/>
        </w:rPr>
        <w:t xml:space="preserve">'diam'</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(direction, TLSdbh, </w:t>
      </w:r>
      <w:r>
        <w:rPr>
          <w:rStyle w:val="KeywordTok"/>
        </w:rPr>
        <w:t xml:space="preserve">starts_with</w:t>
      </w:r>
      <w:r>
        <w:rPr>
          <w:rStyle w:val="NormalTok"/>
        </w:rPr>
        <w:t xml:space="preserve">(</w:t>
      </w:r>
      <w:r>
        <w:rPr>
          <w:rStyle w:val="StringTok"/>
        </w:rPr>
        <w:t xml:space="preserve">'diam'</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TLSdbh =</w:t>
      </w:r>
      <w:r>
        <w:rPr>
          <w:rStyle w:val="Normal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TLSdbh) </w:t>
      </w:r>
      <w:r>
        <w:br w:type="textWrapping"/>
      </w:r>
      <w:r>
        <w:br w:type="textWrapping"/>
      </w:r>
      <w:r>
        <w:rPr>
          <w:rStyle w:val="NormalTok"/>
        </w:rPr>
        <w:t xml:space="preserve">TLSdbh_df </w:t>
      </w:r>
      <w:r>
        <w:rPr>
          <w:rStyle w:val="OperatorTok"/>
        </w:rPr>
        <w:t xml:space="preserve">%&gt;%</w:t>
      </w:r>
      <w:r>
        <w:br w:type="textWrapping"/>
      </w:r>
      <w:r>
        <w:rPr>
          <w:rStyle w:val="StringTok"/>
        </w:rPr>
        <w:t xml:space="preserve">  </w:t>
      </w:r>
      <w:r>
        <w:rPr>
          <w:rStyle w:val="KeywordTok"/>
        </w:rPr>
        <w:t xml:space="preserve">lm</w:t>
      </w:r>
      <w:r>
        <w:rPr>
          <w:rStyle w:val="NormalTok"/>
        </w:rPr>
        <w:t xml:space="preserve">(TLSdbh </w:t>
      </w:r>
      <w:r>
        <w:rPr>
          <w:rStyle w:val="OperatorTok"/>
        </w:rPr>
        <w:t xml:space="preserve">~</w:t>
      </w:r>
      <w:r>
        <w:rPr>
          <w:rStyle w:val="StringTok"/>
        </w:rPr>
        <w:t xml:space="preserve"> </w:t>
      </w:r>
      <w:r>
        <w:rPr>
          <w:rStyle w:val="NormalTok"/>
        </w:rPr>
        <w:t xml:space="preserve">Treat </w:t>
      </w:r>
      <w:r>
        <w:rPr>
          <w:rStyle w:val="OperatorTok"/>
        </w:rPr>
        <w:t xml:space="preserve">+</w:t>
      </w:r>
      <w:r>
        <w:rPr>
          <w:rStyle w:val="StringTok"/>
        </w:rPr>
        <w:t xml:space="preserve"> </w:t>
      </w:r>
      <w:r>
        <w:rPr>
          <w:rStyle w:val="NormalTok"/>
        </w:rPr>
        <w:t xml:space="preserve">direction,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summary</w:t>
      </w:r>
      <w:r>
        <w:rPr>
          <w:rStyle w:val="NormalTok"/>
        </w:rPr>
        <w:t xml:space="preserve">() </w:t>
      </w:r>
      <w:r>
        <w:rPr>
          <w:rStyle w:val="OperatorTok"/>
        </w:rPr>
        <w:t xml:space="preserve">%&gt;%</w:t>
      </w:r>
      <w:r>
        <w:rPr>
          <w:rStyle w:val="StringTok"/>
        </w:rPr>
        <w:t xml:space="preserve"> </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w:t>
      </w:r>
      <w:r>
        <w:rPr>
          <w:rStyle w:val="DataTypeTok"/>
        </w:rPr>
        <w:t xml:space="preserve">digits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ataTypeTok"/>
        </w:rPr>
        <w:t xml:space="preserve">format =</w:t>
      </w:r>
      <w:r>
        <w:rPr>
          <w:rStyle w:val="NormalTok"/>
        </w:rPr>
        <w:t xml:space="preserve"> </w:t>
      </w:r>
      <w:r>
        <w:rPr>
          <w:rStyle w:val="StringTok"/>
        </w:rPr>
        <w:t xml:space="preserve">'markdown'</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"Lateral compression of dbh and plantation density effects"</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37.54</w:t>
            </w:r>
          </w:p>
        </w:tc>
        <w:tc>
          <w:p>
            <w:pPr>
              <w:pStyle w:val="Compact"/>
              <w:jc w:val="right"/>
            </w:pPr>
            <w:r>
              <w:t xml:space="preserve">0.540</w:t>
            </w:r>
          </w:p>
        </w:tc>
        <w:tc>
          <w:p>
            <w:pPr>
              <w:pStyle w:val="Compact"/>
              <w:jc w:val="right"/>
            </w:pPr>
            <w:r>
              <w:t xml:space="preserve">69.560</w:t>
            </w:r>
          </w:p>
        </w:tc>
        <w:tc>
          <w:p>
            <w:pPr>
              <w:pStyle w:val="Compact"/>
              <w:jc w:val="right"/>
            </w:pPr>
            <w:r>
              <w:t xml:space="preserve">0.00000</w:t>
            </w:r>
          </w:p>
        </w:tc>
      </w:tr>
      <w:tr>
        <w:tc>
          <w:p>
            <w:pPr>
              <w:pStyle w:val="Compact"/>
              <w:jc w:val="left"/>
            </w:pPr>
            <w:r>
              <w:t xml:space="preserve">TreatV450</w:t>
            </w:r>
          </w:p>
        </w:tc>
        <w:tc>
          <w:p>
            <w:pPr>
              <w:pStyle w:val="Compact"/>
              <w:jc w:val="right"/>
            </w:pPr>
            <w:r>
              <w:t xml:space="preserve">2.09</w:t>
            </w:r>
          </w:p>
        </w:tc>
        <w:tc>
          <w:p>
            <w:pPr>
              <w:pStyle w:val="Compact"/>
              <w:jc w:val="right"/>
            </w:pPr>
            <w:r>
              <w:t xml:space="preserve">0.661</w:t>
            </w:r>
          </w:p>
        </w:tc>
        <w:tc>
          <w:p>
            <w:pPr>
              <w:pStyle w:val="Compact"/>
              <w:jc w:val="right"/>
            </w:pPr>
            <w:r>
              <w:t xml:space="preserve">3.158</w:t>
            </w:r>
          </w:p>
        </w:tc>
        <w:tc>
          <w:p>
            <w:pPr>
              <w:pStyle w:val="Compact"/>
              <w:jc w:val="right"/>
            </w:pPr>
            <w:r>
              <w:t xml:space="preserve">0.00237</w:t>
            </w:r>
          </w:p>
        </w:tc>
      </w:tr>
      <w:tr>
        <w:tc>
          <w:p>
            <w:pPr>
              <w:pStyle w:val="Compact"/>
              <w:jc w:val="left"/>
            </w:pPr>
            <w:r>
              <w:t xml:space="preserve">TreatV500</w:t>
            </w:r>
          </w:p>
        </w:tc>
        <w:tc>
          <w:p>
            <w:pPr>
              <w:pStyle w:val="Compact"/>
              <w:jc w:val="right"/>
            </w:pPr>
            <w:r>
              <w:t xml:space="preserve">2.60</w:t>
            </w:r>
          </w:p>
        </w:tc>
        <w:tc>
          <w:p>
            <w:pPr>
              <w:pStyle w:val="Compact"/>
              <w:jc w:val="right"/>
            </w:pPr>
            <w:r>
              <w:t xml:space="preserve">0.661</w:t>
            </w:r>
          </w:p>
        </w:tc>
        <w:tc>
          <w:p>
            <w:pPr>
              <w:pStyle w:val="Compact"/>
              <w:jc w:val="right"/>
            </w:pPr>
            <w:r>
              <w:t xml:space="preserve">3.928</w:t>
            </w:r>
          </w:p>
        </w:tc>
        <w:tc>
          <w:p>
            <w:pPr>
              <w:pStyle w:val="Compact"/>
              <w:jc w:val="right"/>
            </w:pPr>
            <w:r>
              <w:t xml:space="preserve">0.00020</w:t>
            </w:r>
          </w:p>
        </w:tc>
      </w:tr>
      <w:tr>
        <w:tc>
          <w:p>
            <w:pPr>
              <w:pStyle w:val="Compact"/>
              <w:jc w:val="left"/>
            </w:pPr>
            <w:r>
              <w:t xml:space="preserve">directiondiam_wti_rows</w:t>
            </w:r>
          </w:p>
        </w:tc>
        <w:tc>
          <w:p>
            <w:pPr>
              <w:pStyle w:val="Compact"/>
              <w:jc w:val="right"/>
            </w:pPr>
            <w:r>
              <w:t xml:space="preserve">-1.84</w:t>
            </w:r>
          </w:p>
        </w:tc>
        <w:tc>
          <w:p>
            <w:pPr>
              <w:pStyle w:val="Compact"/>
              <w:jc w:val="right"/>
            </w:pPr>
            <w:r>
              <w:t xml:space="preserve">0.540</w:t>
            </w:r>
          </w:p>
        </w:tc>
        <w:tc>
          <w:p>
            <w:pPr>
              <w:pStyle w:val="Compact"/>
              <w:jc w:val="right"/>
            </w:pPr>
            <w:r>
              <w:t xml:space="preserve">-3.401</w:t>
            </w:r>
          </w:p>
        </w:tc>
        <w:tc>
          <w:p>
            <w:pPr>
              <w:pStyle w:val="Compact"/>
              <w:jc w:val="right"/>
            </w:pPr>
            <w:r>
              <w:t xml:space="preserve">0.00113</w:t>
            </w:r>
          </w:p>
        </w:tc>
      </w:tr>
    </w:tbl>
    <w:p>
      <w:pPr>
        <w:pStyle w:val="BodyText"/>
      </w:pPr>
      <w:r>
        <w:t xml:space="preserve">Statistical analysis of brest height diameters quantitatively documents the effects of stand density and anisotropic competition. Average diameter for the 4 m spacing is over 37 cm. Increasing the distannce between trees along the row from 4 m to 4.5 m, average diameter increases 2 cm, further increasing to 5 m, average diameter grows almost one centimeter more. On top of all this, the analysis evidences that, on average, brest height crossections are compressed in the row direction: diameters in that direction are 1.8 cm smaller tha the orthogonal ones.</w:t>
      </w:r>
    </w:p>
    <w:p>
      <w:pPr>
        <w:pStyle w:val="Heading1"/>
      </w:pPr>
      <w:bookmarkStart w:id="24" w:name="cross-section-compression"/>
      <w:r>
        <w:t xml:space="preserve">Cross section compression</w:t>
      </w:r>
      <w:bookmarkEnd w:id="24"/>
    </w:p>
    <w:p>
      <w:pPr>
        <w:pStyle w:val="SourceCode"/>
      </w:pPr>
      <w:r>
        <w:rPr>
          <w:rStyle w:val="VerbatimChar"/>
        </w:rPr>
        <w:t xml:space="preserve">## `geom_smooth()` using method = 'loess' and formula 'y ~ x'</w:t>
      </w:r>
    </w:p>
    <w:p>
      <w:pPr>
        <w:pStyle w:val="FirstParagraph"/>
      </w:pPr>
      <w:r>
        <w:drawing>
          <wp:inline>
            <wp:extent cx="5334000" cy="4044739"/>
            <wp:effectExtent b="0" l="0" r="0" t="0"/>
            <wp:docPr descr="" title="" id="1" name="Picture"/>
            <a:graphic>
              <a:graphicData uri="http://schemas.openxmlformats.org/drawingml/2006/picture">
                <pic:pic>
                  <pic:nvPicPr>
                    <pic:cNvPr descr="AnalysisOfTLSbasedOrthogonalStemProfiles_SelectedOutputs_files/figure-docx/plot2-1.png" id="0" name="Picture"/>
                    <pic:cNvPicPr>
                      <a:picLocks noChangeArrowheads="1" noChangeAspect="1"/>
                    </pic:cNvPicPr>
                  </pic:nvPicPr>
                  <pic:blipFill>
                    <a:blip r:embed="rId25"/>
                    <a:stretch>
                      <a:fillRect/>
                    </a:stretch>
                  </pic:blipFill>
                  <pic:spPr bwMode="auto">
                    <a:xfrm>
                      <a:off x="0" y="0"/>
                      <a:ext cx="5334000" cy="4044739"/>
                    </a:xfrm>
                    <a:prstGeom prst="rect">
                      <a:avLst/>
                    </a:prstGeom>
                    <a:noFill/>
                    <a:ln w="9525">
                      <a:noFill/>
                      <a:headEnd/>
                      <a:tailEnd/>
                    </a:ln>
                  </pic:spPr>
                </pic:pic>
              </a:graphicData>
            </a:graphic>
          </wp:inline>
        </w:drawing>
      </w:r>
    </w:p>
    <w:p>
      <w:pPr>
        <w:pStyle w:val="BodyText"/>
      </w:pPr>
      <w:r>
        <w:t xml:space="preserve">Average values and average variability has been computed poolig data from all profiles for each treatment. Cross section compression is evidenced considering the differences between the diameters measured in the two orthogonaldirections: along the rows, where competition is higher and variable (distances to neibouring trees vary from 4 m to 5 m), and between rows (lowest competition, 9 m to nearest competitor). The average differences for the treatment with less competition (5 m along the row) is consistently less than for cases with higher competition (4-4.5m to next competitor). Some irregularities appear in the lower part of the stem where, in the 4 m treatment, cross section compression is, on average, less than for the 4.5 m treatment.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SELECTED pieces from: Contrasting TLS-derived orthogonal stem profiles, in poplar plantations</dc:title>
  <dc:creator>Puletti N., Grotti M., Scotti R.</dc:creator>
  <cp:keywords/>
  <dcterms:created xsi:type="dcterms:W3CDTF">2018-09-24T07:29:28Z</dcterms:created>
  <dcterms:modified xsi:type="dcterms:W3CDTF">2018-09-24T07:29:28Z</dcterms:modified>
</cp:coreProperties>
</file>