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body>
    <w:p w:rsidR="00B50875" w:rsidRDefault="00820CF4">
      <w:pPr>
        <w:spacing w:after="0" w:line="240" w:lineRule="auto"/>
      </w:pPr>
      <w:r>
        <w:rPr>
          <w:sz w:val="36"/>
        </w:rPr>
        <w:t>Tax Costs and Benefits of Unhealthy Food in the UK</w:t>
      </w:r>
    </w:p>
    <w:p w:rsidR="00B50875" w:rsidRDefault="00B50875">
      <w:pPr>
        <w:spacing w:after="0" w:line="240" w:lineRule="auto"/>
      </w:pPr>
    </w:p>
    <w:p w:rsidR="00B50875" w:rsidRDefault="00820CF4">
      <w:pPr>
        <w:spacing w:after="0" w:line="240" w:lineRule="auto"/>
      </w:pPr>
      <w:r>
        <w:t>CONTENTS</w:t>
      </w:r>
    </w:p>
    <w:p w:rsidR="00B50875" w:rsidRDefault="00820CF4">
      <w:pPr>
        <w:spacing w:after="0" w:line="240" w:lineRule="auto"/>
      </w:pPr>
      <w:r>
        <w:rPr>
          <w:b/>
          <w:color w:val="0070C0"/>
        </w:rPr>
        <w:t>1. Background Notes</w:t>
      </w:r>
    </w:p>
    <w:p w:rsidR="00B50875" w:rsidRDefault="00820CF4">
      <w:pPr>
        <w:spacing w:after="0" w:line="240" w:lineRule="auto"/>
      </w:pPr>
      <w:r>
        <w:rPr>
          <w:b/>
        </w:rPr>
        <w:t>1.1</w:t>
      </w:r>
      <w:proofErr w:type="gramStart"/>
      <w:r>
        <w:rPr>
          <w:b/>
        </w:rPr>
        <w:t>.What</w:t>
      </w:r>
      <w:proofErr w:type="gramEnd"/>
      <w:r>
        <w:rPr>
          <w:b/>
        </w:rPr>
        <w:t xml:space="preserve"> is included in VAT?</w:t>
      </w:r>
    </w:p>
    <w:p w:rsidR="00B50875" w:rsidRDefault="00820CF4">
      <w:pPr>
        <w:spacing w:after="0" w:line="240" w:lineRule="auto"/>
      </w:pPr>
      <w:r>
        <w:rPr>
          <w:b/>
        </w:rPr>
        <w:t>1.2 General Statistics</w:t>
      </w:r>
    </w:p>
    <w:p w:rsidR="00B50875" w:rsidRDefault="00820CF4">
      <w:pPr>
        <w:spacing w:after="0" w:line="240" w:lineRule="auto"/>
      </w:pPr>
      <w:r>
        <w:rPr>
          <w:b/>
          <w:color w:val="0070C0"/>
        </w:rPr>
        <w:t>2. Tax received from food industry</w:t>
      </w:r>
    </w:p>
    <w:p w:rsidR="00B50875" w:rsidRDefault="00820CF4">
      <w:pPr>
        <w:spacing w:after="0" w:line="240" w:lineRule="auto"/>
      </w:pPr>
      <w:r>
        <w:rPr>
          <w:b/>
        </w:rPr>
        <w:t>2.1 VAT</w:t>
      </w:r>
    </w:p>
    <w:p w:rsidR="00B50875" w:rsidRDefault="00820CF4">
      <w:pPr>
        <w:spacing w:after="0" w:line="240" w:lineRule="auto"/>
      </w:pPr>
      <w:r>
        <w:rPr>
          <w:b/>
        </w:rPr>
        <w:t>2.2 Corporation tax</w:t>
      </w:r>
    </w:p>
    <w:p w:rsidR="00B50875" w:rsidRDefault="00820CF4">
      <w:pPr>
        <w:spacing w:after="0" w:line="240" w:lineRule="auto"/>
      </w:pPr>
      <w:r>
        <w:rPr>
          <w:b/>
        </w:rPr>
        <w:t>2.3 Tax from employment</w:t>
      </w:r>
    </w:p>
    <w:p w:rsidR="00B50875" w:rsidRDefault="00820CF4">
      <w:pPr>
        <w:spacing w:after="0" w:line="240" w:lineRule="auto"/>
      </w:pPr>
      <w:r>
        <w:rPr>
          <w:b/>
          <w:color w:val="0070C0"/>
        </w:rPr>
        <w:t>3. Tax lost from food industry</w:t>
      </w:r>
    </w:p>
    <w:p w:rsidR="00B50875" w:rsidRDefault="00820CF4">
      <w:pPr>
        <w:spacing w:after="0" w:line="240" w:lineRule="auto"/>
      </w:pPr>
      <w:r>
        <w:rPr>
          <w:b/>
        </w:rPr>
        <w:t>3.1 Tax avoidance / evasion (overseas accounting arrangements)</w:t>
      </w:r>
    </w:p>
    <w:p w:rsidR="00B50875" w:rsidRDefault="00820CF4">
      <w:pPr>
        <w:spacing w:after="0" w:line="240" w:lineRule="auto"/>
      </w:pPr>
      <w:r>
        <w:rPr>
          <w:b/>
        </w:rPr>
        <w:t>3.2 Low wage staff not paying income tax and national insurance</w:t>
      </w:r>
    </w:p>
    <w:p w:rsidR="00B50875" w:rsidRDefault="00820CF4">
      <w:pPr>
        <w:spacing w:after="0" w:line="240" w:lineRule="auto"/>
      </w:pPr>
      <w:r>
        <w:rPr>
          <w:b/>
        </w:rPr>
        <w:t>3.3 Cash based franchises</w:t>
      </w:r>
    </w:p>
    <w:p w:rsidR="00B50875" w:rsidRDefault="00820CF4">
      <w:pPr>
        <w:spacing w:after="0" w:line="240" w:lineRule="auto"/>
      </w:pPr>
      <w:r>
        <w:rPr>
          <w:b/>
        </w:rPr>
        <w:t>3.4 Tax credits to low paid workers</w:t>
      </w:r>
    </w:p>
    <w:p w:rsidR="00B50875" w:rsidRDefault="00820CF4">
      <w:pPr>
        <w:spacing w:after="0" w:line="240" w:lineRule="auto"/>
      </w:pPr>
      <w:r>
        <w:rPr>
          <w:b/>
          <w:color w:val="0070C0"/>
        </w:rPr>
        <w:t>4. Obesity (tax lost and welfare costs incurred, e.g. through relative non-employment)</w:t>
      </w:r>
    </w:p>
    <w:p w:rsidR="00B50875" w:rsidRDefault="00820CF4">
      <w:pPr>
        <w:spacing w:after="0" w:line="240" w:lineRule="auto"/>
      </w:pPr>
      <w:r>
        <w:rPr>
          <w:b/>
        </w:rPr>
        <w:t>4.1 Overall costs</w:t>
      </w:r>
    </w:p>
    <w:p w:rsidR="00B50875" w:rsidRDefault="00820CF4">
      <w:pPr>
        <w:spacing w:after="0" w:line="240" w:lineRule="auto"/>
      </w:pPr>
      <w:r>
        <w:rPr>
          <w:b/>
        </w:rPr>
        <w:t>4.2 Detailed estimation of costs</w:t>
      </w:r>
    </w:p>
    <w:p w:rsidR="00B50875" w:rsidRDefault="00820CF4">
      <w:pPr>
        <w:spacing w:after="0" w:line="240" w:lineRule="auto"/>
      </w:pPr>
      <w:r>
        <w:rPr>
          <w:b/>
        </w:rPr>
        <w:t>4.3 Fat tax, pros</w:t>
      </w:r>
    </w:p>
    <w:p w:rsidR="00B50875" w:rsidRDefault="00820CF4">
      <w:pPr>
        <w:spacing w:after="0" w:line="240" w:lineRule="auto"/>
      </w:pPr>
      <w:r>
        <w:rPr>
          <w:b/>
        </w:rPr>
        <w:t>4.4 Fat tax, cons</w:t>
      </w:r>
    </w:p>
    <w:p w:rsidR="00B50875" w:rsidRDefault="00B50875">
      <w:pPr>
        <w:spacing w:after="0" w:line="240" w:lineRule="auto"/>
      </w:pPr>
    </w:p>
    <w:p w:rsidR="00B50875" w:rsidRDefault="00B50875">
      <w:pPr>
        <w:spacing w:after="0" w:line="240" w:lineRule="auto"/>
      </w:pPr>
    </w:p>
    <w:p w:rsidR="00B50875" w:rsidRDefault="00820CF4">
      <w:pPr>
        <w:spacing w:after="0" w:line="240" w:lineRule="auto"/>
      </w:pPr>
      <w:r>
        <w:rPr>
          <w:b/>
          <w:color w:val="0070C0"/>
        </w:rPr>
        <w:t>1. Background Notes</w:t>
      </w:r>
    </w:p>
    <w:p w:rsidR="00B50875" w:rsidRDefault="00B50875">
      <w:pPr>
        <w:spacing w:after="0" w:line="240" w:lineRule="auto"/>
      </w:pPr>
    </w:p>
    <w:p w:rsidR="00B50875" w:rsidRDefault="00820CF4">
      <w:pPr>
        <w:numPr>
          <w:ilvl w:val="1"/>
          <w:numId w:val="1"/>
        </w:numPr>
        <w:spacing w:after="0" w:line="240" w:lineRule="auto"/>
        <w:ind w:hanging="359"/>
        <w:rPr>
          <w:b/>
        </w:rPr>
      </w:pPr>
      <w:r>
        <w:rPr>
          <w:b/>
        </w:rPr>
        <w:t xml:space="preserve">What is included in VAT? </w:t>
      </w:r>
    </w:p>
    <w:p w:rsidR="00B50875" w:rsidRDefault="00B50875">
      <w:pPr>
        <w:spacing w:after="0" w:line="240" w:lineRule="auto"/>
      </w:pPr>
    </w:p>
    <w:p w:rsidR="00B50875" w:rsidRDefault="00820CF4">
      <w:pPr>
        <w:spacing w:after="0" w:line="240" w:lineRule="auto"/>
      </w:pPr>
      <w:r>
        <w:t>In the UK, most food is VAT zero-rated. But the exceptions are often unhealthy food:</w:t>
      </w:r>
    </w:p>
    <w:p w:rsidR="00B50875" w:rsidRDefault="00B50875">
      <w:pPr>
        <w:spacing w:after="0" w:line="240" w:lineRule="auto"/>
      </w:pPr>
    </w:p>
    <w:tbl>
      <w:tblPr>
        <w:tblStyle w:val="4"/>
        <w:tblW w:w="4621" w:type="dxa"/>
        <w:tblInd w:w="-114" w:type="dxa"/>
        <w:tblBorders>
          <w:top w:val="single" w:sz="8" w:space="0" w:color="4F81BD"/>
          <w:bottom w:val="single" w:sz="8" w:space="0" w:color="4F81BD"/>
        </w:tblBorders>
        <w:tblLayout w:type="fixed"/>
        <w:tblLook w:val="04A0" w:firstRow="1" w:lastRow="0" w:firstColumn="1" w:lastColumn="0" w:noHBand="0" w:noVBand="1"/>
      </w:tblPr>
      <w:tblGrid>
        <w:gridCol w:w="4621"/>
      </w:tblGrid>
      <w:tr w:rsidR="00B508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B50875" w:rsidRDefault="00820CF4">
            <w:r>
              <w:rPr>
                <w:b w:val="0"/>
              </w:rPr>
              <w:t>Standard-rate (20%)</w:t>
            </w:r>
          </w:p>
        </w:tc>
      </w:tr>
      <w:tr w:rsidR="00B508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B50875" w:rsidRDefault="00820CF4">
            <w:r>
              <w:rPr>
                <w:b w:val="0"/>
              </w:rPr>
              <w:t>Ice cream</w:t>
            </w:r>
          </w:p>
        </w:tc>
      </w:tr>
      <w:tr w:rsidR="00B50875">
        <w:tc>
          <w:tcPr>
            <w:cnfStyle w:val="001000000000" w:firstRow="0" w:lastRow="0" w:firstColumn="1" w:lastColumn="0" w:oddVBand="0" w:evenVBand="0" w:oddHBand="0" w:evenHBand="0" w:firstRowFirstColumn="0" w:firstRowLastColumn="0" w:lastRowFirstColumn="0" w:lastRowLastColumn="0"/>
            <w:tcW w:w="4621" w:type="dxa"/>
          </w:tcPr>
          <w:p w:rsidR="00B50875" w:rsidRDefault="00820CF4">
            <w:r>
              <w:rPr>
                <w:b w:val="0"/>
              </w:rPr>
              <w:t>Confectionary, apart from some cakes &amp; biscuits</w:t>
            </w:r>
          </w:p>
        </w:tc>
      </w:tr>
      <w:tr w:rsidR="00B508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B50875" w:rsidRDefault="00820CF4">
            <w:r>
              <w:rPr>
                <w:b w:val="0"/>
              </w:rPr>
              <w:t>Potato-based or cereal-swelling snacks</w:t>
            </w:r>
          </w:p>
        </w:tc>
      </w:tr>
      <w:tr w:rsidR="00B50875">
        <w:tc>
          <w:tcPr>
            <w:cnfStyle w:val="001000000000" w:firstRow="0" w:lastRow="0" w:firstColumn="1" w:lastColumn="0" w:oddVBand="0" w:evenVBand="0" w:oddHBand="0" w:evenHBand="0" w:firstRowFirstColumn="0" w:firstRowLastColumn="0" w:lastRowFirstColumn="0" w:lastRowLastColumn="0"/>
            <w:tcW w:w="4621" w:type="dxa"/>
          </w:tcPr>
          <w:p w:rsidR="00B50875" w:rsidRDefault="00820CF4">
            <w:r>
              <w:rPr>
                <w:b w:val="0"/>
              </w:rPr>
              <w:t>Alcoholic beverages</w:t>
            </w:r>
          </w:p>
        </w:tc>
      </w:tr>
      <w:tr w:rsidR="00B508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B50875" w:rsidRDefault="00820CF4">
            <w:r>
              <w:rPr>
                <w:b w:val="0"/>
              </w:rPr>
              <w:t>Other beverages (e.g. juice)</w:t>
            </w:r>
          </w:p>
        </w:tc>
      </w:tr>
      <w:tr w:rsidR="00B50875">
        <w:tc>
          <w:tcPr>
            <w:cnfStyle w:val="001000000000" w:firstRow="0" w:lastRow="0" w:firstColumn="1" w:lastColumn="0" w:oddVBand="0" w:evenVBand="0" w:oddHBand="0" w:evenHBand="0" w:firstRowFirstColumn="0" w:firstRowLastColumn="0" w:lastRowFirstColumn="0" w:lastRowLastColumn="0"/>
            <w:tcW w:w="4621" w:type="dxa"/>
          </w:tcPr>
          <w:p w:rsidR="00B50875" w:rsidRDefault="00820CF4">
            <w:r>
              <w:rPr>
                <w:b w:val="0"/>
              </w:rPr>
              <w:t>Products for home brewing &amp; wine making</w:t>
            </w:r>
          </w:p>
        </w:tc>
      </w:tr>
      <w:tr w:rsidR="00B508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rsidR="00B50875" w:rsidRDefault="00820CF4">
            <w:r>
              <w:rPr>
                <w:b w:val="0"/>
              </w:rPr>
              <w:t>Catering products</w:t>
            </w:r>
          </w:p>
        </w:tc>
      </w:tr>
    </w:tbl>
    <w:p w:rsidR="00B50875" w:rsidRDefault="00820CF4">
      <w:pPr>
        <w:spacing w:after="0" w:line="240" w:lineRule="auto"/>
      </w:pPr>
      <w:r>
        <w:rPr>
          <w:i/>
        </w:rPr>
        <w:t>Source: ONS</w:t>
      </w:r>
      <w:r>
        <w:rPr>
          <w:i/>
          <w:vertAlign w:val="superscript"/>
        </w:rPr>
        <w:footnoteReference w:id="1"/>
      </w:r>
    </w:p>
    <w:p w:rsidR="00B50875" w:rsidRDefault="00B50875">
      <w:pPr>
        <w:spacing w:after="0" w:line="240" w:lineRule="auto"/>
      </w:pPr>
    </w:p>
    <w:p w:rsidR="00B50875" w:rsidRDefault="00820CF4">
      <w:pPr>
        <w:spacing w:after="0" w:line="240" w:lineRule="auto"/>
      </w:pPr>
      <w:r>
        <w:t>Of note firstly are beverages, most of which are zero-rated and treated as “food”. This includes milk, teas, cocoa/drinking chocolate and coffee. On the other hand, flavouring for milk shakes, mineral water, flavourings for standard drinks, fruit juices/squashes and carbonated drinks have standard-rated VAT.</w:t>
      </w:r>
    </w:p>
    <w:p w:rsidR="00B50875" w:rsidRDefault="00B50875">
      <w:pPr>
        <w:spacing w:after="0" w:line="240" w:lineRule="auto"/>
      </w:pPr>
    </w:p>
    <w:p w:rsidR="00B50875" w:rsidRDefault="00820CF4">
      <w:pPr>
        <w:spacing w:after="0" w:line="240" w:lineRule="auto"/>
      </w:pPr>
      <w:r>
        <w:t>Secondly, for catering and take-away food, non-private schools may be exempt from VAT, and all hospitals are exempt.</w:t>
      </w:r>
    </w:p>
    <w:p w:rsidR="00B50875" w:rsidRDefault="00B50875">
      <w:pPr>
        <w:spacing w:after="0" w:line="240" w:lineRule="auto"/>
      </w:pPr>
    </w:p>
    <w:p w:rsidR="00B50875" w:rsidRDefault="00820CF4">
      <w:pPr>
        <w:numPr>
          <w:ilvl w:val="1"/>
          <w:numId w:val="1"/>
        </w:numPr>
        <w:spacing w:after="0" w:line="240" w:lineRule="auto"/>
        <w:ind w:hanging="359"/>
        <w:rPr>
          <w:b/>
        </w:rPr>
      </w:pPr>
      <w:r>
        <w:rPr>
          <w:b/>
        </w:rPr>
        <w:t>General Statistics</w:t>
      </w:r>
    </w:p>
    <w:p w:rsidR="00B50875" w:rsidRDefault="00B50875">
      <w:pPr>
        <w:spacing w:after="0" w:line="240" w:lineRule="auto"/>
      </w:pPr>
    </w:p>
    <w:p w:rsidR="00B50875" w:rsidRDefault="00820CF4">
      <w:pPr>
        <w:spacing w:after="0" w:line="240" w:lineRule="auto"/>
      </w:pPr>
      <w:r>
        <w:lastRenderedPageBreak/>
        <w:t>According to the ONS Annual Business Survey (ABS 2014</w:t>
      </w:r>
      <w:r>
        <w:rPr>
          <w:vertAlign w:val="superscript"/>
        </w:rPr>
        <w:footnoteReference w:id="2"/>
      </w:r>
      <w:r>
        <w:t>), the UK Food Industry (SIC 2007 47.2, Retail sale of fruit and vegetables in specialized stores + 56, Food and beverage service activities) turned over £97.113bn in 2013, employed 421,000 workers with an average total cost of £17.771m. The Gross Value Added was £20.693bn.</w:t>
      </w:r>
    </w:p>
    <w:p w:rsidR="00B50875" w:rsidRDefault="00B50875">
      <w:pPr>
        <w:spacing w:after="0" w:line="240" w:lineRule="auto"/>
      </w:pPr>
    </w:p>
    <w:p w:rsidR="00B50875" w:rsidRDefault="00820CF4">
      <w:pPr>
        <w:spacing w:after="0" w:line="240" w:lineRule="auto"/>
      </w:pPr>
      <w:r>
        <w:rPr>
          <w:b/>
        </w:rPr>
        <w:t>1.3 Standard Industry Classification</w:t>
      </w:r>
    </w:p>
    <w:p w:rsidR="00B50875" w:rsidRDefault="00B50875">
      <w:pPr>
        <w:spacing w:after="0" w:line="240" w:lineRule="auto"/>
      </w:pPr>
    </w:p>
    <w:p w:rsidR="00B50875" w:rsidRDefault="00820CF4">
      <w:pPr>
        <w:spacing w:after="0" w:line="240" w:lineRule="auto"/>
      </w:pPr>
      <w:r>
        <w:t xml:space="preserve">In this report, the Food and Drink industry will be defined as the following: SIC 03: Fishing and aquaculture, SIC 10: Manufacture of food </w:t>
      </w:r>
      <w:proofErr w:type="gramStart"/>
      <w:r>
        <w:t>products,</w:t>
      </w:r>
      <w:proofErr w:type="gramEnd"/>
      <w:r>
        <w:t xml:space="preserve"> and SIC 11: Manufacture of beverages. This is a common way to classify the Food and Drink industry, but note that it excludes SIC 56: Food and beverage service activities.</w:t>
      </w:r>
    </w:p>
    <w:p w:rsidR="00B50875" w:rsidRDefault="00B50875">
      <w:pPr>
        <w:spacing w:after="0" w:line="240" w:lineRule="auto"/>
      </w:pPr>
    </w:p>
    <w:p w:rsidR="00B50875" w:rsidRDefault="00820CF4">
      <w:pPr>
        <w:spacing w:after="0" w:line="240" w:lineRule="auto"/>
      </w:pPr>
      <w:r>
        <w:rPr>
          <w:b/>
          <w:color w:val="0070C0"/>
        </w:rPr>
        <w:t>2. Tax received from food industry</w:t>
      </w:r>
    </w:p>
    <w:p w:rsidR="00B50875" w:rsidRDefault="00B50875">
      <w:pPr>
        <w:spacing w:after="0" w:line="240" w:lineRule="auto"/>
      </w:pPr>
    </w:p>
    <w:p w:rsidR="00B50875" w:rsidRDefault="00820CF4">
      <w:pPr>
        <w:spacing w:after="0" w:line="240" w:lineRule="auto"/>
      </w:pPr>
      <w:r>
        <w:rPr>
          <w:b/>
        </w:rPr>
        <w:t>2.1 VAT</w:t>
      </w:r>
    </w:p>
    <w:p w:rsidR="00B50875" w:rsidRDefault="00B50875">
      <w:pPr>
        <w:spacing w:after="0" w:line="240" w:lineRule="auto"/>
      </w:pPr>
    </w:p>
    <w:p w:rsidR="00B50875" w:rsidRDefault="00820CF4">
      <w:pPr>
        <w:spacing w:after="0" w:line="240" w:lineRule="auto"/>
      </w:pPr>
      <w:r>
        <w:rPr>
          <w:b/>
        </w:rPr>
        <w:t>2.1.1 Using the ONS Annual Business Survey</w:t>
      </w:r>
    </w:p>
    <w:p w:rsidR="00B50875" w:rsidRDefault="00B50875">
      <w:pPr>
        <w:spacing w:after="0" w:line="240" w:lineRule="auto"/>
      </w:pPr>
    </w:p>
    <w:p w:rsidR="00B50875" w:rsidRDefault="00B50875">
      <w:pPr>
        <w:spacing w:after="0" w:line="240" w:lineRule="auto"/>
      </w:pPr>
    </w:p>
    <w:tbl>
      <w:tblPr>
        <w:tblStyle w:val="3"/>
        <w:tblW w:w="9140" w:type="dxa"/>
        <w:tblInd w:w="-114" w:type="dxa"/>
        <w:tblBorders>
          <w:top w:val="single" w:sz="8" w:space="0" w:color="4F81BD"/>
          <w:bottom w:val="single" w:sz="8" w:space="0" w:color="4F81BD"/>
        </w:tblBorders>
        <w:tblLayout w:type="fixed"/>
        <w:tblLook w:val="04A0" w:firstRow="1" w:lastRow="0" w:firstColumn="1" w:lastColumn="0" w:noHBand="0" w:noVBand="1"/>
      </w:tblPr>
      <w:tblGrid>
        <w:gridCol w:w="1524"/>
        <w:gridCol w:w="1524"/>
        <w:gridCol w:w="1523"/>
        <w:gridCol w:w="1523"/>
        <w:gridCol w:w="1523"/>
        <w:gridCol w:w="1523"/>
      </w:tblGrid>
      <w:tr w:rsidR="004D0107" w:rsidTr="00B50875">
        <w:trPr>
          <w:gridAfter w:val="4"/>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450" w:type="dxa"/>
          </w:tcPr>
          <w:p w:rsidR="00B50875" w:rsidRDefault="00820CF4">
            <w:pPr>
              <w:jc w:val="center"/>
            </w:pPr>
            <w:r>
              <w:t xml:space="preserve">Figure 2.1: Total Food &amp; Drink Industry </w:t>
            </w:r>
          </w:p>
        </w:tc>
        <w:tc>
          <w:tcPr>
            <w:tcW w:w="450" w:type="dxa"/>
          </w:tcPr>
          <w:p w:rsidR="00B50875" w:rsidRDefault="00B50875">
            <w:pPr>
              <w:cnfStyle w:val="100000000000" w:firstRow="1" w:lastRow="0" w:firstColumn="0" w:lastColumn="0" w:oddVBand="0" w:evenVBand="0" w:oddHBand="0" w:evenHBand="0" w:firstRowFirstColumn="0" w:firstRowLastColumn="0" w:lastRowFirstColumn="0" w:lastRowLastColumn="0"/>
            </w:pPr>
          </w:p>
        </w:tc>
      </w:tr>
      <w:tr w:rsidR="004D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rsidR="00B50875" w:rsidRDefault="00820CF4">
            <w:r>
              <w:rPr>
                <w:b w:val="0"/>
              </w:rPr>
              <w:t>SIC’07 Industry</w:t>
            </w:r>
          </w:p>
        </w:tc>
        <w:tc>
          <w:tcPr>
            <w:tcW w:w="450" w:type="dxa"/>
          </w:tcPr>
          <w:p w:rsidR="00B50875" w:rsidRDefault="00820CF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hd w:val="clear" w:color="auto" w:fill="D3DFEE"/>
              </w:rPr>
              <w:t>Number of enterprises (</w:t>
            </w:r>
            <w:proofErr w:type="spellStart"/>
            <w:r>
              <w:rPr>
                <w:rFonts w:ascii="Arial" w:eastAsia="Arial" w:hAnsi="Arial" w:cs="Arial"/>
                <w:shd w:val="clear" w:color="auto" w:fill="D3DFEE"/>
              </w:rPr>
              <w:t>th</w:t>
            </w:r>
            <w:proofErr w:type="spellEnd"/>
            <w:r>
              <w:rPr>
                <w:rFonts w:ascii="Arial" w:eastAsia="Arial" w:hAnsi="Arial" w:cs="Arial"/>
                <w:shd w:val="clear" w:color="auto" w:fill="D3DFEE"/>
              </w:rPr>
              <w:t xml:space="preserve">)  </w:t>
            </w:r>
          </w:p>
        </w:tc>
        <w:tc>
          <w:tcPr>
            <w:tcW w:w="450" w:type="dxa"/>
          </w:tcPr>
          <w:p w:rsidR="00B50875" w:rsidRDefault="00820CF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hd w:val="clear" w:color="auto" w:fill="D3DFEE"/>
              </w:rPr>
              <w:t>Total turnover (£m)</w:t>
            </w:r>
          </w:p>
        </w:tc>
        <w:tc>
          <w:tcPr>
            <w:tcW w:w="450" w:type="dxa"/>
          </w:tcPr>
          <w:p w:rsidR="00B50875" w:rsidRDefault="00820CF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hd w:val="clear" w:color="auto" w:fill="D3DFEE"/>
              </w:rPr>
              <w:t>Total employment (</w:t>
            </w:r>
            <w:proofErr w:type="spellStart"/>
            <w:r>
              <w:rPr>
                <w:rFonts w:ascii="Arial" w:eastAsia="Arial" w:hAnsi="Arial" w:cs="Arial"/>
                <w:shd w:val="clear" w:color="auto" w:fill="D3DFEE"/>
              </w:rPr>
              <w:t>th</w:t>
            </w:r>
            <w:proofErr w:type="spellEnd"/>
            <w:r>
              <w:rPr>
                <w:rFonts w:ascii="Arial" w:eastAsia="Arial" w:hAnsi="Arial" w:cs="Arial"/>
                <w:shd w:val="clear" w:color="auto" w:fill="D3DFEE"/>
              </w:rPr>
              <w:t>)</w:t>
            </w:r>
          </w:p>
        </w:tc>
        <w:tc>
          <w:tcPr>
            <w:tcW w:w="450" w:type="dxa"/>
          </w:tcPr>
          <w:p w:rsidR="00B50875" w:rsidRDefault="00820CF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hd w:val="clear" w:color="auto" w:fill="D3DFEE"/>
              </w:rPr>
              <w:t>Total employment costs (£</w:t>
            </w:r>
            <w:proofErr w:type="spellStart"/>
            <w:r>
              <w:rPr>
                <w:rFonts w:ascii="Arial" w:eastAsia="Arial" w:hAnsi="Arial" w:cs="Arial"/>
                <w:shd w:val="clear" w:color="auto" w:fill="D3DFEE"/>
              </w:rPr>
              <w:t>th</w:t>
            </w:r>
            <w:proofErr w:type="spellEnd"/>
            <w:r>
              <w:rPr>
                <w:rFonts w:ascii="Arial" w:eastAsia="Arial" w:hAnsi="Arial" w:cs="Arial"/>
                <w:shd w:val="clear" w:color="auto" w:fill="D3DFEE"/>
              </w:rPr>
              <w:t>)</w:t>
            </w:r>
          </w:p>
        </w:tc>
        <w:tc>
          <w:tcPr>
            <w:tcW w:w="450" w:type="dxa"/>
          </w:tcPr>
          <w:p w:rsidR="00B50875" w:rsidRDefault="00B50875">
            <w:pPr>
              <w:cnfStyle w:val="000000100000" w:firstRow="0" w:lastRow="0" w:firstColumn="0" w:lastColumn="0" w:oddVBand="0" w:evenVBand="0" w:oddHBand="1" w:evenHBand="0" w:firstRowFirstColumn="0" w:firstRowLastColumn="0" w:lastRowFirstColumn="0" w:lastRowLastColumn="0"/>
            </w:pPr>
          </w:p>
        </w:tc>
      </w:tr>
      <w:tr w:rsidR="004D0107">
        <w:tc>
          <w:tcPr>
            <w:cnfStyle w:val="001000000000" w:firstRow="0" w:lastRow="0" w:firstColumn="1" w:lastColumn="0" w:oddVBand="0" w:evenVBand="0" w:oddHBand="0" w:evenHBand="0" w:firstRowFirstColumn="0" w:firstRowLastColumn="0" w:lastRowFirstColumn="0" w:lastRowLastColumn="0"/>
            <w:tcW w:w="450" w:type="dxa"/>
          </w:tcPr>
          <w:p w:rsidR="00B50875" w:rsidRDefault="00820CF4">
            <w:r>
              <w:rPr>
                <w:b w:val="0"/>
              </w:rPr>
              <w:t>03 Fishing and aquaculture</w:t>
            </w:r>
          </w:p>
        </w:tc>
        <w:tc>
          <w:tcPr>
            <w:tcW w:w="450" w:type="dxa"/>
          </w:tcPr>
          <w:p w:rsidR="00B50875" w:rsidRDefault="00820CF4">
            <w:pPr>
              <w:cnfStyle w:val="000000000000" w:firstRow="0" w:lastRow="0" w:firstColumn="0" w:lastColumn="0" w:oddVBand="0" w:evenVBand="0" w:oddHBand="0" w:evenHBand="0" w:firstRowFirstColumn="0" w:firstRowLastColumn="0" w:lastRowFirstColumn="0" w:lastRowLastColumn="0"/>
            </w:pPr>
            <w:r>
              <w:t>3,814</w:t>
            </w:r>
          </w:p>
        </w:tc>
        <w:tc>
          <w:tcPr>
            <w:tcW w:w="450" w:type="dxa"/>
          </w:tcPr>
          <w:p w:rsidR="00B50875" w:rsidRDefault="00820CF4">
            <w:pPr>
              <w:cnfStyle w:val="000000000000" w:firstRow="0" w:lastRow="0" w:firstColumn="0" w:lastColumn="0" w:oddVBand="0" w:evenVBand="0" w:oddHBand="0" w:evenHBand="0" w:firstRowFirstColumn="0" w:firstRowLastColumn="0" w:lastRowFirstColumn="0" w:lastRowLastColumn="0"/>
            </w:pPr>
            <w:r>
              <w:t>1,746</w:t>
            </w:r>
          </w:p>
        </w:tc>
        <w:tc>
          <w:tcPr>
            <w:tcW w:w="450" w:type="dxa"/>
          </w:tcPr>
          <w:p w:rsidR="00B50875" w:rsidRDefault="00820CF4">
            <w:pPr>
              <w:cnfStyle w:val="000000000000" w:firstRow="0" w:lastRow="0" w:firstColumn="0" w:lastColumn="0" w:oddVBand="0" w:evenVBand="0" w:oddHBand="0" w:evenHBand="0" w:firstRowFirstColumn="0" w:firstRowLastColumn="0" w:lastRowFirstColumn="0" w:lastRowLastColumn="0"/>
            </w:pPr>
            <w:r>
              <w:t>9</w:t>
            </w:r>
          </w:p>
        </w:tc>
        <w:tc>
          <w:tcPr>
            <w:tcW w:w="450" w:type="dxa"/>
          </w:tcPr>
          <w:p w:rsidR="00B50875" w:rsidRDefault="00820CF4">
            <w:pPr>
              <w:cnfStyle w:val="000000000000" w:firstRow="0" w:lastRow="0" w:firstColumn="0" w:lastColumn="0" w:oddVBand="0" w:evenVBand="0" w:oddHBand="0" w:evenHBand="0" w:firstRowFirstColumn="0" w:firstRowLastColumn="0" w:lastRowFirstColumn="0" w:lastRowLastColumn="0"/>
            </w:pPr>
            <w:r>
              <w:t>130</w:t>
            </w:r>
          </w:p>
        </w:tc>
        <w:tc>
          <w:tcPr>
            <w:tcW w:w="450" w:type="dxa"/>
          </w:tcPr>
          <w:p w:rsidR="00B50875" w:rsidRDefault="00B50875">
            <w:pPr>
              <w:cnfStyle w:val="000000000000" w:firstRow="0" w:lastRow="0" w:firstColumn="0" w:lastColumn="0" w:oddVBand="0" w:evenVBand="0" w:oddHBand="0" w:evenHBand="0" w:firstRowFirstColumn="0" w:firstRowLastColumn="0" w:lastRowFirstColumn="0" w:lastRowLastColumn="0"/>
            </w:pPr>
          </w:p>
        </w:tc>
      </w:tr>
      <w:tr w:rsidR="004D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rsidR="00B50875" w:rsidRDefault="00820CF4">
            <w:r>
              <w:rPr>
                <w:b w:val="0"/>
              </w:rPr>
              <w:t xml:space="preserve">10 Manufacture of food products </w:t>
            </w:r>
          </w:p>
        </w:tc>
        <w:tc>
          <w:tcPr>
            <w:tcW w:w="450" w:type="dxa"/>
          </w:tcPr>
          <w:p w:rsidR="00B50875" w:rsidRDefault="00820CF4">
            <w:pPr>
              <w:cnfStyle w:val="000000100000" w:firstRow="0" w:lastRow="0" w:firstColumn="0" w:lastColumn="0" w:oddVBand="0" w:evenVBand="0" w:oddHBand="1" w:evenHBand="0" w:firstRowFirstColumn="0" w:firstRowLastColumn="0" w:lastRowFirstColumn="0" w:lastRowLastColumn="0"/>
            </w:pPr>
            <w:r>
              <w:t>6,889</w:t>
            </w:r>
          </w:p>
        </w:tc>
        <w:tc>
          <w:tcPr>
            <w:tcW w:w="450" w:type="dxa"/>
          </w:tcPr>
          <w:p w:rsidR="00B50875" w:rsidRDefault="00820CF4">
            <w:pPr>
              <w:cnfStyle w:val="000000100000" w:firstRow="0" w:lastRow="0" w:firstColumn="0" w:lastColumn="0" w:oddVBand="0" w:evenVBand="0" w:oddHBand="1" w:evenHBand="0" w:firstRowFirstColumn="0" w:firstRowLastColumn="0" w:lastRowFirstColumn="0" w:lastRowLastColumn="0"/>
            </w:pPr>
            <w:r>
              <w:t>77,602</w:t>
            </w:r>
          </w:p>
        </w:tc>
        <w:tc>
          <w:tcPr>
            <w:tcW w:w="450" w:type="dxa"/>
          </w:tcPr>
          <w:p w:rsidR="00B50875" w:rsidRDefault="00820CF4">
            <w:pPr>
              <w:cnfStyle w:val="000000100000" w:firstRow="0" w:lastRow="0" w:firstColumn="0" w:lastColumn="0" w:oddVBand="0" w:evenVBand="0" w:oddHBand="1" w:evenHBand="0" w:firstRowFirstColumn="0" w:firstRowLastColumn="0" w:lastRowFirstColumn="0" w:lastRowLastColumn="0"/>
            </w:pPr>
            <w:r>
              <w:t>368</w:t>
            </w:r>
          </w:p>
        </w:tc>
        <w:tc>
          <w:tcPr>
            <w:tcW w:w="450" w:type="dxa"/>
          </w:tcPr>
          <w:p w:rsidR="00B50875" w:rsidRDefault="00820CF4">
            <w:pPr>
              <w:cnfStyle w:val="000000100000" w:firstRow="0" w:lastRow="0" w:firstColumn="0" w:lastColumn="0" w:oddVBand="0" w:evenVBand="0" w:oddHBand="1" w:evenHBand="0" w:firstRowFirstColumn="0" w:firstRowLastColumn="0" w:lastRowFirstColumn="0" w:lastRowLastColumn="0"/>
            </w:pPr>
            <w:r>
              <w:t>9,739</w:t>
            </w:r>
          </w:p>
        </w:tc>
        <w:tc>
          <w:tcPr>
            <w:tcW w:w="450" w:type="dxa"/>
          </w:tcPr>
          <w:p w:rsidR="00B50875" w:rsidRDefault="00B50875">
            <w:pPr>
              <w:cnfStyle w:val="000000100000" w:firstRow="0" w:lastRow="0" w:firstColumn="0" w:lastColumn="0" w:oddVBand="0" w:evenVBand="0" w:oddHBand="1" w:evenHBand="0" w:firstRowFirstColumn="0" w:firstRowLastColumn="0" w:lastRowFirstColumn="0" w:lastRowLastColumn="0"/>
            </w:pPr>
          </w:p>
        </w:tc>
      </w:tr>
      <w:tr w:rsidR="004D0107">
        <w:tc>
          <w:tcPr>
            <w:cnfStyle w:val="001000000000" w:firstRow="0" w:lastRow="0" w:firstColumn="1" w:lastColumn="0" w:oddVBand="0" w:evenVBand="0" w:oddHBand="0" w:evenHBand="0" w:firstRowFirstColumn="0" w:firstRowLastColumn="0" w:lastRowFirstColumn="0" w:lastRowLastColumn="0"/>
            <w:tcW w:w="450" w:type="dxa"/>
          </w:tcPr>
          <w:p w:rsidR="00B50875" w:rsidRDefault="00820CF4">
            <w:r>
              <w:rPr>
                <w:b w:val="0"/>
              </w:rPr>
              <w:t xml:space="preserve">11 Manufacture of beverages </w:t>
            </w:r>
          </w:p>
        </w:tc>
        <w:tc>
          <w:tcPr>
            <w:tcW w:w="450" w:type="dxa"/>
          </w:tcPr>
          <w:p w:rsidR="00B50875" w:rsidRDefault="00820CF4">
            <w:pPr>
              <w:cnfStyle w:val="000000000000" w:firstRow="0" w:lastRow="0" w:firstColumn="0" w:lastColumn="0" w:oddVBand="0" w:evenVBand="0" w:oddHBand="0" w:evenHBand="0" w:firstRowFirstColumn="0" w:firstRowLastColumn="0" w:lastRowFirstColumn="0" w:lastRowLastColumn="0"/>
            </w:pPr>
            <w:r>
              <w:t>1,339</w:t>
            </w:r>
          </w:p>
        </w:tc>
        <w:tc>
          <w:tcPr>
            <w:tcW w:w="450" w:type="dxa"/>
          </w:tcPr>
          <w:p w:rsidR="00B50875" w:rsidRDefault="00820CF4">
            <w:pPr>
              <w:cnfStyle w:val="000000000000" w:firstRow="0" w:lastRow="0" w:firstColumn="0" w:lastColumn="0" w:oddVBand="0" w:evenVBand="0" w:oddHBand="0" w:evenHBand="0" w:firstRowFirstColumn="0" w:firstRowLastColumn="0" w:lastRowFirstColumn="0" w:lastRowLastColumn="0"/>
            </w:pPr>
            <w:r>
              <w:t>17,765</w:t>
            </w:r>
          </w:p>
        </w:tc>
        <w:tc>
          <w:tcPr>
            <w:tcW w:w="450" w:type="dxa"/>
          </w:tcPr>
          <w:p w:rsidR="00B50875" w:rsidRDefault="00820CF4">
            <w:pPr>
              <w:cnfStyle w:val="000000000000" w:firstRow="0" w:lastRow="0" w:firstColumn="0" w:lastColumn="0" w:oddVBand="0" w:evenVBand="0" w:oddHBand="0" w:evenHBand="0" w:firstRowFirstColumn="0" w:firstRowLastColumn="0" w:lastRowFirstColumn="0" w:lastRowLastColumn="0"/>
            </w:pPr>
            <w:r>
              <w:t>44</w:t>
            </w:r>
          </w:p>
        </w:tc>
        <w:tc>
          <w:tcPr>
            <w:tcW w:w="450" w:type="dxa"/>
          </w:tcPr>
          <w:p w:rsidR="00B50875" w:rsidRDefault="00820CF4">
            <w:pPr>
              <w:cnfStyle w:val="000000000000" w:firstRow="0" w:lastRow="0" w:firstColumn="0" w:lastColumn="0" w:oddVBand="0" w:evenVBand="0" w:oddHBand="0" w:evenHBand="0" w:firstRowFirstColumn="0" w:firstRowLastColumn="0" w:lastRowFirstColumn="0" w:lastRowLastColumn="0"/>
            </w:pPr>
            <w:r>
              <w:t>1,902</w:t>
            </w:r>
          </w:p>
        </w:tc>
        <w:tc>
          <w:tcPr>
            <w:tcW w:w="450" w:type="dxa"/>
          </w:tcPr>
          <w:p w:rsidR="00B50875" w:rsidRDefault="00B50875">
            <w:pPr>
              <w:cnfStyle w:val="000000000000" w:firstRow="0" w:lastRow="0" w:firstColumn="0" w:lastColumn="0" w:oddVBand="0" w:evenVBand="0" w:oddHBand="0" w:evenHBand="0" w:firstRowFirstColumn="0" w:firstRowLastColumn="0" w:lastRowFirstColumn="0" w:lastRowLastColumn="0"/>
            </w:pPr>
          </w:p>
        </w:tc>
      </w:tr>
      <w:tr w:rsidR="004D01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 w:type="dxa"/>
          </w:tcPr>
          <w:p w:rsidR="00B50875" w:rsidRDefault="00820CF4">
            <w:r>
              <w:t>Total Food &amp; Drink Industry</w:t>
            </w:r>
          </w:p>
        </w:tc>
        <w:tc>
          <w:tcPr>
            <w:tcW w:w="450" w:type="dxa"/>
          </w:tcPr>
          <w:p w:rsidR="00B50875" w:rsidRDefault="00820CF4">
            <w:pPr>
              <w:cnfStyle w:val="000000100000" w:firstRow="0" w:lastRow="0" w:firstColumn="0" w:lastColumn="0" w:oddVBand="0" w:evenVBand="0" w:oddHBand="1" w:evenHBand="0" w:firstRowFirstColumn="0" w:firstRowLastColumn="0" w:lastRowFirstColumn="0" w:lastRowLastColumn="0"/>
            </w:pPr>
            <w:r>
              <w:rPr>
                <w:b/>
              </w:rPr>
              <w:t>12,042</w:t>
            </w:r>
          </w:p>
        </w:tc>
        <w:tc>
          <w:tcPr>
            <w:tcW w:w="450" w:type="dxa"/>
          </w:tcPr>
          <w:p w:rsidR="00B50875" w:rsidRDefault="00820CF4">
            <w:pPr>
              <w:cnfStyle w:val="000000100000" w:firstRow="0" w:lastRow="0" w:firstColumn="0" w:lastColumn="0" w:oddVBand="0" w:evenVBand="0" w:oddHBand="1" w:evenHBand="0" w:firstRowFirstColumn="0" w:firstRowLastColumn="0" w:lastRowFirstColumn="0" w:lastRowLastColumn="0"/>
            </w:pPr>
            <w:r>
              <w:rPr>
                <w:b/>
              </w:rPr>
              <w:t>97,113</w:t>
            </w:r>
          </w:p>
        </w:tc>
        <w:tc>
          <w:tcPr>
            <w:tcW w:w="450" w:type="dxa"/>
          </w:tcPr>
          <w:p w:rsidR="00B50875" w:rsidRDefault="00820CF4">
            <w:pPr>
              <w:cnfStyle w:val="000000100000" w:firstRow="0" w:lastRow="0" w:firstColumn="0" w:lastColumn="0" w:oddVBand="0" w:evenVBand="0" w:oddHBand="1" w:evenHBand="0" w:firstRowFirstColumn="0" w:firstRowLastColumn="0" w:lastRowFirstColumn="0" w:lastRowLastColumn="0"/>
            </w:pPr>
            <w:r>
              <w:rPr>
                <w:b/>
              </w:rPr>
              <w:t>421</w:t>
            </w:r>
          </w:p>
        </w:tc>
        <w:tc>
          <w:tcPr>
            <w:tcW w:w="450" w:type="dxa"/>
          </w:tcPr>
          <w:p w:rsidR="00B50875" w:rsidRDefault="00820CF4">
            <w:pPr>
              <w:cnfStyle w:val="000000100000" w:firstRow="0" w:lastRow="0" w:firstColumn="0" w:lastColumn="0" w:oddVBand="0" w:evenVBand="0" w:oddHBand="1" w:evenHBand="0" w:firstRowFirstColumn="0" w:firstRowLastColumn="0" w:lastRowFirstColumn="0" w:lastRowLastColumn="0"/>
            </w:pPr>
            <w:r>
              <w:rPr>
                <w:b/>
              </w:rPr>
              <w:t>11,771</w:t>
            </w:r>
          </w:p>
        </w:tc>
        <w:tc>
          <w:tcPr>
            <w:tcW w:w="450" w:type="dxa"/>
          </w:tcPr>
          <w:p w:rsidR="00B50875" w:rsidRDefault="00B50875">
            <w:pPr>
              <w:cnfStyle w:val="000000100000" w:firstRow="0" w:lastRow="0" w:firstColumn="0" w:lastColumn="0" w:oddVBand="0" w:evenVBand="0" w:oddHBand="1" w:evenHBand="0" w:firstRowFirstColumn="0" w:firstRowLastColumn="0" w:lastRowFirstColumn="0" w:lastRowLastColumn="0"/>
            </w:pPr>
          </w:p>
        </w:tc>
      </w:tr>
    </w:tbl>
    <w:p w:rsidR="00B50875" w:rsidRDefault="00B50875">
      <w:pPr>
        <w:spacing w:after="0" w:line="240" w:lineRule="auto"/>
      </w:pPr>
    </w:p>
    <w:p w:rsidR="00B50875" w:rsidRDefault="00B50875">
      <w:pPr>
        <w:spacing w:after="0" w:line="240" w:lineRule="auto"/>
      </w:pPr>
    </w:p>
    <w:tbl>
      <w:tblPr>
        <w:tblStyle w:val="2"/>
        <w:tblW w:w="9140" w:type="dxa"/>
        <w:tblInd w:w="-114" w:type="dxa"/>
        <w:tblBorders>
          <w:top w:val="single" w:sz="8" w:space="0" w:color="4F81BD"/>
          <w:bottom w:val="single" w:sz="8" w:space="0" w:color="4F81BD"/>
        </w:tblBorders>
        <w:tblLayout w:type="fixed"/>
        <w:tblLook w:val="04A0" w:firstRow="1" w:lastRow="0" w:firstColumn="1" w:lastColumn="0" w:noHBand="0" w:noVBand="1"/>
      </w:tblPr>
      <w:tblGrid>
        <w:gridCol w:w="3261"/>
        <w:gridCol w:w="1327"/>
        <w:gridCol w:w="1367"/>
        <w:gridCol w:w="1460"/>
        <w:gridCol w:w="1725"/>
      </w:tblGrid>
      <w:tr w:rsidR="00B50875" w:rsidTr="00B50875">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85" w:type="dxa"/>
            <w:gridSpan w:val="5"/>
          </w:tcPr>
          <w:p w:rsidR="00B50875" w:rsidRDefault="00820CF4">
            <w:pPr>
              <w:jc w:val="center"/>
            </w:pPr>
            <w:r>
              <w:t>Figure 2.2: Wider / Related Food &amp; Drink Industries</w:t>
            </w:r>
          </w:p>
        </w:tc>
      </w:tr>
      <w:tr w:rsidR="00B50875" w:rsidTr="00B508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0" w:type="dxa"/>
          </w:tcPr>
          <w:p w:rsidR="00B50875" w:rsidRDefault="00820CF4">
            <w:r>
              <w:rPr>
                <w:b w:val="0"/>
              </w:rPr>
              <w:t>SIC’07 Industry</w:t>
            </w:r>
          </w:p>
        </w:tc>
        <w:tc>
          <w:tcPr>
            <w:tcW w:w="1470" w:type="dxa"/>
            <w:tcBorders>
              <w:top w:val="single" w:sz="8" w:space="0" w:color="D3DFEE"/>
              <w:bottom w:val="nil"/>
            </w:tcBorders>
          </w:tcPr>
          <w:p w:rsidR="00B50875" w:rsidRDefault="00820CF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hd w:val="clear" w:color="auto" w:fill="D3DFEE"/>
              </w:rPr>
              <w:t>Number of enterprises (</w:t>
            </w:r>
            <w:proofErr w:type="spellStart"/>
            <w:r>
              <w:rPr>
                <w:rFonts w:ascii="Arial" w:eastAsia="Arial" w:hAnsi="Arial" w:cs="Arial"/>
                <w:shd w:val="clear" w:color="auto" w:fill="D3DFEE"/>
              </w:rPr>
              <w:t>th</w:t>
            </w:r>
            <w:proofErr w:type="spellEnd"/>
            <w:r>
              <w:rPr>
                <w:rFonts w:ascii="Arial" w:eastAsia="Arial" w:hAnsi="Arial" w:cs="Arial"/>
                <w:shd w:val="clear" w:color="auto" w:fill="D3DFEE"/>
              </w:rPr>
              <w:t xml:space="preserve">)  </w:t>
            </w:r>
          </w:p>
        </w:tc>
        <w:tc>
          <w:tcPr>
            <w:tcW w:w="1515" w:type="dxa"/>
            <w:tcBorders>
              <w:top w:val="single" w:sz="8" w:space="0" w:color="D3DFEE"/>
              <w:bottom w:val="nil"/>
            </w:tcBorders>
          </w:tcPr>
          <w:p w:rsidR="00B50875" w:rsidRDefault="00820CF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hd w:val="clear" w:color="auto" w:fill="D3DFEE"/>
              </w:rPr>
              <w:t>Total turnover (£m)</w:t>
            </w:r>
          </w:p>
        </w:tc>
        <w:tc>
          <w:tcPr>
            <w:tcW w:w="1620" w:type="dxa"/>
            <w:tcBorders>
              <w:top w:val="single" w:sz="8" w:space="0" w:color="D3DFEE"/>
              <w:bottom w:val="nil"/>
            </w:tcBorders>
          </w:tcPr>
          <w:p w:rsidR="00B50875" w:rsidRDefault="00820CF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hd w:val="clear" w:color="auto" w:fill="D3DFEE"/>
              </w:rPr>
              <w:t>Total employment (</w:t>
            </w:r>
            <w:proofErr w:type="spellStart"/>
            <w:r>
              <w:rPr>
                <w:rFonts w:ascii="Arial" w:eastAsia="Arial" w:hAnsi="Arial" w:cs="Arial"/>
                <w:shd w:val="clear" w:color="auto" w:fill="D3DFEE"/>
              </w:rPr>
              <w:t>th</w:t>
            </w:r>
            <w:proofErr w:type="spellEnd"/>
            <w:r>
              <w:rPr>
                <w:rFonts w:ascii="Arial" w:eastAsia="Arial" w:hAnsi="Arial" w:cs="Arial"/>
                <w:shd w:val="clear" w:color="auto" w:fill="D3DFEE"/>
              </w:rPr>
              <w:t>)</w:t>
            </w:r>
          </w:p>
        </w:tc>
        <w:tc>
          <w:tcPr>
            <w:tcW w:w="1920" w:type="dxa"/>
            <w:tcBorders>
              <w:top w:val="single" w:sz="8" w:space="0" w:color="D3DFEE"/>
              <w:bottom w:val="nil"/>
            </w:tcBorders>
          </w:tcPr>
          <w:p w:rsidR="00B50875" w:rsidRDefault="00820CF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hd w:val="clear" w:color="auto" w:fill="D3DFEE"/>
              </w:rPr>
              <w:t>Total employment costs (£</w:t>
            </w:r>
            <w:proofErr w:type="spellStart"/>
            <w:r>
              <w:rPr>
                <w:rFonts w:ascii="Arial" w:eastAsia="Arial" w:hAnsi="Arial" w:cs="Arial"/>
                <w:shd w:val="clear" w:color="auto" w:fill="D3DFEE"/>
              </w:rPr>
              <w:t>th</w:t>
            </w:r>
            <w:proofErr w:type="spellEnd"/>
            <w:r>
              <w:rPr>
                <w:rFonts w:ascii="Arial" w:eastAsia="Arial" w:hAnsi="Arial" w:cs="Arial"/>
                <w:shd w:val="clear" w:color="auto" w:fill="D3DFEE"/>
              </w:rPr>
              <w:t>)</w:t>
            </w:r>
          </w:p>
        </w:tc>
      </w:tr>
      <w:tr w:rsidR="00B50875" w:rsidTr="00B50875">
        <w:tc>
          <w:tcPr>
            <w:cnfStyle w:val="001000000000" w:firstRow="0" w:lastRow="0" w:firstColumn="1" w:lastColumn="0" w:oddVBand="0" w:evenVBand="0" w:oddHBand="0" w:evenHBand="0" w:firstRowFirstColumn="0" w:firstRowLastColumn="0" w:lastRowFirstColumn="0" w:lastRowLastColumn="0"/>
            <w:tcW w:w="3660" w:type="dxa"/>
            <w:tcBorders>
              <w:right w:val="nil"/>
            </w:tcBorders>
          </w:tcPr>
          <w:p w:rsidR="00B50875" w:rsidRDefault="00820CF4">
            <w:r>
              <w:rPr>
                <w:b w:val="0"/>
              </w:rPr>
              <w:t xml:space="preserve">46.3 Wholesale of food, beverages and tobacco </w:t>
            </w:r>
          </w:p>
        </w:tc>
        <w:tc>
          <w:tcPr>
            <w:tcW w:w="1470" w:type="dxa"/>
            <w:tcBorders>
              <w:top w:val="nil"/>
              <w:left w:val="nil"/>
              <w:bottom w:val="nil"/>
              <w:right w:val="nil"/>
            </w:tcBorders>
          </w:tcPr>
          <w:p w:rsidR="00B50875" w:rsidRDefault="00820CF4">
            <w:pPr>
              <w:cnfStyle w:val="000000000000" w:firstRow="0" w:lastRow="0" w:firstColumn="0" w:lastColumn="0" w:oddVBand="0" w:evenVBand="0" w:oddHBand="0" w:evenHBand="0" w:firstRowFirstColumn="0" w:firstRowLastColumn="0" w:lastRowFirstColumn="0" w:lastRowLastColumn="0"/>
            </w:pPr>
            <w:r>
              <w:t>14,194</w:t>
            </w:r>
          </w:p>
        </w:tc>
        <w:tc>
          <w:tcPr>
            <w:tcW w:w="1515" w:type="dxa"/>
            <w:tcBorders>
              <w:top w:val="nil"/>
              <w:left w:val="nil"/>
              <w:bottom w:val="nil"/>
              <w:right w:val="nil"/>
            </w:tcBorders>
          </w:tcPr>
          <w:p w:rsidR="00B50875" w:rsidRDefault="00820CF4">
            <w:pPr>
              <w:cnfStyle w:val="000000000000" w:firstRow="0" w:lastRow="0" w:firstColumn="0" w:lastColumn="0" w:oddVBand="0" w:evenVBand="0" w:oddHBand="0" w:evenHBand="0" w:firstRowFirstColumn="0" w:firstRowLastColumn="0" w:lastRowFirstColumn="0" w:lastRowLastColumn="0"/>
            </w:pPr>
            <w:r>
              <w:t>96,534</w:t>
            </w:r>
          </w:p>
        </w:tc>
        <w:tc>
          <w:tcPr>
            <w:tcW w:w="1620" w:type="dxa"/>
            <w:tcBorders>
              <w:top w:val="nil"/>
              <w:left w:val="nil"/>
              <w:bottom w:val="nil"/>
              <w:right w:val="nil"/>
            </w:tcBorders>
          </w:tcPr>
          <w:p w:rsidR="00B50875" w:rsidRDefault="00820CF4">
            <w:pPr>
              <w:cnfStyle w:val="000000000000" w:firstRow="0" w:lastRow="0" w:firstColumn="0" w:lastColumn="0" w:oddVBand="0" w:evenVBand="0" w:oddHBand="0" w:evenHBand="0" w:firstRowFirstColumn="0" w:firstRowLastColumn="0" w:lastRowFirstColumn="0" w:lastRowLastColumn="0"/>
            </w:pPr>
            <w:r>
              <w:t>200</w:t>
            </w:r>
          </w:p>
        </w:tc>
        <w:tc>
          <w:tcPr>
            <w:tcW w:w="1920" w:type="dxa"/>
            <w:tcBorders>
              <w:top w:val="nil"/>
              <w:left w:val="nil"/>
              <w:bottom w:val="nil"/>
              <w:right w:val="nil"/>
            </w:tcBorders>
          </w:tcPr>
          <w:p w:rsidR="00B50875" w:rsidRDefault="00820CF4">
            <w:pPr>
              <w:cnfStyle w:val="000000000000" w:firstRow="0" w:lastRow="0" w:firstColumn="0" w:lastColumn="0" w:oddVBand="0" w:evenVBand="0" w:oddHBand="0" w:evenHBand="0" w:firstRowFirstColumn="0" w:firstRowLastColumn="0" w:lastRowFirstColumn="0" w:lastRowLastColumn="0"/>
            </w:pPr>
            <w:r>
              <w:t>5,431</w:t>
            </w:r>
          </w:p>
        </w:tc>
      </w:tr>
      <w:tr w:rsidR="00B50875" w:rsidTr="00B508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0" w:type="dxa"/>
          </w:tcPr>
          <w:p w:rsidR="00B50875" w:rsidRDefault="00820CF4">
            <w:r>
              <w:rPr>
                <w:b w:val="0"/>
              </w:rPr>
              <w:t>47.11 Retail sale in non-</w:t>
            </w:r>
            <w:r>
              <w:rPr>
                <w:b w:val="0"/>
              </w:rPr>
              <w:lastRenderedPageBreak/>
              <w:t xml:space="preserve">specialised stores with food, beverages or tobacco predominating </w:t>
            </w:r>
          </w:p>
        </w:tc>
        <w:tc>
          <w:tcPr>
            <w:tcW w:w="1470" w:type="dxa"/>
            <w:tcBorders>
              <w:top w:val="nil"/>
            </w:tcBorders>
          </w:tcPr>
          <w:p w:rsidR="00B50875" w:rsidRDefault="00820CF4">
            <w:pPr>
              <w:cnfStyle w:val="000000100000" w:firstRow="0" w:lastRow="0" w:firstColumn="0" w:lastColumn="0" w:oddVBand="0" w:evenVBand="0" w:oddHBand="1" w:evenHBand="0" w:firstRowFirstColumn="0" w:firstRowLastColumn="0" w:lastRowFirstColumn="0" w:lastRowLastColumn="0"/>
            </w:pPr>
            <w:r>
              <w:lastRenderedPageBreak/>
              <w:t>29,040</w:t>
            </w:r>
          </w:p>
        </w:tc>
        <w:tc>
          <w:tcPr>
            <w:tcW w:w="1515" w:type="dxa"/>
            <w:tcBorders>
              <w:top w:val="nil"/>
            </w:tcBorders>
          </w:tcPr>
          <w:p w:rsidR="00B50875" w:rsidRDefault="00820CF4">
            <w:pPr>
              <w:cnfStyle w:val="000000100000" w:firstRow="0" w:lastRow="0" w:firstColumn="0" w:lastColumn="0" w:oddVBand="0" w:evenVBand="0" w:oddHBand="1" w:evenHBand="0" w:firstRowFirstColumn="0" w:firstRowLastColumn="0" w:lastRowFirstColumn="0" w:lastRowLastColumn="0"/>
            </w:pPr>
            <w:r>
              <w:t>154,262</w:t>
            </w:r>
          </w:p>
        </w:tc>
        <w:tc>
          <w:tcPr>
            <w:tcW w:w="1620" w:type="dxa"/>
            <w:tcBorders>
              <w:top w:val="nil"/>
            </w:tcBorders>
          </w:tcPr>
          <w:p w:rsidR="00B50875" w:rsidRDefault="00820CF4">
            <w:pPr>
              <w:cnfStyle w:val="000000100000" w:firstRow="0" w:lastRow="0" w:firstColumn="0" w:lastColumn="0" w:oddVBand="0" w:evenVBand="0" w:oddHBand="1" w:evenHBand="0" w:firstRowFirstColumn="0" w:firstRowLastColumn="0" w:lastRowFirstColumn="0" w:lastRowLastColumn="0"/>
            </w:pPr>
            <w:r>
              <w:t>1,156</w:t>
            </w:r>
          </w:p>
        </w:tc>
        <w:tc>
          <w:tcPr>
            <w:tcW w:w="1920" w:type="dxa"/>
            <w:tcBorders>
              <w:top w:val="nil"/>
            </w:tcBorders>
          </w:tcPr>
          <w:p w:rsidR="00B50875" w:rsidRDefault="00820CF4">
            <w:pPr>
              <w:cnfStyle w:val="000000100000" w:firstRow="0" w:lastRow="0" w:firstColumn="0" w:lastColumn="0" w:oddVBand="0" w:evenVBand="0" w:oddHBand="1" w:evenHBand="0" w:firstRowFirstColumn="0" w:firstRowLastColumn="0" w:lastRowFirstColumn="0" w:lastRowLastColumn="0"/>
            </w:pPr>
            <w:r>
              <w:t>15,934</w:t>
            </w:r>
          </w:p>
        </w:tc>
      </w:tr>
      <w:tr w:rsidR="00B50875">
        <w:tc>
          <w:tcPr>
            <w:cnfStyle w:val="001000000000" w:firstRow="0" w:lastRow="0" w:firstColumn="1" w:lastColumn="0" w:oddVBand="0" w:evenVBand="0" w:oddHBand="0" w:evenHBand="0" w:firstRowFirstColumn="0" w:firstRowLastColumn="0" w:lastRowFirstColumn="0" w:lastRowLastColumn="0"/>
            <w:tcW w:w="3660" w:type="dxa"/>
          </w:tcPr>
          <w:p w:rsidR="00B50875" w:rsidRDefault="00820CF4">
            <w:r>
              <w:rPr>
                <w:b w:val="0"/>
              </w:rPr>
              <w:lastRenderedPageBreak/>
              <w:t>47.2 Retail sale of food, beverages and tobacco</w:t>
            </w:r>
          </w:p>
        </w:tc>
        <w:tc>
          <w:tcPr>
            <w:tcW w:w="1470" w:type="dxa"/>
          </w:tcPr>
          <w:p w:rsidR="00B50875" w:rsidRDefault="00820CF4">
            <w:pPr>
              <w:cnfStyle w:val="000000000000" w:firstRow="0" w:lastRow="0" w:firstColumn="0" w:lastColumn="0" w:oddVBand="0" w:evenVBand="0" w:oddHBand="0" w:evenHBand="0" w:firstRowFirstColumn="0" w:firstRowLastColumn="0" w:lastRowFirstColumn="0" w:lastRowLastColumn="0"/>
            </w:pPr>
            <w:r>
              <w:t>25,343</w:t>
            </w:r>
          </w:p>
        </w:tc>
        <w:tc>
          <w:tcPr>
            <w:tcW w:w="1515" w:type="dxa"/>
          </w:tcPr>
          <w:p w:rsidR="00B50875" w:rsidRDefault="00820CF4">
            <w:pPr>
              <w:cnfStyle w:val="000000000000" w:firstRow="0" w:lastRow="0" w:firstColumn="0" w:lastColumn="0" w:oddVBand="0" w:evenVBand="0" w:oddHBand="0" w:evenHBand="0" w:firstRowFirstColumn="0" w:firstRowLastColumn="0" w:lastRowFirstColumn="0" w:lastRowLastColumn="0"/>
            </w:pPr>
            <w:r>
              <w:t>12,295</w:t>
            </w:r>
          </w:p>
        </w:tc>
        <w:tc>
          <w:tcPr>
            <w:tcW w:w="1620" w:type="dxa"/>
          </w:tcPr>
          <w:p w:rsidR="00B50875" w:rsidRDefault="00820CF4">
            <w:pPr>
              <w:cnfStyle w:val="000000000000" w:firstRow="0" w:lastRow="0" w:firstColumn="0" w:lastColumn="0" w:oddVBand="0" w:evenVBand="0" w:oddHBand="0" w:evenHBand="0" w:firstRowFirstColumn="0" w:firstRowLastColumn="0" w:lastRowFirstColumn="0" w:lastRowLastColumn="0"/>
            </w:pPr>
            <w:r>
              <w:t>166</w:t>
            </w:r>
          </w:p>
        </w:tc>
        <w:tc>
          <w:tcPr>
            <w:tcW w:w="1920" w:type="dxa"/>
          </w:tcPr>
          <w:p w:rsidR="00B50875" w:rsidRDefault="00820CF4">
            <w:pPr>
              <w:cnfStyle w:val="000000000000" w:firstRow="0" w:lastRow="0" w:firstColumn="0" w:lastColumn="0" w:oddVBand="0" w:evenVBand="0" w:oddHBand="0" w:evenHBand="0" w:firstRowFirstColumn="0" w:firstRowLastColumn="0" w:lastRowFirstColumn="0" w:lastRowLastColumn="0"/>
            </w:pPr>
            <w:r>
              <w:t>1,685</w:t>
            </w:r>
          </w:p>
        </w:tc>
      </w:tr>
      <w:tr w:rsidR="00B508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60" w:type="dxa"/>
          </w:tcPr>
          <w:p w:rsidR="00B50875" w:rsidRDefault="00820CF4">
            <w:r>
              <w:rPr>
                <w:b w:val="0"/>
              </w:rPr>
              <w:t>56 Food and beverage service activities</w:t>
            </w:r>
          </w:p>
        </w:tc>
        <w:tc>
          <w:tcPr>
            <w:tcW w:w="1470" w:type="dxa"/>
          </w:tcPr>
          <w:p w:rsidR="00B50875" w:rsidRDefault="00820CF4">
            <w:pPr>
              <w:cnfStyle w:val="000000100000" w:firstRow="0" w:lastRow="0" w:firstColumn="0" w:lastColumn="0" w:oddVBand="0" w:evenVBand="0" w:oddHBand="1" w:evenHBand="0" w:firstRowFirstColumn="0" w:firstRowLastColumn="0" w:lastRowFirstColumn="0" w:lastRowLastColumn="0"/>
            </w:pPr>
            <w:r>
              <w:t>115,951</w:t>
            </w:r>
          </w:p>
        </w:tc>
        <w:tc>
          <w:tcPr>
            <w:tcW w:w="1515" w:type="dxa"/>
          </w:tcPr>
          <w:p w:rsidR="00B50875" w:rsidRDefault="00820CF4">
            <w:pPr>
              <w:cnfStyle w:val="000000100000" w:firstRow="0" w:lastRow="0" w:firstColumn="0" w:lastColumn="0" w:oddVBand="0" w:evenVBand="0" w:oddHBand="1" w:evenHBand="0" w:firstRowFirstColumn="0" w:firstRowLastColumn="0" w:lastRowFirstColumn="0" w:lastRowLastColumn="0"/>
            </w:pPr>
            <w:r>
              <w:t>55,952</w:t>
            </w:r>
          </w:p>
        </w:tc>
        <w:tc>
          <w:tcPr>
            <w:tcW w:w="1620" w:type="dxa"/>
          </w:tcPr>
          <w:p w:rsidR="00B50875" w:rsidRDefault="00820CF4">
            <w:pPr>
              <w:cnfStyle w:val="000000100000" w:firstRow="0" w:lastRow="0" w:firstColumn="0" w:lastColumn="0" w:oddVBand="0" w:evenVBand="0" w:oddHBand="1" w:evenHBand="0" w:firstRowFirstColumn="0" w:firstRowLastColumn="0" w:lastRowFirstColumn="0" w:lastRowLastColumn="0"/>
            </w:pPr>
            <w:r>
              <w:t>1,556</w:t>
            </w:r>
          </w:p>
        </w:tc>
        <w:tc>
          <w:tcPr>
            <w:tcW w:w="1920" w:type="dxa"/>
          </w:tcPr>
          <w:p w:rsidR="00B50875" w:rsidRDefault="00820CF4">
            <w:pPr>
              <w:cnfStyle w:val="000000100000" w:firstRow="0" w:lastRow="0" w:firstColumn="0" w:lastColumn="0" w:oddVBand="0" w:evenVBand="0" w:oddHBand="1" w:evenHBand="0" w:firstRowFirstColumn="0" w:firstRowLastColumn="0" w:lastRowFirstColumn="0" w:lastRowLastColumn="0"/>
            </w:pPr>
            <w:r>
              <w:t>15,762</w:t>
            </w:r>
          </w:p>
        </w:tc>
      </w:tr>
      <w:tr w:rsidR="00B50875">
        <w:tc>
          <w:tcPr>
            <w:cnfStyle w:val="001000000000" w:firstRow="0" w:lastRow="0" w:firstColumn="1" w:lastColumn="0" w:oddVBand="0" w:evenVBand="0" w:oddHBand="0" w:evenHBand="0" w:firstRowFirstColumn="0" w:firstRowLastColumn="0" w:lastRowFirstColumn="0" w:lastRowLastColumn="0"/>
            <w:tcW w:w="3660" w:type="dxa"/>
          </w:tcPr>
          <w:p w:rsidR="00B50875" w:rsidRDefault="00820CF4">
            <w:r>
              <w:t>Total “related” Food &amp; Drink Industry</w:t>
            </w:r>
          </w:p>
        </w:tc>
        <w:tc>
          <w:tcPr>
            <w:tcW w:w="1470" w:type="dxa"/>
          </w:tcPr>
          <w:p w:rsidR="00B50875" w:rsidRDefault="00820CF4">
            <w:pPr>
              <w:cnfStyle w:val="000000000000" w:firstRow="0" w:lastRow="0" w:firstColumn="0" w:lastColumn="0" w:oddVBand="0" w:evenVBand="0" w:oddHBand="0" w:evenHBand="0" w:firstRowFirstColumn="0" w:firstRowLastColumn="0" w:lastRowFirstColumn="0" w:lastRowLastColumn="0"/>
            </w:pPr>
            <w:r>
              <w:rPr>
                <w:b/>
              </w:rPr>
              <w:t>184,528</w:t>
            </w:r>
          </w:p>
        </w:tc>
        <w:tc>
          <w:tcPr>
            <w:tcW w:w="1515" w:type="dxa"/>
          </w:tcPr>
          <w:p w:rsidR="00B50875" w:rsidRDefault="00820CF4">
            <w:pPr>
              <w:cnfStyle w:val="000000000000" w:firstRow="0" w:lastRow="0" w:firstColumn="0" w:lastColumn="0" w:oddVBand="0" w:evenVBand="0" w:oddHBand="0" w:evenHBand="0" w:firstRowFirstColumn="0" w:firstRowLastColumn="0" w:lastRowFirstColumn="0" w:lastRowLastColumn="0"/>
            </w:pPr>
            <w:r>
              <w:rPr>
                <w:b/>
              </w:rPr>
              <w:t>319,043</w:t>
            </w:r>
          </w:p>
        </w:tc>
        <w:tc>
          <w:tcPr>
            <w:tcW w:w="1620" w:type="dxa"/>
          </w:tcPr>
          <w:p w:rsidR="00B50875" w:rsidRDefault="00820CF4">
            <w:pPr>
              <w:cnfStyle w:val="000000000000" w:firstRow="0" w:lastRow="0" w:firstColumn="0" w:lastColumn="0" w:oddVBand="0" w:evenVBand="0" w:oddHBand="0" w:evenHBand="0" w:firstRowFirstColumn="0" w:firstRowLastColumn="0" w:lastRowFirstColumn="0" w:lastRowLastColumn="0"/>
            </w:pPr>
            <w:r>
              <w:rPr>
                <w:b/>
              </w:rPr>
              <w:t>3,078</w:t>
            </w:r>
          </w:p>
        </w:tc>
        <w:tc>
          <w:tcPr>
            <w:tcW w:w="1920" w:type="dxa"/>
          </w:tcPr>
          <w:p w:rsidR="00B50875" w:rsidRDefault="00820CF4">
            <w:pPr>
              <w:cnfStyle w:val="000000000000" w:firstRow="0" w:lastRow="0" w:firstColumn="0" w:lastColumn="0" w:oddVBand="0" w:evenVBand="0" w:oddHBand="0" w:evenHBand="0" w:firstRowFirstColumn="0" w:firstRowLastColumn="0" w:lastRowFirstColumn="0" w:lastRowLastColumn="0"/>
            </w:pPr>
            <w:r>
              <w:rPr>
                <w:b/>
              </w:rPr>
              <w:t>38,812</w:t>
            </w:r>
          </w:p>
        </w:tc>
      </w:tr>
    </w:tbl>
    <w:p w:rsidR="00B50875" w:rsidRDefault="00B50875">
      <w:pPr>
        <w:spacing w:after="0" w:line="240" w:lineRule="auto"/>
      </w:pPr>
    </w:p>
    <w:p w:rsidR="00B50875" w:rsidRDefault="00B50875">
      <w:pPr>
        <w:spacing w:after="0" w:line="240" w:lineRule="auto"/>
      </w:pPr>
    </w:p>
    <w:tbl>
      <w:tblPr>
        <w:tblStyle w:val="1"/>
        <w:tblW w:w="9140" w:type="dxa"/>
        <w:tblInd w:w="-114" w:type="dxa"/>
        <w:tblBorders>
          <w:top w:val="single" w:sz="8" w:space="0" w:color="4F81BD"/>
          <w:bottom w:val="single" w:sz="8" w:space="0" w:color="4F81BD"/>
        </w:tblBorders>
        <w:tblLayout w:type="fixed"/>
        <w:tblLook w:val="04A0" w:firstRow="1" w:lastRow="0" w:firstColumn="1" w:lastColumn="0" w:noHBand="0" w:noVBand="1"/>
      </w:tblPr>
      <w:tblGrid>
        <w:gridCol w:w="3235"/>
        <w:gridCol w:w="1327"/>
        <w:gridCol w:w="1407"/>
        <w:gridCol w:w="1420"/>
        <w:gridCol w:w="1751"/>
      </w:tblGrid>
      <w:tr w:rsidR="00B50875" w:rsidTr="00B50875">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85" w:type="dxa"/>
            <w:gridSpan w:val="5"/>
          </w:tcPr>
          <w:p w:rsidR="00B50875" w:rsidRDefault="00820CF4">
            <w:pPr>
              <w:jc w:val="center"/>
            </w:pPr>
            <w:r>
              <w:t>Figure 2.3: Unhealthy Food Within Wider / Related Food &amp; Drink Industries</w:t>
            </w:r>
          </w:p>
        </w:tc>
      </w:tr>
      <w:tr w:rsidR="00B50875" w:rsidTr="00B508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0" w:type="dxa"/>
          </w:tcPr>
          <w:p w:rsidR="00B50875" w:rsidRDefault="00820CF4">
            <w:r>
              <w:rPr>
                <w:b w:val="0"/>
              </w:rPr>
              <w:t>SIC’07 Industry</w:t>
            </w:r>
          </w:p>
        </w:tc>
        <w:tc>
          <w:tcPr>
            <w:tcW w:w="1470" w:type="dxa"/>
            <w:tcBorders>
              <w:top w:val="single" w:sz="8" w:space="0" w:color="D3DFEE"/>
              <w:bottom w:val="nil"/>
            </w:tcBorders>
          </w:tcPr>
          <w:p w:rsidR="00B50875" w:rsidRDefault="00820CF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hd w:val="clear" w:color="auto" w:fill="D3DFEE"/>
              </w:rPr>
              <w:t>Number of enterprises (</w:t>
            </w:r>
            <w:proofErr w:type="spellStart"/>
            <w:r>
              <w:rPr>
                <w:rFonts w:ascii="Arial" w:eastAsia="Arial" w:hAnsi="Arial" w:cs="Arial"/>
                <w:shd w:val="clear" w:color="auto" w:fill="D3DFEE"/>
              </w:rPr>
              <w:t>th</w:t>
            </w:r>
            <w:proofErr w:type="spellEnd"/>
            <w:r>
              <w:rPr>
                <w:rFonts w:ascii="Arial" w:eastAsia="Arial" w:hAnsi="Arial" w:cs="Arial"/>
                <w:shd w:val="clear" w:color="auto" w:fill="D3DFEE"/>
              </w:rPr>
              <w:t xml:space="preserve">)  </w:t>
            </w:r>
          </w:p>
        </w:tc>
        <w:tc>
          <w:tcPr>
            <w:tcW w:w="1560" w:type="dxa"/>
            <w:tcBorders>
              <w:top w:val="single" w:sz="8" w:space="0" w:color="D3DFEE"/>
              <w:bottom w:val="nil"/>
            </w:tcBorders>
          </w:tcPr>
          <w:p w:rsidR="00B50875" w:rsidRDefault="00820CF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hd w:val="clear" w:color="auto" w:fill="D3DFEE"/>
              </w:rPr>
              <w:t>Total turnover (£m)</w:t>
            </w:r>
          </w:p>
        </w:tc>
        <w:tc>
          <w:tcPr>
            <w:tcW w:w="1575" w:type="dxa"/>
            <w:tcBorders>
              <w:top w:val="single" w:sz="8" w:space="0" w:color="D3DFEE"/>
              <w:bottom w:val="nil"/>
            </w:tcBorders>
          </w:tcPr>
          <w:p w:rsidR="00B50875" w:rsidRDefault="00820CF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hd w:val="clear" w:color="auto" w:fill="D3DFEE"/>
              </w:rPr>
              <w:t>Total employment (</w:t>
            </w:r>
            <w:proofErr w:type="spellStart"/>
            <w:r>
              <w:rPr>
                <w:rFonts w:ascii="Arial" w:eastAsia="Arial" w:hAnsi="Arial" w:cs="Arial"/>
                <w:shd w:val="clear" w:color="auto" w:fill="D3DFEE"/>
              </w:rPr>
              <w:t>th</w:t>
            </w:r>
            <w:proofErr w:type="spellEnd"/>
            <w:r>
              <w:rPr>
                <w:rFonts w:ascii="Arial" w:eastAsia="Arial" w:hAnsi="Arial" w:cs="Arial"/>
                <w:shd w:val="clear" w:color="auto" w:fill="D3DFEE"/>
              </w:rPr>
              <w:t>)</w:t>
            </w:r>
          </w:p>
        </w:tc>
        <w:tc>
          <w:tcPr>
            <w:tcW w:w="1950" w:type="dxa"/>
            <w:tcBorders>
              <w:top w:val="single" w:sz="8" w:space="0" w:color="D3DFEE"/>
              <w:bottom w:val="nil"/>
            </w:tcBorders>
          </w:tcPr>
          <w:p w:rsidR="00B50875" w:rsidRDefault="00820CF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shd w:val="clear" w:color="auto" w:fill="D3DFEE"/>
              </w:rPr>
              <w:t>Total employment costs (£</w:t>
            </w:r>
            <w:proofErr w:type="spellStart"/>
            <w:r>
              <w:rPr>
                <w:rFonts w:ascii="Arial" w:eastAsia="Arial" w:hAnsi="Arial" w:cs="Arial"/>
                <w:shd w:val="clear" w:color="auto" w:fill="D3DFEE"/>
              </w:rPr>
              <w:t>th</w:t>
            </w:r>
            <w:proofErr w:type="spellEnd"/>
            <w:r>
              <w:rPr>
                <w:rFonts w:ascii="Arial" w:eastAsia="Arial" w:hAnsi="Arial" w:cs="Arial"/>
                <w:shd w:val="clear" w:color="auto" w:fill="D3DFEE"/>
              </w:rPr>
              <w:t>)</w:t>
            </w:r>
          </w:p>
        </w:tc>
      </w:tr>
      <w:tr w:rsidR="00B50875" w:rsidTr="00B50875">
        <w:tc>
          <w:tcPr>
            <w:cnfStyle w:val="001000000000" w:firstRow="0" w:lastRow="0" w:firstColumn="1" w:lastColumn="0" w:oddVBand="0" w:evenVBand="0" w:oddHBand="0" w:evenHBand="0" w:firstRowFirstColumn="0" w:firstRowLastColumn="0" w:lastRowFirstColumn="0" w:lastRowLastColumn="0"/>
            <w:tcW w:w="3630" w:type="dxa"/>
            <w:tcBorders>
              <w:right w:val="nil"/>
            </w:tcBorders>
          </w:tcPr>
          <w:p w:rsidR="00B50875" w:rsidRDefault="00820CF4">
            <w:r>
              <w:rPr>
                <w:b w:val="0"/>
              </w:rPr>
              <w:t xml:space="preserve">46.36 Wholesale of sugar and chocolate and sugar confectionery </w:t>
            </w:r>
          </w:p>
        </w:tc>
        <w:tc>
          <w:tcPr>
            <w:tcW w:w="1470" w:type="dxa"/>
            <w:tcBorders>
              <w:top w:val="nil"/>
              <w:left w:val="nil"/>
              <w:bottom w:val="nil"/>
              <w:right w:val="nil"/>
            </w:tcBorders>
          </w:tcPr>
          <w:p w:rsidR="00B50875" w:rsidRDefault="00820CF4">
            <w:pPr>
              <w:cnfStyle w:val="000000000000" w:firstRow="0" w:lastRow="0" w:firstColumn="0" w:lastColumn="0" w:oddVBand="0" w:evenVBand="0" w:oddHBand="0" w:evenHBand="0" w:firstRowFirstColumn="0" w:firstRowLastColumn="0" w:lastRowFirstColumn="0" w:lastRowLastColumn="0"/>
            </w:pPr>
            <w:r>
              <w:t>597</w:t>
            </w:r>
          </w:p>
        </w:tc>
        <w:tc>
          <w:tcPr>
            <w:tcW w:w="1560" w:type="dxa"/>
            <w:tcBorders>
              <w:top w:val="nil"/>
              <w:left w:val="nil"/>
              <w:bottom w:val="nil"/>
              <w:right w:val="nil"/>
            </w:tcBorders>
          </w:tcPr>
          <w:p w:rsidR="00B50875" w:rsidRDefault="00820CF4">
            <w:pPr>
              <w:cnfStyle w:val="000000000000" w:firstRow="0" w:lastRow="0" w:firstColumn="0" w:lastColumn="0" w:oddVBand="0" w:evenVBand="0" w:oddHBand="0" w:evenHBand="0" w:firstRowFirstColumn="0" w:firstRowLastColumn="0" w:lastRowFirstColumn="0" w:lastRowLastColumn="0"/>
            </w:pPr>
            <w:r>
              <w:t>7,398</w:t>
            </w:r>
          </w:p>
        </w:tc>
        <w:tc>
          <w:tcPr>
            <w:tcW w:w="1575" w:type="dxa"/>
            <w:tcBorders>
              <w:top w:val="nil"/>
              <w:left w:val="nil"/>
              <w:bottom w:val="nil"/>
              <w:right w:val="nil"/>
            </w:tcBorders>
          </w:tcPr>
          <w:p w:rsidR="00B50875" w:rsidRDefault="00820CF4">
            <w:pPr>
              <w:cnfStyle w:val="000000000000" w:firstRow="0" w:lastRow="0" w:firstColumn="0" w:lastColumn="0" w:oddVBand="0" w:evenVBand="0" w:oddHBand="0" w:evenHBand="0" w:firstRowFirstColumn="0" w:firstRowLastColumn="0" w:lastRowFirstColumn="0" w:lastRowLastColumn="0"/>
            </w:pPr>
            <w:r>
              <w:t>9</w:t>
            </w:r>
          </w:p>
        </w:tc>
        <w:tc>
          <w:tcPr>
            <w:tcW w:w="1950" w:type="dxa"/>
            <w:tcBorders>
              <w:top w:val="nil"/>
              <w:left w:val="nil"/>
              <w:bottom w:val="nil"/>
              <w:right w:val="nil"/>
            </w:tcBorders>
          </w:tcPr>
          <w:p w:rsidR="00B50875" w:rsidRDefault="00820CF4">
            <w:pPr>
              <w:cnfStyle w:val="000000000000" w:firstRow="0" w:lastRow="0" w:firstColumn="0" w:lastColumn="0" w:oddVBand="0" w:evenVBand="0" w:oddHBand="0" w:evenHBand="0" w:firstRowFirstColumn="0" w:firstRowLastColumn="0" w:lastRowFirstColumn="0" w:lastRowLastColumn="0"/>
            </w:pPr>
            <w:r>
              <w:t>295</w:t>
            </w:r>
          </w:p>
        </w:tc>
      </w:tr>
      <w:tr w:rsidR="00B50875" w:rsidTr="00B508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30" w:type="dxa"/>
          </w:tcPr>
          <w:p w:rsidR="00B50875" w:rsidRDefault="00820CF4">
            <w:r>
              <w:rPr>
                <w:b w:val="0"/>
              </w:rPr>
              <w:t xml:space="preserve">47.24 Retail sale of bread, cakes, flour confectionery and sugar confectionery in specialised stores </w:t>
            </w:r>
          </w:p>
        </w:tc>
        <w:tc>
          <w:tcPr>
            <w:tcW w:w="1470" w:type="dxa"/>
            <w:tcBorders>
              <w:top w:val="nil"/>
              <w:bottom w:val="nil"/>
            </w:tcBorders>
          </w:tcPr>
          <w:p w:rsidR="00B50875" w:rsidRDefault="00820CF4">
            <w:pPr>
              <w:cnfStyle w:val="000000100000" w:firstRow="0" w:lastRow="0" w:firstColumn="0" w:lastColumn="0" w:oddVBand="0" w:evenVBand="0" w:oddHBand="1" w:evenHBand="0" w:firstRowFirstColumn="0" w:firstRowLastColumn="0" w:lastRowFirstColumn="0" w:lastRowLastColumn="0"/>
            </w:pPr>
            <w:r>
              <w:t>3,417</w:t>
            </w:r>
          </w:p>
        </w:tc>
        <w:tc>
          <w:tcPr>
            <w:tcW w:w="1560" w:type="dxa"/>
            <w:tcBorders>
              <w:top w:val="nil"/>
              <w:bottom w:val="nil"/>
            </w:tcBorders>
          </w:tcPr>
          <w:p w:rsidR="00B50875" w:rsidRDefault="00820CF4">
            <w:pPr>
              <w:cnfStyle w:val="000000100000" w:firstRow="0" w:lastRow="0" w:firstColumn="0" w:lastColumn="0" w:oddVBand="0" w:evenVBand="0" w:oddHBand="1" w:evenHBand="0" w:firstRowFirstColumn="0" w:firstRowLastColumn="0" w:lastRowFirstColumn="0" w:lastRowLastColumn="0"/>
            </w:pPr>
            <w:r>
              <w:t>2,262</w:t>
            </w:r>
          </w:p>
        </w:tc>
        <w:tc>
          <w:tcPr>
            <w:tcW w:w="1575" w:type="dxa"/>
            <w:tcBorders>
              <w:top w:val="nil"/>
              <w:bottom w:val="nil"/>
            </w:tcBorders>
          </w:tcPr>
          <w:p w:rsidR="00B50875" w:rsidRDefault="00820CF4">
            <w:pPr>
              <w:cnfStyle w:val="000000100000" w:firstRow="0" w:lastRow="0" w:firstColumn="0" w:lastColumn="0" w:oddVBand="0" w:evenVBand="0" w:oddHBand="1" w:evenHBand="0" w:firstRowFirstColumn="0" w:firstRowLastColumn="0" w:lastRowFirstColumn="0" w:lastRowLastColumn="0"/>
            </w:pPr>
            <w:r>
              <w:t>57</w:t>
            </w:r>
          </w:p>
        </w:tc>
        <w:tc>
          <w:tcPr>
            <w:tcW w:w="1950" w:type="dxa"/>
            <w:tcBorders>
              <w:top w:val="nil"/>
              <w:bottom w:val="nil"/>
            </w:tcBorders>
          </w:tcPr>
          <w:p w:rsidR="00B50875" w:rsidRDefault="00820CF4">
            <w:pPr>
              <w:cnfStyle w:val="000000100000" w:firstRow="0" w:lastRow="0" w:firstColumn="0" w:lastColumn="0" w:oddVBand="0" w:evenVBand="0" w:oddHBand="1" w:evenHBand="0" w:firstRowFirstColumn="0" w:firstRowLastColumn="0" w:lastRowFirstColumn="0" w:lastRowLastColumn="0"/>
            </w:pPr>
            <w:r>
              <w:t>672</w:t>
            </w:r>
          </w:p>
        </w:tc>
      </w:tr>
      <w:tr w:rsidR="00B50875">
        <w:tc>
          <w:tcPr>
            <w:cnfStyle w:val="001000000000" w:firstRow="0" w:lastRow="0" w:firstColumn="1" w:lastColumn="0" w:oddVBand="0" w:evenVBand="0" w:oddHBand="0" w:evenHBand="0" w:firstRowFirstColumn="0" w:firstRowLastColumn="0" w:lastRowFirstColumn="0" w:lastRowLastColumn="0"/>
            <w:tcW w:w="3630" w:type="dxa"/>
          </w:tcPr>
          <w:p w:rsidR="00B50875" w:rsidRDefault="00820CF4">
            <w:r>
              <w:t>Total “related” Food &amp; Drink Industry</w:t>
            </w:r>
          </w:p>
        </w:tc>
        <w:tc>
          <w:tcPr>
            <w:tcW w:w="1470" w:type="dxa"/>
          </w:tcPr>
          <w:p w:rsidR="00B50875" w:rsidRDefault="00820CF4">
            <w:pPr>
              <w:cnfStyle w:val="000000000000" w:firstRow="0" w:lastRow="0" w:firstColumn="0" w:lastColumn="0" w:oddVBand="0" w:evenVBand="0" w:oddHBand="0" w:evenHBand="0" w:firstRowFirstColumn="0" w:firstRowLastColumn="0" w:lastRowFirstColumn="0" w:lastRowLastColumn="0"/>
            </w:pPr>
            <w:r>
              <w:rPr>
                <w:b/>
              </w:rPr>
              <w:t>4,014</w:t>
            </w:r>
          </w:p>
        </w:tc>
        <w:tc>
          <w:tcPr>
            <w:tcW w:w="1560" w:type="dxa"/>
          </w:tcPr>
          <w:p w:rsidR="00B50875" w:rsidRDefault="00820CF4">
            <w:pPr>
              <w:cnfStyle w:val="000000000000" w:firstRow="0" w:lastRow="0" w:firstColumn="0" w:lastColumn="0" w:oddVBand="0" w:evenVBand="0" w:oddHBand="0" w:evenHBand="0" w:firstRowFirstColumn="0" w:firstRowLastColumn="0" w:lastRowFirstColumn="0" w:lastRowLastColumn="0"/>
            </w:pPr>
            <w:r>
              <w:rPr>
                <w:b/>
              </w:rPr>
              <w:t>9,660</w:t>
            </w:r>
          </w:p>
        </w:tc>
        <w:tc>
          <w:tcPr>
            <w:tcW w:w="1575" w:type="dxa"/>
          </w:tcPr>
          <w:p w:rsidR="00B50875" w:rsidRDefault="00820CF4">
            <w:pPr>
              <w:cnfStyle w:val="000000000000" w:firstRow="0" w:lastRow="0" w:firstColumn="0" w:lastColumn="0" w:oddVBand="0" w:evenVBand="0" w:oddHBand="0" w:evenHBand="0" w:firstRowFirstColumn="0" w:firstRowLastColumn="0" w:lastRowFirstColumn="0" w:lastRowLastColumn="0"/>
            </w:pPr>
            <w:r>
              <w:rPr>
                <w:b/>
              </w:rPr>
              <w:t>66</w:t>
            </w:r>
          </w:p>
        </w:tc>
        <w:tc>
          <w:tcPr>
            <w:tcW w:w="1950" w:type="dxa"/>
          </w:tcPr>
          <w:p w:rsidR="00B50875" w:rsidRDefault="00820CF4">
            <w:pPr>
              <w:cnfStyle w:val="000000000000" w:firstRow="0" w:lastRow="0" w:firstColumn="0" w:lastColumn="0" w:oddVBand="0" w:evenVBand="0" w:oddHBand="0" w:evenHBand="0" w:firstRowFirstColumn="0" w:firstRowLastColumn="0" w:lastRowFirstColumn="0" w:lastRowLastColumn="0"/>
            </w:pPr>
            <w:r>
              <w:rPr>
                <w:b/>
              </w:rPr>
              <w:t>967</w:t>
            </w:r>
          </w:p>
        </w:tc>
      </w:tr>
    </w:tbl>
    <w:p w:rsidR="00B50875" w:rsidRDefault="00B50875">
      <w:pPr>
        <w:spacing w:after="0" w:line="240" w:lineRule="auto"/>
      </w:pPr>
    </w:p>
    <w:p w:rsidR="00B50875" w:rsidRDefault="00B50875">
      <w:pPr>
        <w:spacing w:after="0" w:line="240" w:lineRule="auto"/>
      </w:pPr>
    </w:p>
    <w:p w:rsidR="00B50875" w:rsidRDefault="00B50875">
      <w:pPr>
        <w:spacing w:after="0" w:line="240" w:lineRule="auto"/>
      </w:pPr>
    </w:p>
    <w:p w:rsidR="00B50875" w:rsidRDefault="00820CF4">
      <w:pPr>
        <w:spacing w:after="0" w:line="240" w:lineRule="auto"/>
      </w:pPr>
      <w:r>
        <w:t>As previously noted, according to the ONS Annual Business Survey, turnover in the UK Food Industry was £97.113bn in 2013 (see: Figure 2.1). Other industry sectors related to the Food &amp; Drink Industry, but not commonly included within the definition (as in this report), grossed an annual turnover of £</w:t>
      </w:r>
      <w:r w:rsidR="001463F6">
        <w:t>319.043</w:t>
      </w:r>
      <w:r>
        <w:t>bn (see: Figure 2.2). Much of this larger figure is attributed to Food &amp; Drink Services.</w:t>
      </w:r>
    </w:p>
    <w:p w:rsidR="00B50875" w:rsidRDefault="00B50875">
      <w:pPr>
        <w:spacing w:after="0" w:line="240" w:lineRule="auto"/>
      </w:pPr>
    </w:p>
    <w:p w:rsidR="00B50875" w:rsidRDefault="00820CF4">
      <w:pPr>
        <w:spacing w:after="0" w:line="240" w:lineRule="auto"/>
      </w:pPr>
      <w:r>
        <w:t xml:space="preserve">Within the standard definition of the Food &amp; Drink Industry, 9.66bn or about 1% was from wholesale or retail of sugary foods (see: Figure 2.3). </w:t>
      </w:r>
    </w:p>
    <w:p w:rsidR="00B50875" w:rsidRDefault="00B50875">
      <w:pPr>
        <w:spacing w:after="0" w:line="240" w:lineRule="auto"/>
      </w:pPr>
    </w:p>
    <w:p w:rsidR="00B50875" w:rsidRDefault="00820CF4">
      <w:pPr>
        <w:spacing w:after="0" w:line="240" w:lineRule="auto"/>
      </w:pPr>
      <w:r>
        <w:t xml:space="preserve">A preliminary estimate of total VAT receipts from the Wider Food Industry, then, might be 20% (the standard rate) of Unhealthy Food, since it is mostly Unhealthy Food that is taxed (as per section 1.1). Note that this is only </w:t>
      </w:r>
      <w:proofErr w:type="gramStart"/>
      <w:r>
        <w:t>an estimation</w:t>
      </w:r>
      <w:proofErr w:type="gramEnd"/>
      <w:r>
        <w:t xml:space="preserve">. Nonetheless, that would amount to 20% of £9.66bn, which is nearly £2bn. </w:t>
      </w:r>
    </w:p>
    <w:p w:rsidR="00B50875" w:rsidRDefault="00B50875">
      <w:pPr>
        <w:spacing w:after="0" w:line="240" w:lineRule="auto"/>
      </w:pPr>
    </w:p>
    <w:p w:rsidR="00B50875" w:rsidRDefault="00820CF4">
      <w:pPr>
        <w:spacing w:after="0" w:line="240" w:lineRule="auto"/>
      </w:pPr>
      <w:r>
        <w:t>Taking another measure, for the year 2013-2014, total VAT receipts amounted to £104.7bn (HMRC Tax and NIC receipts, 2015</w:t>
      </w:r>
      <w:r>
        <w:rPr>
          <w:vertAlign w:val="superscript"/>
        </w:rPr>
        <w:footnoteReference w:id="3"/>
      </w:r>
      <w:r>
        <w:t>). Since in the ONS Annual Business Survey Unhealthy Food accounts for around 9.66bn/(97,113 + 319,043) = 0.0233% of the total Wider Food Industry turnover, we can apply this share to the total VAT in the HMRC Tax and NIC receipts data. 0.0233% of £104.7bn, then, amounts to £2.44bn, which is not far off our original figure of £2bn. The differences are probably due to small differences in industry classification definitions.</w:t>
      </w:r>
    </w:p>
    <w:p w:rsidR="00B50875" w:rsidRDefault="00B50875">
      <w:pPr>
        <w:spacing w:after="0" w:line="240" w:lineRule="auto"/>
      </w:pPr>
    </w:p>
    <w:p w:rsidR="00487C63" w:rsidRDefault="00487C63" w:rsidP="00487C63">
      <w:pPr>
        <w:spacing w:after="0" w:line="240" w:lineRule="auto"/>
        <w:rPr>
          <w:b/>
        </w:rPr>
      </w:pPr>
      <w:r>
        <w:rPr>
          <w:b/>
        </w:rPr>
        <w:t>2.2 Corporation (income) tax</w:t>
      </w:r>
    </w:p>
    <w:p w:rsidR="00487C63" w:rsidRDefault="00487C63" w:rsidP="00487C63">
      <w:pPr>
        <w:spacing w:after="0" w:line="240" w:lineRule="auto"/>
        <w:rPr>
          <w:b/>
        </w:rPr>
      </w:pPr>
    </w:p>
    <w:p w:rsidR="00487C63" w:rsidRDefault="00487C63" w:rsidP="00487C63">
      <w:pPr>
        <w:spacing w:after="0" w:line="240" w:lineRule="auto"/>
        <w:rPr>
          <w:b/>
        </w:rPr>
      </w:pPr>
      <w:r>
        <w:t xml:space="preserve">Below are figures for net tax payments from the 50 largest Food and Drink companies in the UK, where the total is £2.37bn. </w:t>
      </w:r>
    </w:p>
    <w:p w:rsidR="00487C63" w:rsidRDefault="00487C63" w:rsidP="00487C63">
      <w:pPr>
        <w:spacing w:after="0" w:line="240" w:lineRule="auto"/>
        <w:rPr>
          <w:b/>
        </w:rPr>
      </w:pPr>
    </w:p>
    <w:p w:rsidR="00487C63" w:rsidRDefault="00487C63" w:rsidP="00487C63">
      <w:pPr>
        <w:spacing w:after="0" w:line="240" w:lineRule="auto"/>
        <w:rPr>
          <w:b/>
          <w:color w:val="548DD4" w:themeColor="text2" w:themeTint="99"/>
        </w:rPr>
      </w:pPr>
      <w:r>
        <w:rPr>
          <w:b/>
          <w:color w:val="548DD4" w:themeColor="text2" w:themeTint="99"/>
        </w:rPr>
        <w:t>Figure E: Net tax paid by largest 50 Food and Drink companies in the UK (total £2.37bn)</w:t>
      </w:r>
    </w:p>
    <w:p w:rsidR="00487C63" w:rsidRDefault="00487C63" w:rsidP="00487C63">
      <w:pPr>
        <w:spacing w:after="0" w:line="240" w:lineRule="auto"/>
        <w:rPr>
          <w:b/>
        </w:rPr>
      </w:pPr>
      <w:r>
        <w:rPr>
          <w:noProof/>
        </w:rPr>
        <w:drawing>
          <wp:inline distT="0" distB="0" distL="0" distR="0">
            <wp:extent cx="5743575" cy="3400425"/>
            <wp:effectExtent l="0" t="0" r="9525"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487C63" w:rsidRDefault="00487C63" w:rsidP="00487C63">
      <w:pPr>
        <w:spacing w:after="0" w:line="240" w:lineRule="auto"/>
        <w:rPr>
          <w:i/>
        </w:rPr>
      </w:pPr>
      <w:r>
        <w:rPr>
          <w:i/>
        </w:rPr>
        <w:t>Source: Bloomberg</w:t>
      </w:r>
      <w:r>
        <w:t xml:space="preserve">. </w:t>
      </w:r>
      <w:r>
        <w:rPr>
          <w:i/>
        </w:rPr>
        <w:t>Figures are actual cash paid for income taxes net of tax refunds</w:t>
      </w:r>
    </w:p>
    <w:p w:rsidR="00B50875" w:rsidRDefault="00820CF4">
      <w:pPr>
        <w:spacing w:after="0" w:line="240" w:lineRule="auto"/>
      </w:pPr>
      <w:r>
        <w:rPr>
          <w:b/>
        </w:rPr>
        <w:t>2.3 Tax from employment</w:t>
      </w:r>
    </w:p>
    <w:p w:rsidR="00B50875" w:rsidRDefault="00B50875">
      <w:pPr>
        <w:spacing w:after="0" w:line="240" w:lineRule="auto"/>
      </w:pPr>
    </w:p>
    <w:p w:rsidR="00B50875" w:rsidRDefault="00B50875">
      <w:pPr>
        <w:spacing w:after="0" w:line="240" w:lineRule="auto"/>
      </w:pPr>
    </w:p>
    <w:p w:rsidR="00B50875" w:rsidRDefault="00820CF4">
      <w:pPr>
        <w:spacing w:after="0" w:line="240" w:lineRule="auto"/>
      </w:pPr>
      <w:r>
        <w:rPr>
          <w:b/>
          <w:color w:val="0070C0"/>
        </w:rPr>
        <w:t>3. Tax lost from food industry</w:t>
      </w:r>
    </w:p>
    <w:p w:rsidR="00B50875" w:rsidRDefault="00820CF4">
      <w:pPr>
        <w:spacing w:after="0" w:line="240" w:lineRule="auto"/>
      </w:pPr>
      <w:r>
        <w:rPr>
          <w:b/>
        </w:rPr>
        <w:t>3.1 Tax avoidance / evasion (overseas accounting arrangements)</w:t>
      </w:r>
    </w:p>
    <w:p w:rsidR="00B50875" w:rsidRDefault="00820CF4">
      <w:pPr>
        <w:spacing w:after="0" w:line="240" w:lineRule="auto"/>
      </w:pPr>
      <w:r>
        <w:rPr>
          <w:b/>
        </w:rPr>
        <w:t>3.2 Low wage staff not paying income tax and national insurance</w:t>
      </w:r>
    </w:p>
    <w:p w:rsidR="00B50875" w:rsidRDefault="00820CF4">
      <w:pPr>
        <w:spacing w:after="0" w:line="240" w:lineRule="auto"/>
      </w:pPr>
      <w:r>
        <w:rPr>
          <w:b/>
        </w:rPr>
        <w:t>3.3 Cash based franchises</w:t>
      </w:r>
    </w:p>
    <w:p w:rsidR="00B50875" w:rsidRDefault="00820CF4">
      <w:pPr>
        <w:spacing w:after="0" w:line="240" w:lineRule="auto"/>
      </w:pPr>
      <w:r>
        <w:rPr>
          <w:b/>
        </w:rPr>
        <w:t>3.4 Tax credits to low paid workers</w:t>
      </w:r>
    </w:p>
    <w:p w:rsidR="00B50875" w:rsidRDefault="00B50875">
      <w:pPr>
        <w:spacing w:after="0" w:line="240" w:lineRule="auto"/>
      </w:pPr>
    </w:p>
    <w:p w:rsidR="00B50875" w:rsidRDefault="00B50875">
      <w:pPr>
        <w:spacing w:after="0" w:line="240" w:lineRule="auto"/>
      </w:pPr>
    </w:p>
    <w:p w:rsidR="00B50875" w:rsidRDefault="00B50875">
      <w:pPr>
        <w:spacing w:after="0" w:line="240" w:lineRule="auto"/>
      </w:pPr>
    </w:p>
    <w:p w:rsidR="00B50875" w:rsidRDefault="00820CF4">
      <w:pPr>
        <w:spacing w:after="0" w:line="240" w:lineRule="auto"/>
      </w:pPr>
      <w:r>
        <w:rPr>
          <w:b/>
          <w:color w:val="0070C0"/>
        </w:rPr>
        <w:t>4. Obesity (tax lost and welfare costs incurred, e.g. through relative non-employment)</w:t>
      </w:r>
    </w:p>
    <w:p w:rsidR="00B50875" w:rsidRDefault="00B50875">
      <w:pPr>
        <w:spacing w:after="0" w:line="240" w:lineRule="auto"/>
      </w:pPr>
    </w:p>
    <w:p w:rsidR="00B50875" w:rsidRDefault="00820CF4">
      <w:pPr>
        <w:spacing w:after="0" w:line="240" w:lineRule="auto"/>
      </w:pPr>
      <w:r>
        <w:rPr>
          <w:b/>
        </w:rPr>
        <w:t>4.1 Overall costs</w:t>
      </w:r>
    </w:p>
    <w:p w:rsidR="00B50875" w:rsidRDefault="00B50875">
      <w:pPr>
        <w:spacing w:after="0" w:line="240" w:lineRule="auto"/>
      </w:pPr>
    </w:p>
    <w:p w:rsidR="0051128A" w:rsidRDefault="0051128A">
      <w:pPr>
        <w:spacing w:after="0" w:line="240" w:lineRule="auto"/>
        <w:rPr>
          <w:rFonts w:asciiTheme="minorHAnsi" w:hAnsiTheme="minorHAnsi"/>
          <w:szCs w:val="22"/>
        </w:rPr>
      </w:pPr>
      <w:r>
        <w:rPr>
          <w:rFonts w:asciiTheme="minorHAnsi" w:hAnsiTheme="minorHAnsi"/>
          <w:szCs w:val="22"/>
        </w:rPr>
        <w:t xml:space="preserve">According to </w:t>
      </w:r>
      <w:proofErr w:type="spellStart"/>
      <w:r>
        <w:rPr>
          <w:rFonts w:asciiTheme="minorHAnsi" w:hAnsiTheme="minorHAnsi"/>
          <w:szCs w:val="22"/>
        </w:rPr>
        <w:t>Rayner</w:t>
      </w:r>
      <w:proofErr w:type="spellEnd"/>
      <w:r>
        <w:rPr>
          <w:rFonts w:asciiTheme="minorHAnsi" w:hAnsiTheme="minorHAnsi"/>
          <w:szCs w:val="22"/>
        </w:rPr>
        <w:t xml:space="preserve"> &amp; </w:t>
      </w:r>
      <w:r w:rsidRPr="00224862">
        <w:rPr>
          <w:rFonts w:asciiTheme="minorHAnsi" w:hAnsiTheme="minorHAnsi"/>
          <w:color w:val="FF0000"/>
          <w:szCs w:val="22"/>
        </w:rPr>
        <w:t>Scarborough (2005</w:t>
      </w:r>
      <w:r>
        <w:rPr>
          <w:rFonts w:asciiTheme="minorHAnsi" w:hAnsiTheme="minorHAnsi"/>
          <w:szCs w:val="22"/>
        </w:rPr>
        <w:t>), there are three ways the burden of ill health can be measured: mortality, morbidity and money. The focus here will be on money, so that we can compare it directly to economic measures such as taxation.</w:t>
      </w:r>
    </w:p>
    <w:p w:rsidR="0051128A" w:rsidRDefault="0051128A">
      <w:pPr>
        <w:spacing w:after="0" w:line="240" w:lineRule="auto"/>
        <w:rPr>
          <w:rFonts w:asciiTheme="minorHAnsi" w:hAnsiTheme="minorHAnsi"/>
          <w:szCs w:val="22"/>
        </w:rPr>
      </w:pPr>
    </w:p>
    <w:p w:rsidR="00820CF4" w:rsidRPr="00820CF4" w:rsidRDefault="00820CF4">
      <w:pPr>
        <w:spacing w:after="0" w:line="240" w:lineRule="auto"/>
        <w:rPr>
          <w:rFonts w:asciiTheme="minorHAnsi" w:eastAsia="Arial" w:hAnsiTheme="minorHAnsi" w:cs="Arial"/>
          <w:szCs w:val="22"/>
        </w:rPr>
      </w:pPr>
      <w:r w:rsidRPr="00820CF4">
        <w:rPr>
          <w:rFonts w:asciiTheme="minorHAnsi" w:hAnsiTheme="minorHAnsi"/>
          <w:szCs w:val="22"/>
        </w:rPr>
        <w:t xml:space="preserve">Total </w:t>
      </w:r>
      <w:r>
        <w:rPr>
          <w:rFonts w:asciiTheme="minorHAnsi" w:hAnsiTheme="minorHAnsi"/>
          <w:szCs w:val="22"/>
        </w:rPr>
        <w:t>food-</w:t>
      </w:r>
      <w:r w:rsidRPr="00820CF4">
        <w:rPr>
          <w:rFonts w:asciiTheme="minorHAnsi" w:eastAsia="Arial" w:hAnsiTheme="minorHAnsi" w:cs="Arial"/>
          <w:szCs w:val="22"/>
          <w:highlight w:val="white"/>
        </w:rPr>
        <w:t>related ill health is responsible for about 10% of morbidity and mortality in th</w:t>
      </w:r>
      <w:r>
        <w:rPr>
          <w:rFonts w:asciiTheme="minorHAnsi" w:eastAsia="Arial" w:hAnsiTheme="minorHAnsi" w:cs="Arial"/>
          <w:szCs w:val="22"/>
          <w:highlight w:val="white"/>
        </w:rPr>
        <w:t xml:space="preserve">e UK and costs the NHS about £6bn </w:t>
      </w:r>
      <w:r w:rsidRPr="00820CF4">
        <w:rPr>
          <w:rFonts w:asciiTheme="minorHAnsi" w:eastAsia="Arial" w:hAnsiTheme="minorHAnsi" w:cs="Arial"/>
          <w:szCs w:val="22"/>
          <w:highlight w:val="white"/>
        </w:rPr>
        <w:t>annually</w:t>
      </w:r>
      <w:r w:rsidRPr="00820CF4">
        <w:rPr>
          <w:rFonts w:asciiTheme="minorHAnsi" w:eastAsia="Arial" w:hAnsiTheme="minorHAnsi" w:cs="Arial"/>
          <w:color w:val="FF0000"/>
          <w:szCs w:val="22"/>
          <w:highlight w:val="white"/>
        </w:rPr>
        <w:t xml:space="preserve"> (</w:t>
      </w:r>
      <w:proofErr w:type="spellStart"/>
      <w:r w:rsidRPr="00820CF4">
        <w:rPr>
          <w:rFonts w:asciiTheme="minorHAnsi" w:eastAsia="Arial" w:hAnsiTheme="minorHAnsi" w:cs="Arial"/>
          <w:color w:val="FF0000"/>
          <w:szCs w:val="22"/>
          <w:highlight w:val="white"/>
        </w:rPr>
        <w:t>Rayner</w:t>
      </w:r>
      <w:proofErr w:type="spellEnd"/>
      <w:r w:rsidRPr="00820CF4">
        <w:rPr>
          <w:rFonts w:asciiTheme="minorHAnsi" w:eastAsia="Arial" w:hAnsiTheme="minorHAnsi" w:cs="Arial"/>
          <w:color w:val="FF0000"/>
          <w:szCs w:val="22"/>
          <w:highlight w:val="white"/>
        </w:rPr>
        <w:t xml:space="preserve"> &amp; Scarborough, 2005</w:t>
      </w:r>
      <w:r w:rsidRPr="00820CF4">
        <w:rPr>
          <w:rFonts w:asciiTheme="minorHAnsi" w:eastAsia="Arial" w:hAnsiTheme="minorHAnsi" w:cs="Arial"/>
          <w:szCs w:val="22"/>
          <w:highlight w:val="white"/>
        </w:rPr>
        <w:t>)</w:t>
      </w:r>
      <w:r>
        <w:rPr>
          <w:rFonts w:asciiTheme="minorHAnsi" w:eastAsia="Arial" w:hAnsiTheme="minorHAnsi" w:cs="Arial"/>
          <w:szCs w:val="22"/>
        </w:rPr>
        <w:t xml:space="preserve">. This figure is backed up by the </w:t>
      </w:r>
      <w:r w:rsidRPr="00820CF4">
        <w:rPr>
          <w:rFonts w:asciiTheme="minorHAnsi" w:eastAsia="Arial" w:hAnsiTheme="minorHAnsi" w:cs="Arial"/>
          <w:szCs w:val="22"/>
        </w:rPr>
        <w:t xml:space="preserve">£5.8 billion per year </w:t>
      </w:r>
      <w:r>
        <w:rPr>
          <w:rFonts w:asciiTheme="minorHAnsi" w:eastAsia="Arial" w:hAnsiTheme="minorHAnsi" w:cs="Arial"/>
          <w:szCs w:val="22"/>
        </w:rPr>
        <w:t xml:space="preserve">estimated by </w:t>
      </w:r>
      <w:r w:rsidRPr="00820CF4">
        <w:rPr>
          <w:rFonts w:asciiTheme="minorHAnsi" w:eastAsia="Arial" w:hAnsiTheme="minorHAnsi" w:cs="Arial"/>
          <w:szCs w:val="22"/>
          <w:highlight w:val="white"/>
        </w:rPr>
        <w:t>Jones NRV,</w:t>
      </w:r>
      <w:r>
        <w:rPr>
          <w:rFonts w:asciiTheme="minorHAnsi" w:eastAsia="Arial" w:hAnsiTheme="minorHAnsi" w:cs="Arial"/>
          <w:szCs w:val="22"/>
          <w:highlight w:val="white"/>
        </w:rPr>
        <w:t xml:space="preserve"> Conklin AI</w:t>
      </w:r>
      <w:proofErr w:type="gramStart"/>
      <w:r>
        <w:rPr>
          <w:rFonts w:asciiTheme="minorHAnsi" w:eastAsia="Arial" w:hAnsiTheme="minorHAnsi" w:cs="Arial"/>
          <w:szCs w:val="22"/>
          <w:highlight w:val="white"/>
        </w:rPr>
        <w:t xml:space="preserve">,  </w:t>
      </w:r>
      <w:proofErr w:type="spellStart"/>
      <w:r w:rsidRPr="00820CF4">
        <w:rPr>
          <w:rFonts w:asciiTheme="minorHAnsi" w:eastAsia="Arial" w:hAnsiTheme="minorHAnsi" w:cs="Arial"/>
          <w:color w:val="FF0000"/>
          <w:szCs w:val="22"/>
          <w:highlight w:val="white"/>
        </w:rPr>
        <w:t>Suhrcke</w:t>
      </w:r>
      <w:proofErr w:type="spellEnd"/>
      <w:proofErr w:type="gramEnd"/>
      <w:r w:rsidRPr="00820CF4">
        <w:rPr>
          <w:rFonts w:asciiTheme="minorHAnsi" w:eastAsia="Arial" w:hAnsiTheme="minorHAnsi" w:cs="Arial"/>
          <w:color w:val="FF0000"/>
          <w:szCs w:val="22"/>
          <w:highlight w:val="white"/>
        </w:rPr>
        <w:t xml:space="preserve"> M, et al. (2014</w:t>
      </w:r>
      <w:r w:rsidRPr="00820CF4">
        <w:rPr>
          <w:rFonts w:asciiTheme="minorHAnsi" w:eastAsia="Arial" w:hAnsiTheme="minorHAnsi" w:cs="Arial"/>
          <w:szCs w:val="22"/>
          <w:highlight w:val="white"/>
        </w:rPr>
        <w:t>)</w:t>
      </w:r>
      <w:r w:rsidR="00224862">
        <w:rPr>
          <w:rFonts w:asciiTheme="minorHAnsi" w:eastAsia="Arial" w:hAnsiTheme="minorHAnsi" w:cs="Arial"/>
          <w:szCs w:val="22"/>
        </w:rPr>
        <w:t>, where the majority of these diet-related illness costs are due to obesity.</w:t>
      </w:r>
      <w:r>
        <w:rPr>
          <w:rFonts w:asciiTheme="minorHAnsi" w:eastAsia="Arial" w:hAnsiTheme="minorHAnsi" w:cs="Arial"/>
          <w:szCs w:val="22"/>
        </w:rPr>
        <w:t xml:space="preserve"> Finally, the </w:t>
      </w:r>
      <w:r w:rsidRPr="00820CF4">
        <w:rPr>
          <w:rFonts w:asciiTheme="minorHAnsi" w:eastAsia="Arial" w:hAnsiTheme="minorHAnsi" w:cs="Arial"/>
          <w:color w:val="FF0000"/>
          <w:szCs w:val="22"/>
        </w:rPr>
        <w:t xml:space="preserve">LGA </w:t>
      </w:r>
      <w:r>
        <w:rPr>
          <w:rFonts w:asciiTheme="minorHAnsi" w:eastAsia="Arial" w:hAnsiTheme="minorHAnsi" w:cs="Arial"/>
          <w:szCs w:val="22"/>
        </w:rPr>
        <w:t xml:space="preserve">estimates that the </w:t>
      </w:r>
      <w:proofErr w:type="gramStart"/>
      <w:r>
        <w:rPr>
          <w:rFonts w:asciiTheme="minorHAnsi" w:eastAsia="Arial" w:hAnsiTheme="minorHAnsi" w:cs="Arial"/>
          <w:szCs w:val="22"/>
        </w:rPr>
        <w:t>cost</w:t>
      </w:r>
      <w:proofErr w:type="gramEnd"/>
      <w:r>
        <w:rPr>
          <w:rFonts w:asciiTheme="minorHAnsi" w:eastAsia="Arial" w:hAnsiTheme="minorHAnsi" w:cs="Arial"/>
          <w:szCs w:val="22"/>
        </w:rPr>
        <w:t xml:space="preserve"> </w:t>
      </w:r>
      <w:r>
        <w:rPr>
          <w:rFonts w:asciiTheme="minorHAnsi" w:eastAsia="Arial" w:hAnsiTheme="minorHAnsi" w:cs="Arial"/>
          <w:szCs w:val="22"/>
        </w:rPr>
        <w:lastRenderedPageBreak/>
        <w:t>of just obesity-related diseases (not all of which are caused by unhealthy food) are £5bn pa.</w:t>
      </w:r>
      <w:r w:rsidR="00224862">
        <w:rPr>
          <w:rFonts w:asciiTheme="minorHAnsi" w:eastAsia="Arial" w:hAnsiTheme="minorHAnsi" w:cs="Arial"/>
          <w:szCs w:val="22"/>
        </w:rPr>
        <w:t xml:space="preserve"> We can estimate, then, that the healthcare costs of obesity are between £5bn-£6bn. This excludes secondary and social costs.</w:t>
      </w:r>
    </w:p>
    <w:p w:rsidR="00820CF4" w:rsidRDefault="00820CF4">
      <w:pPr>
        <w:spacing w:after="0" w:line="240" w:lineRule="auto"/>
      </w:pPr>
    </w:p>
    <w:p w:rsidR="00820CF4" w:rsidRPr="00820CF4" w:rsidRDefault="00224862" w:rsidP="00224862">
      <w:pPr>
        <w:spacing w:after="0" w:line="240" w:lineRule="auto"/>
      </w:pPr>
      <w:r>
        <w:rPr>
          <w:rFonts w:ascii="Verdana" w:eastAsia="Verdana" w:hAnsi="Verdana" w:cs="Verdana"/>
          <w:sz w:val="20"/>
          <w:highlight w:val="white"/>
        </w:rPr>
        <w:t xml:space="preserve">Looking forwards at current diet levels, </w:t>
      </w:r>
      <w:r w:rsidR="00820CF4">
        <w:rPr>
          <w:rFonts w:ascii="Verdana" w:eastAsia="Verdana" w:hAnsi="Verdana" w:cs="Verdana"/>
          <w:sz w:val="20"/>
          <w:highlight w:val="white"/>
        </w:rPr>
        <w:t>by 2050 we could expect a 20% rise in heart disease and a staggering 70% rise in Type 2 diabetes. At this rate, by 2050 obesity will be costing the state £32bn a year (4,</w:t>
      </w:r>
      <w:r w:rsidR="00820CF4" w:rsidRPr="00224862">
        <w:rPr>
          <w:rFonts w:ascii="Verdana" w:eastAsia="Verdana" w:hAnsi="Verdana" w:cs="Verdana"/>
          <w:color w:val="FF0000"/>
          <w:sz w:val="20"/>
          <w:highlight w:val="white"/>
        </w:rPr>
        <w:t xml:space="preserve"> BBC </w:t>
      </w:r>
      <w:r w:rsidR="00820CF4">
        <w:rPr>
          <w:rFonts w:ascii="Verdana" w:eastAsia="Verdana" w:hAnsi="Verdana" w:cs="Verdana"/>
          <w:sz w:val="20"/>
          <w:highlight w:val="white"/>
        </w:rPr>
        <w:t xml:space="preserve">Panorama:  </w:t>
      </w:r>
      <w:hyperlink r:id="rId9">
        <w:r w:rsidR="00820CF4">
          <w:rPr>
            <w:color w:val="0000FF"/>
            <w:u w:val="single"/>
          </w:rPr>
          <w:t>http://news.bbc.co.uk/panorama/hi/front_page/newsid_9176000/9176897.stm</w:t>
        </w:r>
      </w:hyperlink>
      <w:r w:rsidR="00820CF4">
        <w:rPr>
          <w:rFonts w:ascii="Verdana" w:eastAsia="Verdana" w:hAnsi="Verdana" w:cs="Verdana"/>
          <w:sz w:val="20"/>
          <w:highlight w:val="white"/>
        </w:rPr>
        <w:t xml:space="preserve">). </w:t>
      </w:r>
    </w:p>
    <w:p w:rsidR="00B50875" w:rsidRDefault="00B50875">
      <w:pPr>
        <w:spacing w:after="0" w:line="240" w:lineRule="auto"/>
      </w:pPr>
    </w:p>
    <w:p w:rsidR="00B50875" w:rsidRDefault="00820CF4">
      <w:pPr>
        <w:spacing w:after="0" w:line="240" w:lineRule="auto"/>
      </w:pPr>
      <w:r>
        <w:rPr>
          <w:b/>
        </w:rPr>
        <w:t>4.2 Detailed estimation of costs</w:t>
      </w:r>
    </w:p>
    <w:p w:rsidR="00B50875" w:rsidRDefault="00B50875">
      <w:pPr>
        <w:spacing w:after="0" w:line="240" w:lineRule="auto"/>
      </w:pPr>
    </w:p>
    <w:p w:rsidR="00B50875" w:rsidRDefault="00820CF4">
      <w:pPr>
        <w:spacing w:after="0" w:line="240" w:lineRule="auto"/>
      </w:pPr>
      <w:r>
        <w:t>A detailed estimation of costs can be accomplished by modelling the tax lost through loss of output from obesity and the wider social or welfare costs.</w:t>
      </w:r>
    </w:p>
    <w:p w:rsidR="00B50875" w:rsidRDefault="00B50875">
      <w:pPr>
        <w:spacing w:after="0" w:line="240" w:lineRule="auto"/>
      </w:pPr>
    </w:p>
    <w:p w:rsidR="00B50875" w:rsidRDefault="00820CF4">
      <w:pPr>
        <w:spacing w:after="0" w:line="240" w:lineRule="auto"/>
      </w:pPr>
      <w:r>
        <w:rPr>
          <w:b/>
        </w:rPr>
        <w:t>4.3 Fat tax, pros</w:t>
      </w:r>
    </w:p>
    <w:p w:rsidR="00B50875" w:rsidRDefault="00B50875">
      <w:pPr>
        <w:spacing w:after="0" w:line="240" w:lineRule="auto"/>
      </w:pPr>
    </w:p>
    <w:p w:rsidR="00B50875" w:rsidRDefault="00820CF4">
      <w:pPr>
        <w:spacing w:after="0" w:line="240" w:lineRule="auto"/>
      </w:pPr>
      <w:r>
        <w:t xml:space="preserve">The main two points in favour of a fat tax are the behaviour change created and the tax revenue. These points are related by the price elasticity of demand for unhealthy food. This measure is low, as well as for complements of unhealthy food. This means the government can generate significant tax revenues from unhealthy </w:t>
      </w:r>
      <w:proofErr w:type="gramStart"/>
      <w:r>
        <w:t>food,</w:t>
      </w:r>
      <w:proofErr w:type="gramEnd"/>
      <w:r>
        <w:t xml:space="preserve"> however, the flip side of the coin is</w:t>
      </w:r>
      <w:bookmarkStart w:id="0" w:name="_GoBack"/>
      <w:bookmarkEnd w:id="0"/>
      <w:r>
        <w:t xml:space="preserve"> that it will be difficult to change behaviour without significant tax. In fact, most public policy discussions agree that 20% would be the threshold required to effect tangible change (Taxing unhealthy food and drinks to improve health (BMJ 2012</w:t>
      </w:r>
      <w:proofErr w:type="gramStart"/>
      <w:r>
        <w:t>;344:e2931</w:t>
      </w:r>
      <w:proofErr w:type="gramEnd"/>
      <w:r>
        <w:t xml:space="preserve"> </w:t>
      </w:r>
      <w:proofErr w:type="spellStart"/>
      <w:r>
        <w:t>doi</w:t>
      </w:r>
      <w:proofErr w:type="spellEnd"/>
      <w:r>
        <w:t>: 10.1136/bmj.e2931 (Published 15 May 2012)).</w:t>
      </w:r>
    </w:p>
    <w:p w:rsidR="00B50875" w:rsidRDefault="00B50875">
      <w:pPr>
        <w:spacing w:after="0" w:line="240" w:lineRule="auto"/>
      </w:pPr>
    </w:p>
    <w:p w:rsidR="00B50875" w:rsidRDefault="00820CF4">
      <w:pPr>
        <w:spacing w:after="0" w:line="240" w:lineRule="auto"/>
      </w:pPr>
      <w:r>
        <w:t>Such a level of tax could generate an additional £2bn - £2.5bn just on the £9.66bn (or perhaps slightly more) in turnover of the Unhealthy Food industry, and this does not include Food and Beverage Service Activities (SIC 56), e.g. restaurants and takeaways, which account for around £55.592bn of extra turnover.</w:t>
      </w:r>
    </w:p>
    <w:p w:rsidR="00B50875" w:rsidRDefault="00B50875">
      <w:pPr>
        <w:spacing w:after="0" w:line="240" w:lineRule="auto"/>
      </w:pPr>
    </w:p>
    <w:p w:rsidR="00B50875" w:rsidRDefault="00820CF4">
      <w:pPr>
        <w:spacing w:after="0" w:line="240" w:lineRule="auto"/>
      </w:pPr>
      <w:r>
        <w:rPr>
          <w:b/>
        </w:rPr>
        <w:t>4.4 Fat tax, cons</w:t>
      </w:r>
    </w:p>
    <w:p w:rsidR="00B50875" w:rsidRDefault="00B50875">
      <w:pPr>
        <w:spacing w:after="0" w:line="240" w:lineRule="auto"/>
      </w:pPr>
    </w:p>
    <w:p w:rsidR="00B50875" w:rsidRDefault="00820CF4">
      <w:pPr>
        <w:spacing w:after="0" w:line="240" w:lineRule="auto"/>
      </w:pPr>
      <w:r>
        <w:rPr>
          <w:rFonts w:ascii="Verdana" w:eastAsia="Verdana" w:hAnsi="Verdana" w:cs="Verdana"/>
          <w:sz w:val="20"/>
          <w:highlight w:val="white"/>
        </w:rPr>
        <w:t>Arguments against a fat tax include points against the mechanism of taxation itself, the efficacy in changing behaviour and the regressive nature of the tax. The foremost point includes practical problems (such as implementation in the catering or takeaway sectors), and technical problems with taxation (such as the economic welfare loss incurred, and other inefficiencies of taxation). These issues can perhaps be estimated and minimized.</w:t>
      </w:r>
    </w:p>
    <w:p w:rsidR="00B50875" w:rsidRDefault="00B50875">
      <w:pPr>
        <w:spacing w:after="0" w:line="240" w:lineRule="auto"/>
      </w:pPr>
    </w:p>
    <w:p w:rsidR="00224862" w:rsidRDefault="00820CF4">
      <w:pPr>
        <w:spacing w:after="0" w:line="240" w:lineRule="auto"/>
        <w:rPr>
          <w:rFonts w:ascii="Arial" w:eastAsia="Arial" w:hAnsi="Arial" w:cs="Arial"/>
          <w:i/>
          <w:sz w:val="24"/>
        </w:rPr>
      </w:pPr>
      <w:r>
        <w:rPr>
          <w:rFonts w:ascii="Verdana" w:eastAsia="Verdana" w:hAnsi="Verdana" w:cs="Verdana"/>
          <w:sz w:val="20"/>
          <w:highlight w:val="white"/>
        </w:rPr>
        <w:t>With regards to regressive taxation, it is thought that a flat rate of tax would hurt the poorest more than the rich.</w:t>
      </w:r>
      <w:r w:rsidR="00224862">
        <w:rPr>
          <w:rFonts w:ascii="Verdana" w:eastAsia="Verdana" w:hAnsi="Verdana" w:cs="Verdana"/>
          <w:sz w:val="20"/>
          <w:highlight w:val="white"/>
        </w:rPr>
        <w:t xml:space="preserve"> In fact, it is estimated that the poorest households lose </w:t>
      </w:r>
      <w:proofErr w:type="gramStart"/>
      <w:r w:rsidR="00224862">
        <w:rPr>
          <w:rFonts w:ascii="Verdana" w:eastAsia="Verdana" w:hAnsi="Verdana" w:cs="Verdana"/>
          <w:sz w:val="20"/>
          <w:highlight w:val="white"/>
        </w:rPr>
        <w:t>7x</w:t>
      </w:r>
      <w:proofErr w:type="gramEnd"/>
      <w:r w:rsidR="00224862">
        <w:rPr>
          <w:rFonts w:ascii="Verdana" w:eastAsia="Verdana" w:hAnsi="Verdana" w:cs="Verdana"/>
          <w:sz w:val="20"/>
          <w:highlight w:val="white"/>
        </w:rPr>
        <w:t xml:space="preserve"> more on a </w:t>
      </w:r>
      <w:proofErr w:type="spellStart"/>
      <w:r w:rsidR="00224862">
        <w:rPr>
          <w:rFonts w:ascii="Verdana" w:eastAsia="Verdana" w:hAnsi="Verdana" w:cs="Verdana"/>
          <w:sz w:val="20"/>
          <w:highlight w:val="white"/>
        </w:rPr>
        <w:t>fat</w:t>
      </w:r>
      <w:proofErr w:type="spellEnd"/>
      <w:r w:rsidR="00224862">
        <w:rPr>
          <w:rFonts w:ascii="Verdana" w:eastAsia="Verdana" w:hAnsi="Verdana" w:cs="Verdana"/>
          <w:sz w:val="20"/>
          <w:highlight w:val="white"/>
        </w:rPr>
        <w:t xml:space="preserve"> tax, assuming there is no behaviour change (</w:t>
      </w:r>
      <w:proofErr w:type="spellStart"/>
      <w:r w:rsidR="00224862">
        <w:rPr>
          <w:rFonts w:ascii="Verdana" w:eastAsia="Verdana" w:hAnsi="Verdana" w:cs="Verdana"/>
          <w:sz w:val="20"/>
          <w:highlight w:val="white"/>
        </w:rPr>
        <w:t>Leciester</w:t>
      </w:r>
      <w:proofErr w:type="spellEnd"/>
      <w:r w:rsidR="00224862">
        <w:rPr>
          <w:rFonts w:ascii="Verdana" w:eastAsia="Verdana" w:hAnsi="Verdana" w:cs="Verdana"/>
          <w:sz w:val="20"/>
          <w:highlight w:val="white"/>
        </w:rPr>
        <w:t xml:space="preserve"> &amp; </w:t>
      </w:r>
      <w:proofErr w:type="spellStart"/>
      <w:r w:rsidR="00224862">
        <w:rPr>
          <w:rFonts w:ascii="Verdana" w:eastAsia="Verdana" w:hAnsi="Verdana" w:cs="Verdana"/>
          <w:sz w:val="20"/>
          <w:highlight w:val="white"/>
        </w:rPr>
        <w:t>Windmeijer</w:t>
      </w:r>
      <w:proofErr w:type="spellEnd"/>
      <w:r w:rsidR="00224862">
        <w:rPr>
          <w:rFonts w:ascii="Verdana" w:eastAsia="Verdana" w:hAnsi="Verdana" w:cs="Verdana"/>
          <w:sz w:val="20"/>
          <w:highlight w:val="white"/>
        </w:rPr>
        <w:t xml:space="preserve">, 2004). This is perhaps a bold assumption, though, and many scholars point to revenues from a </w:t>
      </w:r>
      <w:proofErr w:type="spellStart"/>
      <w:r w:rsidR="00224862">
        <w:rPr>
          <w:rFonts w:ascii="Verdana" w:eastAsia="Verdana" w:hAnsi="Verdana" w:cs="Verdana"/>
          <w:sz w:val="20"/>
          <w:highlight w:val="white"/>
        </w:rPr>
        <w:t>fat</w:t>
      </w:r>
      <w:proofErr w:type="spellEnd"/>
      <w:r w:rsidR="00224862">
        <w:rPr>
          <w:rFonts w:ascii="Verdana" w:eastAsia="Verdana" w:hAnsi="Verdana" w:cs="Verdana"/>
          <w:sz w:val="20"/>
          <w:highlight w:val="white"/>
        </w:rPr>
        <w:t xml:space="preserve"> tax would be needed to be used for </w:t>
      </w:r>
      <w:proofErr w:type="spellStart"/>
      <w:r w:rsidR="00224862">
        <w:rPr>
          <w:rFonts w:ascii="Verdana" w:eastAsia="Verdana" w:hAnsi="Verdana" w:cs="Verdana"/>
          <w:sz w:val="20"/>
          <w:highlight w:val="white"/>
        </w:rPr>
        <w:t>subdisidies</w:t>
      </w:r>
      <w:proofErr w:type="spellEnd"/>
      <w:r w:rsidR="00224862">
        <w:rPr>
          <w:rFonts w:ascii="Verdana" w:eastAsia="Verdana" w:hAnsi="Verdana" w:cs="Verdana"/>
          <w:sz w:val="20"/>
          <w:highlight w:val="white"/>
        </w:rPr>
        <w:t xml:space="preserve"> to offset its regressive nature.</w:t>
      </w:r>
    </w:p>
    <w:p w:rsidR="00B50875" w:rsidRDefault="00224862">
      <w:pPr>
        <w:spacing w:after="0" w:line="240" w:lineRule="auto"/>
      </w:pPr>
      <w:r>
        <w:t xml:space="preserve"> </w:t>
      </w:r>
    </w:p>
    <w:p w:rsidR="00B50875" w:rsidRDefault="00820CF4">
      <w:pPr>
        <w:spacing w:after="0" w:line="240" w:lineRule="auto"/>
      </w:pPr>
      <w:r>
        <w:rPr>
          <w:rFonts w:ascii="Verdana" w:eastAsia="Verdana" w:hAnsi="Verdana" w:cs="Verdana"/>
          <w:sz w:val="20"/>
          <w:highlight w:val="white"/>
        </w:rPr>
        <w:t xml:space="preserve">The point on efficacy in changing </w:t>
      </w:r>
      <w:proofErr w:type="gramStart"/>
      <w:r>
        <w:rPr>
          <w:rFonts w:ascii="Verdana" w:eastAsia="Verdana" w:hAnsi="Verdana" w:cs="Verdana"/>
          <w:sz w:val="20"/>
          <w:highlight w:val="white"/>
        </w:rPr>
        <w:t>behaviour,</w:t>
      </w:r>
      <w:proofErr w:type="gramEnd"/>
      <w:r>
        <w:rPr>
          <w:rFonts w:ascii="Verdana" w:eastAsia="Verdana" w:hAnsi="Verdana" w:cs="Verdana"/>
          <w:sz w:val="20"/>
          <w:highlight w:val="white"/>
        </w:rPr>
        <w:t xml:space="preserve"> may be more interesting. It is two-fold. First, is it effective in reducing consumption of unhealthy food, and second, even if it were, will reducing consumption of unhealthy food reduce obesity? On the latter point, </w:t>
      </w:r>
      <w:r w:rsidR="00224862" w:rsidRPr="00224862">
        <w:rPr>
          <w:rFonts w:asciiTheme="minorHAnsi" w:eastAsia="Arial" w:hAnsiTheme="minorHAnsi" w:cs="Arial"/>
          <w:szCs w:val="22"/>
        </w:rPr>
        <w:t xml:space="preserve">researchers have found that </w:t>
      </w:r>
      <w:proofErr w:type="gramStart"/>
      <w:r w:rsidR="00224862" w:rsidRPr="00224862">
        <w:rPr>
          <w:rFonts w:asciiTheme="minorHAnsi" w:eastAsia="Arial" w:hAnsiTheme="minorHAnsi" w:cs="Arial"/>
          <w:szCs w:val="22"/>
        </w:rPr>
        <w:t>i</w:t>
      </w:r>
      <w:r w:rsidRPr="00224862">
        <w:rPr>
          <w:rFonts w:asciiTheme="minorHAnsi" w:eastAsia="Arial" w:hAnsiTheme="minorHAnsi" w:cs="Arial"/>
          <w:szCs w:val="22"/>
        </w:rPr>
        <w:t>ncrease</w:t>
      </w:r>
      <w:r w:rsidR="00224862" w:rsidRPr="00224862">
        <w:rPr>
          <w:rFonts w:asciiTheme="minorHAnsi" w:eastAsia="Arial" w:hAnsiTheme="minorHAnsi" w:cs="Arial"/>
          <w:szCs w:val="22"/>
        </w:rPr>
        <w:t>s</w:t>
      </w:r>
      <w:r w:rsidRPr="00224862">
        <w:rPr>
          <w:rFonts w:asciiTheme="minorHAnsi" w:eastAsia="Arial" w:hAnsiTheme="minorHAnsi" w:cs="Arial"/>
          <w:szCs w:val="22"/>
        </w:rPr>
        <w:t xml:space="preserve"> in obesity in the UK is</w:t>
      </w:r>
      <w:proofErr w:type="gramEnd"/>
      <w:r w:rsidRPr="00224862">
        <w:rPr>
          <w:rFonts w:asciiTheme="minorHAnsi" w:eastAsia="Arial" w:hAnsiTheme="minorHAnsi" w:cs="Arial"/>
          <w:szCs w:val="22"/>
        </w:rPr>
        <w:t xml:space="preserve"> not correlated with increase in consumption of unhealthy foods (with the exception of takeaways and catering) (</w:t>
      </w:r>
      <w:proofErr w:type="spellStart"/>
      <w:r w:rsidRPr="00224862">
        <w:rPr>
          <w:rFonts w:asciiTheme="minorHAnsi" w:eastAsia="Arial" w:hAnsiTheme="minorHAnsi" w:cs="Arial"/>
          <w:szCs w:val="22"/>
        </w:rPr>
        <w:t>Leceister</w:t>
      </w:r>
      <w:proofErr w:type="spellEnd"/>
      <w:r w:rsidRPr="00224862">
        <w:rPr>
          <w:rFonts w:asciiTheme="minorHAnsi" w:eastAsia="Arial" w:hAnsiTheme="minorHAnsi" w:cs="Arial"/>
          <w:szCs w:val="22"/>
        </w:rPr>
        <w:t xml:space="preserve"> &amp; </w:t>
      </w:r>
      <w:proofErr w:type="spellStart"/>
      <w:r w:rsidRPr="00224862">
        <w:rPr>
          <w:rFonts w:asciiTheme="minorHAnsi" w:eastAsia="Arial" w:hAnsiTheme="minorHAnsi" w:cs="Arial"/>
          <w:szCs w:val="22"/>
        </w:rPr>
        <w:t>Windmeijer</w:t>
      </w:r>
      <w:proofErr w:type="spellEnd"/>
      <w:r w:rsidRPr="00224862">
        <w:rPr>
          <w:rFonts w:asciiTheme="minorHAnsi" w:eastAsia="Arial" w:hAnsiTheme="minorHAnsi" w:cs="Arial"/>
          <w:szCs w:val="22"/>
        </w:rPr>
        <w:t>, 2004)</w:t>
      </w:r>
      <w:r w:rsidR="00A51274">
        <w:rPr>
          <w:rFonts w:asciiTheme="minorHAnsi" w:eastAsia="Arial" w:hAnsiTheme="minorHAnsi" w:cs="Arial"/>
          <w:szCs w:val="22"/>
        </w:rPr>
        <w:t>.</w:t>
      </w:r>
    </w:p>
    <w:p w:rsidR="00B50875" w:rsidRDefault="00B50875">
      <w:pPr>
        <w:spacing w:after="0" w:line="240" w:lineRule="auto"/>
      </w:pPr>
    </w:p>
    <w:p w:rsidR="00B50875" w:rsidRDefault="00B50875">
      <w:pPr>
        <w:spacing w:after="0" w:line="240" w:lineRule="auto"/>
      </w:pPr>
    </w:p>
    <w:p w:rsidR="00B50875" w:rsidRDefault="00B50875">
      <w:pPr>
        <w:spacing w:after="0" w:line="240" w:lineRule="auto"/>
      </w:pPr>
    </w:p>
    <w:p w:rsidR="00B50875" w:rsidRDefault="00820CF4">
      <w:pPr>
        <w:spacing w:after="0" w:line="240" w:lineRule="auto"/>
      </w:pPr>
      <w:r>
        <w:rPr>
          <w:rFonts w:ascii="Verdana" w:eastAsia="Verdana" w:hAnsi="Verdana" w:cs="Verdana"/>
          <w:b/>
          <w:sz w:val="20"/>
          <w:highlight w:val="white"/>
        </w:rPr>
        <w:lastRenderedPageBreak/>
        <w:t>5. General Notes</w:t>
      </w:r>
    </w:p>
    <w:p w:rsidR="00B50875" w:rsidRDefault="00B50875">
      <w:pPr>
        <w:spacing w:after="0" w:line="240" w:lineRule="auto"/>
      </w:pPr>
    </w:p>
    <w:p w:rsidR="00B50875" w:rsidRDefault="00820CF4">
      <w:pPr>
        <w:spacing w:after="0" w:line="240" w:lineRule="auto"/>
      </w:pPr>
      <w:hyperlink r:id="rId10" w:anchor="business-taxes-statistics">
        <w:r>
          <w:rPr>
            <w:rFonts w:ascii="Verdana" w:eastAsia="Verdana" w:hAnsi="Verdana" w:cs="Verdana"/>
            <w:sz w:val="20"/>
            <w:highlight w:val="white"/>
            <w:u w:val="single"/>
          </w:rPr>
          <w:t>https://www.gov.uk/government/organisations/hm-revenue-customs/about/statistics#business-taxes-statistics</w:t>
        </w:r>
      </w:hyperlink>
      <w:hyperlink r:id="rId11" w:anchor="business-taxes-statistics"/>
    </w:p>
    <w:p w:rsidR="00B50875" w:rsidRDefault="00820CF4">
      <w:pPr>
        <w:spacing w:after="0" w:line="240" w:lineRule="auto"/>
      </w:pPr>
      <w:hyperlink r:id="rId12" w:anchor="business-taxes-statistics"/>
    </w:p>
    <w:p w:rsidR="00B50875" w:rsidRDefault="00820CF4">
      <w:pPr>
        <w:spacing w:after="0" w:line="240" w:lineRule="auto"/>
      </w:pPr>
      <w:hyperlink r:id="rId13">
        <w:r>
          <w:rPr>
            <w:rFonts w:ascii="Verdana" w:eastAsia="Verdana" w:hAnsi="Verdana" w:cs="Verdana"/>
            <w:sz w:val="20"/>
            <w:highlight w:val="white"/>
            <w:u w:val="single"/>
          </w:rPr>
          <w:t>http://www.fdf.org.uk/statsataglance.aspx</w:t>
        </w:r>
      </w:hyperlink>
      <w:hyperlink r:id="rId14"/>
    </w:p>
    <w:bookmarkStart w:id="1" w:name="h.gjdgxs" w:colFirst="0" w:colLast="0"/>
    <w:bookmarkEnd w:id="1"/>
    <w:p w:rsidR="00B50875" w:rsidRDefault="00820CF4">
      <w:pPr>
        <w:spacing w:after="0" w:line="240" w:lineRule="auto"/>
      </w:pPr>
      <w:r>
        <w:fldChar w:fldCharType="begin"/>
      </w:r>
      <w:r>
        <w:instrText xml:space="preserve"> HYPERLINK "http://www.fdf.org.uk/statsataglance.aspx" \h </w:instrText>
      </w:r>
      <w:r>
        <w:fldChar w:fldCharType="separate"/>
      </w:r>
      <w:r>
        <w:fldChar w:fldCharType="end"/>
      </w:r>
    </w:p>
    <w:p w:rsidR="00B50875" w:rsidRDefault="00820CF4">
      <w:pPr>
        <w:spacing w:after="0" w:line="240" w:lineRule="auto"/>
      </w:pPr>
      <w:hyperlink r:id="rId15"/>
    </w:p>
    <w:p w:rsidR="00B50875" w:rsidRDefault="00820CF4">
      <w:pPr>
        <w:spacing w:after="0" w:line="240" w:lineRule="auto"/>
        <w:ind w:left="720"/>
      </w:pPr>
      <w:hyperlink r:id="rId16"/>
    </w:p>
    <w:p w:rsidR="00B50875" w:rsidRDefault="00820CF4">
      <w:pPr>
        <w:spacing w:after="0" w:line="240" w:lineRule="auto"/>
        <w:ind w:left="720"/>
      </w:pPr>
      <w:hyperlink r:id="rId17"/>
    </w:p>
    <w:p w:rsidR="00B50875" w:rsidRDefault="00820CF4">
      <w:pPr>
        <w:spacing w:after="0" w:line="240" w:lineRule="auto"/>
        <w:ind w:left="720"/>
      </w:pPr>
      <w:hyperlink r:id="rId18"/>
    </w:p>
    <w:p w:rsidR="00B50875" w:rsidRDefault="00820CF4">
      <w:pPr>
        <w:spacing w:after="0" w:line="240" w:lineRule="auto"/>
      </w:pPr>
      <w:hyperlink r:id="rId19"/>
    </w:p>
    <w:sectPr w:rsidR="00B50875">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128A" w:rsidRDefault="0051128A">
      <w:pPr>
        <w:spacing w:after="0" w:line="240" w:lineRule="auto"/>
      </w:pPr>
      <w:r>
        <w:separator/>
      </w:r>
    </w:p>
  </w:endnote>
  <w:endnote w:type="continuationSeparator" w:id="0">
    <w:p w:rsidR="0051128A" w:rsidRDefault="00511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128A" w:rsidRDefault="0051128A">
      <w:pPr>
        <w:spacing w:after="0" w:line="240" w:lineRule="auto"/>
      </w:pPr>
      <w:r>
        <w:separator/>
      </w:r>
    </w:p>
  </w:footnote>
  <w:footnote w:type="continuationSeparator" w:id="0">
    <w:p w:rsidR="0051128A" w:rsidRDefault="0051128A">
      <w:pPr>
        <w:spacing w:after="0" w:line="240" w:lineRule="auto"/>
      </w:pPr>
      <w:r>
        <w:continuationSeparator/>
      </w:r>
    </w:p>
  </w:footnote>
  <w:footnote w:id="1">
    <w:p w:rsidR="0051128A" w:rsidRDefault="0051128A">
      <w:pPr>
        <w:spacing w:after="0" w:line="240" w:lineRule="auto"/>
      </w:pPr>
      <w:r>
        <w:rPr>
          <w:vertAlign w:val="superscript"/>
        </w:rPr>
        <w:footnoteRef/>
      </w:r>
      <w:r>
        <w:rPr>
          <w:sz w:val="20"/>
        </w:rPr>
        <w:t xml:space="preserve"> ONS VAT Notice: </w:t>
      </w:r>
      <w:hyperlink r:id="rId1">
        <w:r>
          <w:rPr>
            <w:i/>
            <w:color w:val="0000FF"/>
            <w:sz w:val="20"/>
            <w:u w:val="single"/>
          </w:rPr>
          <w:t>https://www.gov.uk/government/publications/vat-notice-70114-food/vat-notice-70114-food</w:t>
        </w:r>
      </w:hyperlink>
      <w:hyperlink r:id="rId2"/>
    </w:p>
  </w:footnote>
  <w:footnote w:id="2">
    <w:p w:rsidR="0051128A" w:rsidRDefault="0051128A">
      <w:pPr>
        <w:spacing w:after="0" w:line="240" w:lineRule="auto"/>
      </w:pPr>
      <w:r>
        <w:rPr>
          <w:vertAlign w:val="superscript"/>
        </w:rPr>
        <w:footnoteRef/>
      </w:r>
      <w:r>
        <w:rPr>
          <w:sz w:val="20"/>
        </w:rPr>
        <w:t xml:space="preserve"> ONS ABS 2014: </w:t>
      </w:r>
      <w:hyperlink r:id="rId3">
        <w:r>
          <w:rPr>
            <w:i/>
            <w:color w:val="0000FF"/>
            <w:sz w:val="20"/>
            <w:u w:val="single"/>
          </w:rPr>
          <w:t>http://www.ons.gov.uk/ons/rel/abs/annual-business-survey/2013-provisional-results/stb-abs-2013-provisional.html</w:t>
        </w:r>
      </w:hyperlink>
      <w:hyperlink r:id="rId4"/>
    </w:p>
    <w:p w:rsidR="0051128A" w:rsidRDefault="0051128A">
      <w:pPr>
        <w:spacing w:after="0" w:line="240" w:lineRule="auto"/>
      </w:pPr>
      <w:hyperlink r:id="rId5"/>
    </w:p>
  </w:footnote>
  <w:footnote w:id="3">
    <w:p w:rsidR="0051128A" w:rsidRDefault="0051128A">
      <w:pPr>
        <w:spacing w:after="0" w:line="240" w:lineRule="auto"/>
      </w:pPr>
      <w:r>
        <w:rPr>
          <w:vertAlign w:val="superscript"/>
        </w:rPr>
        <w:footnoteRef/>
      </w:r>
      <w:r>
        <w:rPr>
          <w:sz w:val="20"/>
        </w:rPr>
        <w:t xml:space="preserve"> HMRC Tax and NIC Receipts 2015: </w:t>
      </w:r>
      <w:hyperlink r:id="rId6">
        <w:r>
          <w:rPr>
            <w:color w:val="0000FF"/>
            <w:sz w:val="20"/>
            <w:u w:val="single"/>
          </w:rPr>
          <w:t>https://www.gov.uk/government/uploads/system/uploads/attachment_data/file/405246/20150212_Janreceiptsbulletin.pdf</w:t>
        </w:r>
      </w:hyperlink>
      <w:hyperlink r:id="rId7"/>
    </w:p>
    <w:p w:rsidR="0051128A" w:rsidRDefault="0051128A">
      <w:pPr>
        <w:spacing w:after="0" w:line="240" w:lineRule="auto"/>
      </w:pPr>
      <w:hyperlink r:id="rId8"/>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F2D2D"/>
    <w:multiLevelType w:val="multilevel"/>
    <w:tmpl w:val="838E5C3C"/>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
    <w:nsid w:val="615A105C"/>
    <w:multiLevelType w:val="multilevel"/>
    <w:tmpl w:val="B61E1CD2"/>
    <w:lvl w:ilvl="0">
      <w:start w:val="1"/>
      <w:numFmt w:val="decimal"/>
      <w:lvlText w:val="%1."/>
      <w:lvlJc w:val="left"/>
      <w:pPr>
        <w:ind w:left="360" w:firstLine="0"/>
      </w:pPr>
      <w:rPr>
        <w:b/>
        <w:u w:val="none"/>
      </w:rPr>
    </w:lvl>
    <w:lvl w:ilvl="1">
      <w:start w:val="1"/>
      <w:numFmt w:val="decimal"/>
      <w:lvlText w:val="%1.%2"/>
      <w:lvlJc w:val="left"/>
      <w:pPr>
        <w:ind w:left="360" w:firstLine="0"/>
      </w:pPr>
    </w:lvl>
    <w:lvl w:ilvl="2">
      <w:start w:val="1"/>
      <w:numFmt w:val="decimal"/>
      <w:lvlText w:val="%1.%2.%3"/>
      <w:lvlJc w:val="left"/>
      <w:pPr>
        <w:ind w:left="720" w:firstLine="0"/>
      </w:pPr>
    </w:lvl>
    <w:lvl w:ilvl="3">
      <w:start w:val="1"/>
      <w:numFmt w:val="decimal"/>
      <w:lvlText w:val="%1.%2.%3.%4"/>
      <w:lvlJc w:val="left"/>
      <w:pPr>
        <w:ind w:left="720" w:firstLine="0"/>
      </w:pPr>
    </w:lvl>
    <w:lvl w:ilvl="4">
      <w:start w:val="1"/>
      <w:numFmt w:val="decimal"/>
      <w:lvlText w:val="%1.%2.%3.%4.%5"/>
      <w:lvlJc w:val="left"/>
      <w:pPr>
        <w:ind w:left="1080" w:firstLine="0"/>
      </w:pPr>
    </w:lvl>
    <w:lvl w:ilvl="5">
      <w:start w:val="1"/>
      <w:numFmt w:val="decimal"/>
      <w:lvlText w:val="%1.%2.%3.%4.%5.%6"/>
      <w:lvlJc w:val="left"/>
      <w:pPr>
        <w:ind w:left="1080" w:firstLine="0"/>
      </w:pPr>
    </w:lvl>
    <w:lvl w:ilvl="6">
      <w:start w:val="1"/>
      <w:numFmt w:val="decimal"/>
      <w:lvlText w:val="%1.%2.%3.%4.%5.%6.%7"/>
      <w:lvlJc w:val="left"/>
      <w:pPr>
        <w:ind w:left="1440" w:firstLine="0"/>
      </w:pPr>
    </w:lvl>
    <w:lvl w:ilvl="7">
      <w:start w:val="1"/>
      <w:numFmt w:val="decimal"/>
      <w:lvlText w:val="%1.%2.%3.%4.%5.%6.%7.%8"/>
      <w:lvlJc w:val="left"/>
      <w:pPr>
        <w:ind w:left="1440" w:firstLine="0"/>
      </w:pPr>
    </w:lvl>
    <w:lvl w:ilvl="8">
      <w:start w:val="1"/>
      <w:numFmt w:val="decimal"/>
      <w:lvlText w:val="%1.%2.%3.%4.%5.%6.%7.%8.%9"/>
      <w:lvlJc w:val="left"/>
      <w:pPr>
        <w:ind w:left="144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B50875"/>
    <w:rsid w:val="001463F6"/>
    <w:rsid w:val="00224862"/>
    <w:rsid w:val="00487C63"/>
    <w:rsid w:val="004D0107"/>
    <w:rsid w:val="0051128A"/>
    <w:rsid w:val="00820CF4"/>
    <w:rsid w:val="00A51274"/>
    <w:rsid w:val="00B508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contextualSpacing/>
      <w:outlineLvl w:val="0"/>
    </w:pPr>
    <w:rPr>
      <w:b/>
      <w:sz w:val="48"/>
    </w:rPr>
  </w:style>
  <w:style w:type="paragraph" w:styleId="Heading2">
    <w:name w:val="heading 2"/>
    <w:basedOn w:val="Normal"/>
    <w:next w:val="Normal"/>
    <w:pPr>
      <w:keepNext/>
      <w:keepLines/>
      <w:spacing w:before="360" w:after="80"/>
      <w:contextualSpacing/>
      <w:outlineLvl w:val="1"/>
    </w:pPr>
    <w:rPr>
      <w:b/>
      <w:sz w:val="36"/>
    </w:rPr>
  </w:style>
  <w:style w:type="paragraph" w:styleId="Heading3">
    <w:name w:val="heading 3"/>
    <w:basedOn w:val="Normal"/>
    <w:next w:val="Normal"/>
    <w:pPr>
      <w:keepNext/>
      <w:keepLines/>
      <w:spacing w:before="280" w:after="80"/>
      <w:contextualSpacing/>
      <w:outlineLvl w:val="2"/>
    </w:pPr>
    <w:rPr>
      <w:b/>
      <w:sz w:val="28"/>
    </w:rPr>
  </w:style>
  <w:style w:type="paragraph" w:styleId="Heading4">
    <w:name w:val="heading 4"/>
    <w:basedOn w:val="Normal"/>
    <w:next w:val="Normal"/>
    <w:pPr>
      <w:keepNext/>
      <w:keepLines/>
      <w:spacing w:before="240" w:after="40"/>
      <w:contextualSpacing/>
      <w:outlineLvl w:val="3"/>
    </w:pPr>
    <w:rPr>
      <w:b/>
      <w:sz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rPr>
  </w:style>
  <w:style w:type="table" w:customStyle="1" w:styleId="4">
    <w:name w:val="4"/>
    <w:basedOn w:val="TableNormal"/>
    <w:pPr>
      <w:spacing w:after="0" w:line="240" w:lineRule="auto"/>
    </w:pPr>
    <w:rPr>
      <w:color w:val="366091"/>
    </w:rPr>
    <w:tblPr>
      <w:tblStyleRowBandSize w:val="1"/>
      <w:tblStyleColBandSize w:val="1"/>
      <w:tblInd w:w="0" w:type="dxa"/>
      <w:tblCellMar>
        <w:top w:w="0" w:type="dxa"/>
        <w:left w:w="115" w:type="dxa"/>
        <w:bottom w:w="0" w:type="dxa"/>
        <w:right w:w="115" w:type="dxa"/>
      </w:tblCellMar>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Mar>
          <w:top w:w="0" w:type="nil"/>
          <w:left w:w="115" w:type="dxa"/>
          <w:bottom w:w="0" w:type="nil"/>
          <w:right w:w="115" w:type="dxa"/>
        </w:tcMar>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tcBorders>
          <w:left w:val="nil"/>
          <w:right w:val="nil"/>
          <w:insideH w:val="nil"/>
          <w:insideV w:val="nil"/>
        </w:tcBorders>
        <w:shd w:val="clear" w:color="auto" w:fill="D3DFEE"/>
        <w:tcMar>
          <w:top w:w="0" w:type="nil"/>
          <w:left w:w="115" w:type="dxa"/>
          <w:bottom w:w="0" w:type="nil"/>
          <w:right w:w="115" w:type="dxa"/>
        </w:tcMar>
      </w:tcPr>
    </w:tblStylePr>
    <w:tblStylePr w:type="band1Horz">
      <w:pPr>
        <w:contextualSpacing/>
      </w:pPr>
      <w:tblPr/>
      <w:tcPr>
        <w:tcBorders>
          <w:left w:val="nil"/>
          <w:right w:val="nil"/>
          <w:insideH w:val="nil"/>
          <w:insideV w:val="nil"/>
        </w:tcBorders>
        <w:shd w:val="clear" w:color="auto" w:fill="D3DFEE"/>
        <w:tcMar>
          <w:top w:w="0" w:type="nil"/>
          <w:left w:w="115" w:type="dxa"/>
          <w:bottom w:w="0" w:type="nil"/>
          <w:right w:w="115" w:type="dxa"/>
        </w:tcMar>
      </w:tcPr>
    </w:tblStylePr>
  </w:style>
  <w:style w:type="table" w:customStyle="1" w:styleId="3">
    <w:name w:val="3"/>
    <w:basedOn w:val="TableNormal"/>
    <w:pPr>
      <w:spacing w:after="0" w:line="240" w:lineRule="auto"/>
    </w:pPr>
    <w:rPr>
      <w:color w:val="366091"/>
    </w:rPr>
    <w:tblPr>
      <w:tblStyleRowBandSize w:val="1"/>
      <w:tblStyleColBandSize w:val="1"/>
      <w:tblInd w:w="0" w:type="dxa"/>
      <w:tblCellMar>
        <w:top w:w="0" w:type="dxa"/>
        <w:left w:w="115" w:type="dxa"/>
        <w:bottom w:w="0" w:type="dxa"/>
        <w:right w:w="115" w:type="dxa"/>
      </w:tblCellMar>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Mar>
          <w:top w:w="0" w:type="nil"/>
          <w:left w:w="115" w:type="dxa"/>
          <w:bottom w:w="0" w:type="nil"/>
          <w:right w:w="115" w:type="dxa"/>
        </w:tcMar>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tcBorders>
          <w:left w:val="nil"/>
          <w:right w:val="nil"/>
          <w:insideH w:val="nil"/>
          <w:insideV w:val="nil"/>
        </w:tcBorders>
        <w:shd w:val="clear" w:color="auto" w:fill="D3DFEE"/>
        <w:tcMar>
          <w:top w:w="0" w:type="nil"/>
          <w:left w:w="115" w:type="dxa"/>
          <w:bottom w:w="0" w:type="nil"/>
          <w:right w:w="115" w:type="dxa"/>
        </w:tcMar>
      </w:tcPr>
    </w:tblStylePr>
    <w:tblStylePr w:type="band1Horz">
      <w:pPr>
        <w:contextualSpacing/>
      </w:pPr>
      <w:tblPr/>
      <w:tcPr>
        <w:tcBorders>
          <w:left w:val="nil"/>
          <w:right w:val="nil"/>
          <w:insideH w:val="nil"/>
          <w:insideV w:val="nil"/>
        </w:tcBorders>
        <w:shd w:val="clear" w:color="auto" w:fill="D3DFEE"/>
        <w:tcMar>
          <w:top w:w="0" w:type="nil"/>
          <w:left w:w="115" w:type="dxa"/>
          <w:bottom w:w="0" w:type="nil"/>
          <w:right w:w="115" w:type="dxa"/>
        </w:tcMar>
      </w:tcPr>
    </w:tblStylePr>
  </w:style>
  <w:style w:type="table" w:customStyle="1" w:styleId="2">
    <w:name w:val="2"/>
    <w:basedOn w:val="TableNormal"/>
    <w:pPr>
      <w:spacing w:after="0" w:line="240" w:lineRule="auto"/>
    </w:pPr>
    <w:rPr>
      <w:color w:val="366091"/>
    </w:rPr>
    <w:tblPr>
      <w:tblStyleRowBandSize w:val="1"/>
      <w:tblStyleColBandSize w:val="1"/>
      <w:tblInd w:w="0" w:type="dxa"/>
      <w:tblCellMar>
        <w:top w:w="0" w:type="dxa"/>
        <w:left w:w="115" w:type="dxa"/>
        <w:bottom w:w="0" w:type="dxa"/>
        <w:right w:w="115" w:type="dxa"/>
      </w:tblCellMar>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Mar>
          <w:top w:w="0" w:type="nil"/>
          <w:left w:w="115" w:type="dxa"/>
          <w:bottom w:w="0" w:type="nil"/>
          <w:right w:w="115" w:type="dxa"/>
        </w:tcMar>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tcBorders>
          <w:left w:val="nil"/>
          <w:right w:val="nil"/>
          <w:insideH w:val="nil"/>
          <w:insideV w:val="nil"/>
        </w:tcBorders>
        <w:shd w:val="clear" w:color="auto" w:fill="D3DFEE"/>
        <w:tcMar>
          <w:top w:w="0" w:type="nil"/>
          <w:left w:w="115" w:type="dxa"/>
          <w:bottom w:w="0" w:type="nil"/>
          <w:right w:w="115" w:type="dxa"/>
        </w:tcMar>
      </w:tcPr>
    </w:tblStylePr>
    <w:tblStylePr w:type="band1Horz">
      <w:pPr>
        <w:contextualSpacing/>
      </w:pPr>
      <w:tblPr/>
      <w:tcPr>
        <w:tcBorders>
          <w:left w:val="nil"/>
          <w:right w:val="nil"/>
          <w:insideH w:val="nil"/>
          <w:insideV w:val="nil"/>
        </w:tcBorders>
        <w:shd w:val="clear" w:color="auto" w:fill="D3DFEE"/>
        <w:tcMar>
          <w:top w:w="0" w:type="nil"/>
          <w:left w:w="115" w:type="dxa"/>
          <w:bottom w:w="0" w:type="nil"/>
          <w:right w:w="115" w:type="dxa"/>
        </w:tcMar>
      </w:tcPr>
    </w:tblStylePr>
  </w:style>
  <w:style w:type="table" w:customStyle="1" w:styleId="1">
    <w:name w:val="1"/>
    <w:basedOn w:val="TableNormal"/>
    <w:pPr>
      <w:spacing w:after="0" w:line="240" w:lineRule="auto"/>
    </w:pPr>
    <w:rPr>
      <w:color w:val="366091"/>
    </w:rPr>
    <w:tblPr>
      <w:tblStyleRowBandSize w:val="1"/>
      <w:tblStyleColBandSize w:val="1"/>
      <w:tblInd w:w="0" w:type="dxa"/>
      <w:tblCellMar>
        <w:top w:w="0" w:type="dxa"/>
        <w:left w:w="115" w:type="dxa"/>
        <w:bottom w:w="0" w:type="dxa"/>
        <w:right w:w="115" w:type="dxa"/>
      </w:tblCellMar>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Mar>
          <w:top w:w="0" w:type="nil"/>
          <w:left w:w="115" w:type="dxa"/>
          <w:bottom w:w="0" w:type="nil"/>
          <w:right w:w="115" w:type="dxa"/>
        </w:tcMar>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tcBorders>
          <w:left w:val="nil"/>
          <w:right w:val="nil"/>
          <w:insideH w:val="nil"/>
          <w:insideV w:val="nil"/>
        </w:tcBorders>
        <w:shd w:val="clear" w:color="auto" w:fill="D3DFEE"/>
        <w:tcMar>
          <w:top w:w="0" w:type="nil"/>
          <w:left w:w="115" w:type="dxa"/>
          <w:bottom w:w="0" w:type="nil"/>
          <w:right w:w="115" w:type="dxa"/>
        </w:tcMar>
      </w:tcPr>
    </w:tblStylePr>
    <w:tblStylePr w:type="band1Horz">
      <w:pPr>
        <w:contextualSpacing/>
      </w:pPr>
      <w:tblPr/>
      <w:tcPr>
        <w:tcBorders>
          <w:left w:val="nil"/>
          <w:right w:val="nil"/>
          <w:insideH w:val="nil"/>
          <w:insideV w:val="nil"/>
        </w:tcBorders>
        <w:shd w:val="clear" w:color="auto" w:fill="D3DFEE"/>
        <w:tcMar>
          <w:top w:w="0" w:type="nil"/>
          <w:left w:w="115" w:type="dxa"/>
          <w:bottom w:w="0" w:type="nil"/>
          <w:right w:w="115" w:type="dxa"/>
        </w:tcMar>
      </w:tcPr>
    </w:tblStylePr>
  </w:style>
  <w:style w:type="paragraph" w:styleId="BalloonText">
    <w:name w:val="Balloon Text"/>
    <w:basedOn w:val="Normal"/>
    <w:link w:val="BalloonTextChar"/>
    <w:uiPriority w:val="99"/>
    <w:semiHidden/>
    <w:unhideWhenUsed/>
    <w:rsid w:val="00487C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7C6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contextualSpacing/>
      <w:outlineLvl w:val="0"/>
    </w:pPr>
    <w:rPr>
      <w:b/>
      <w:sz w:val="48"/>
    </w:rPr>
  </w:style>
  <w:style w:type="paragraph" w:styleId="Heading2">
    <w:name w:val="heading 2"/>
    <w:basedOn w:val="Normal"/>
    <w:next w:val="Normal"/>
    <w:pPr>
      <w:keepNext/>
      <w:keepLines/>
      <w:spacing w:before="360" w:after="80"/>
      <w:contextualSpacing/>
      <w:outlineLvl w:val="1"/>
    </w:pPr>
    <w:rPr>
      <w:b/>
      <w:sz w:val="36"/>
    </w:rPr>
  </w:style>
  <w:style w:type="paragraph" w:styleId="Heading3">
    <w:name w:val="heading 3"/>
    <w:basedOn w:val="Normal"/>
    <w:next w:val="Normal"/>
    <w:pPr>
      <w:keepNext/>
      <w:keepLines/>
      <w:spacing w:before="280" w:after="80"/>
      <w:contextualSpacing/>
      <w:outlineLvl w:val="2"/>
    </w:pPr>
    <w:rPr>
      <w:b/>
      <w:sz w:val="28"/>
    </w:rPr>
  </w:style>
  <w:style w:type="paragraph" w:styleId="Heading4">
    <w:name w:val="heading 4"/>
    <w:basedOn w:val="Normal"/>
    <w:next w:val="Normal"/>
    <w:pPr>
      <w:keepNext/>
      <w:keepLines/>
      <w:spacing w:before="240" w:after="40"/>
      <w:contextualSpacing/>
      <w:outlineLvl w:val="3"/>
    </w:pPr>
    <w:rPr>
      <w:b/>
      <w:sz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rPr>
  </w:style>
  <w:style w:type="table" w:customStyle="1" w:styleId="4">
    <w:name w:val="4"/>
    <w:basedOn w:val="TableNormal"/>
    <w:pPr>
      <w:spacing w:after="0" w:line="240" w:lineRule="auto"/>
    </w:pPr>
    <w:rPr>
      <w:color w:val="366091"/>
    </w:rPr>
    <w:tblPr>
      <w:tblStyleRowBandSize w:val="1"/>
      <w:tblStyleColBandSize w:val="1"/>
      <w:tblInd w:w="0" w:type="dxa"/>
      <w:tblCellMar>
        <w:top w:w="0" w:type="dxa"/>
        <w:left w:w="115" w:type="dxa"/>
        <w:bottom w:w="0" w:type="dxa"/>
        <w:right w:w="115" w:type="dxa"/>
      </w:tblCellMar>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Mar>
          <w:top w:w="0" w:type="nil"/>
          <w:left w:w="115" w:type="dxa"/>
          <w:bottom w:w="0" w:type="nil"/>
          <w:right w:w="115" w:type="dxa"/>
        </w:tcMar>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tcBorders>
          <w:left w:val="nil"/>
          <w:right w:val="nil"/>
          <w:insideH w:val="nil"/>
          <w:insideV w:val="nil"/>
        </w:tcBorders>
        <w:shd w:val="clear" w:color="auto" w:fill="D3DFEE"/>
        <w:tcMar>
          <w:top w:w="0" w:type="nil"/>
          <w:left w:w="115" w:type="dxa"/>
          <w:bottom w:w="0" w:type="nil"/>
          <w:right w:w="115" w:type="dxa"/>
        </w:tcMar>
      </w:tcPr>
    </w:tblStylePr>
    <w:tblStylePr w:type="band1Horz">
      <w:pPr>
        <w:contextualSpacing/>
      </w:pPr>
      <w:tblPr/>
      <w:tcPr>
        <w:tcBorders>
          <w:left w:val="nil"/>
          <w:right w:val="nil"/>
          <w:insideH w:val="nil"/>
          <w:insideV w:val="nil"/>
        </w:tcBorders>
        <w:shd w:val="clear" w:color="auto" w:fill="D3DFEE"/>
        <w:tcMar>
          <w:top w:w="0" w:type="nil"/>
          <w:left w:w="115" w:type="dxa"/>
          <w:bottom w:w="0" w:type="nil"/>
          <w:right w:w="115" w:type="dxa"/>
        </w:tcMar>
      </w:tcPr>
    </w:tblStylePr>
  </w:style>
  <w:style w:type="table" w:customStyle="1" w:styleId="3">
    <w:name w:val="3"/>
    <w:basedOn w:val="TableNormal"/>
    <w:pPr>
      <w:spacing w:after="0" w:line="240" w:lineRule="auto"/>
    </w:pPr>
    <w:rPr>
      <w:color w:val="366091"/>
    </w:rPr>
    <w:tblPr>
      <w:tblStyleRowBandSize w:val="1"/>
      <w:tblStyleColBandSize w:val="1"/>
      <w:tblInd w:w="0" w:type="dxa"/>
      <w:tblCellMar>
        <w:top w:w="0" w:type="dxa"/>
        <w:left w:w="115" w:type="dxa"/>
        <w:bottom w:w="0" w:type="dxa"/>
        <w:right w:w="115" w:type="dxa"/>
      </w:tblCellMar>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Mar>
          <w:top w:w="0" w:type="nil"/>
          <w:left w:w="115" w:type="dxa"/>
          <w:bottom w:w="0" w:type="nil"/>
          <w:right w:w="115" w:type="dxa"/>
        </w:tcMar>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tcBorders>
          <w:left w:val="nil"/>
          <w:right w:val="nil"/>
          <w:insideH w:val="nil"/>
          <w:insideV w:val="nil"/>
        </w:tcBorders>
        <w:shd w:val="clear" w:color="auto" w:fill="D3DFEE"/>
        <w:tcMar>
          <w:top w:w="0" w:type="nil"/>
          <w:left w:w="115" w:type="dxa"/>
          <w:bottom w:w="0" w:type="nil"/>
          <w:right w:w="115" w:type="dxa"/>
        </w:tcMar>
      </w:tcPr>
    </w:tblStylePr>
    <w:tblStylePr w:type="band1Horz">
      <w:pPr>
        <w:contextualSpacing/>
      </w:pPr>
      <w:tblPr/>
      <w:tcPr>
        <w:tcBorders>
          <w:left w:val="nil"/>
          <w:right w:val="nil"/>
          <w:insideH w:val="nil"/>
          <w:insideV w:val="nil"/>
        </w:tcBorders>
        <w:shd w:val="clear" w:color="auto" w:fill="D3DFEE"/>
        <w:tcMar>
          <w:top w:w="0" w:type="nil"/>
          <w:left w:w="115" w:type="dxa"/>
          <w:bottom w:w="0" w:type="nil"/>
          <w:right w:w="115" w:type="dxa"/>
        </w:tcMar>
      </w:tcPr>
    </w:tblStylePr>
  </w:style>
  <w:style w:type="table" w:customStyle="1" w:styleId="2">
    <w:name w:val="2"/>
    <w:basedOn w:val="TableNormal"/>
    <w:pPr>
      <w:spacing w:after="0" w:line="240" w:lineRule="auto"/>
    </w:pPr>
    <w:rPr>
      <w:color w:val="366091"/>
    </w:rPr>
    <w:tblPr>
      <w:tblStyleRowBandSize w:val="1"/>
      <w:tblStyleColBandSize w:val="1"/>
      <w:tblInd w:w="0" w:type="dxa"/>
      <w:tblCellMar>
        <w:top w:w="0" w:type="dxa"/>
        <w:left w:w="115" w:type="dxa"/>
        <w:bottom w:w="0" w:type="dxa"/>
        <w:right w:w="115" w:type="dxa"/>
      </w:tblCellMar>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Mar>
          <w:top w:w="0" w:type="nil"/>
          <w:left w:w="115" w:type="dxa"/>
          <w:bottom w:w="0" w:type="nil"/>
          <w:right w:w="115" w:type="dxa"/>
        </w:tcMar>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tcBorders>
          <w:left w:val="nil"/>
          <w:right w:val="nil"/>
          <w:insideH w:val="nil"/>
          <w:insideV w:val="nil"/>
        </w:tcBorders>
        <w:shd w:val="clear" w:color="auto" w:fill="D3DFEE"/>
        <w:tcMar>
          <w:top w:w="0" w:type="nil"/>
          <w:left w:w="115" w:type="dxa"/>
          <w:bottom w:w="0" w:type="nil"/>
          <w:right w:w="115" w:type="dxa"/>
        </w:tcMar>
      </w:tcPr>
    </w:tblStylePr>
    <w:tblStylePr w:type="band1Horz">
      <w:pPr>
        <w:contextualSpacing/>
      </w:pPr>
      <w:tblPr/>
      <w:tcPr>
        <w:tcBorders>
          <w:left w:val="nil"/>
          <w:right w:val="nil"/>
          <w:insideH w:val="nil"/>
          <w:insideV w:val="nil"/>
        </w:tcBorders>
        <w:shd w:val="clear" w:color="auto" w:fill="D3DFEE"/>
        <w:tcMar>
          <w:top w:w="0" w:type="nil"/>
          <w:left w:w="115" w:type="dxa"/>
          <w:bottom w:w="0" w:type="nil"/>
          <w:right w:w="115" w:type="dxa"/>
        </w:tcMar>
      </w:tcPr>
    </w:tblStylePr>
  </w:style>
  <w:style w:type="table" w:customStyle="1" w:styleId="1">
    <w:name w:val="1"/>
    <w:basedOn w:val="TableNormal"/>
    <w:pPr>
      <w:spacing w:after="0" w:line="240" w:lineRule="auto"/>
    </w:pPr>
    <w:rPr>
      <w:color w:val="366091"/>
    </w:rPr>
    <w:tblPr>
      <w:tblStyleRowBandSize w:val="1"/>
      <w:tblStyleColBandSize w:val="1"/>
      <w:tblInd w:w="0" w:type="dxa"/>
      <w:tblCellMar>
        <w:top w:w="0" w:type="dxa"/>
        <w:left w:w="115" w:type="dxa"/>
        <w:bottom w:w="0" w:type="dxa"/>
        <w:right w:w="115" w:type="dxa"/>
      </w:tblCellMar>
    </w:tblPr>
    <w:tblStylePr w:type="firstRow">
      <w:pPr>
        <w:spacing w:before="0" w:after="0" w:line="240" w:lineRule="auto"/>
      </w:pPr>
      <w:rPr>
        <w:b/>
      </w:rPr>
      <w:tblPr/>
      <w:tcPr>
        <w:tcBorders>
          <w:top w:val="single" w:sz="8" w:space="0" w:color="4F81BD"/>
          <w:left w:val="nil"/>
          <w:bottom w:val="single" w:sz="8" w:space="0" w:color="4F81BD"/>
          <w:right w:val="nil"/>
          <w:insideH w:val="nil"/>
          <w:insideV w:val="nil"/>
        </w:tcBorders>
        <w:tcMar>
          <w:top w:w="0" w:type="nil"/>
          <w:left w:w="115" w:type="dxa"/>
          <w:bottom w:w="0" w:type="nil"/>
          <w:right w:w="115" w:type="dxa"/>
        </w:tcMar>
      </w:tcPr>
    </w:tblStylePr>
    <w:tblStylePr w:type="lastRow">
      <w:pPr>
        <w:spacing w:before="0" w:after="0" w:line="240" w:lineRule="auto"/>
      </w:pPr>
      <w:rPr>
        <w:b/>
      </w:rPr>
      <w:tblPr/>
      <w:tcPr>
        <w:tcBorders>
          <w:top w:val="single" w:sz="8" w:space="0" w:color="4F81BD"/>
          <w:left w:val="nil"/>
          <w:bottom w:val="single" w:sz="8" w:space="0" w:color="4F81BD"/>
          <w:right w:val="nil"/>
          <w:insideH w:val="nil"/>
          <w:insideV w:val="nil"/>
        </w:tcBorders>
        <w:tcMar>
          <w:top w:w="0" w:type="nil"/>
          <w:left w:w="115" w:type="dxa"/>
          <w:bottom w:w="0" w:type="nil"/>
          <w:right w:w="115" w:type="dxa"/>
        </w:tcMar>
      </w:tcPr>
    </w:tblStylePr>
    <w:tblStylePr w:type="firstCol">
      <w:pPr>
        <w:contextualSpacing/>
      </w:pPr>
      <w:rPr>
        <w:b/>
      </w:rPr>
      <w:tblPr/>
      <w:tcPr>
        <w:tcMar>
          <w:top w:w="0" w:type="nil"/>
          <w:left w:w="115" w:type="dxa"/>
          <w:bottom w:w="0" w:type="nil"/>
          <w:right w:w="115" w:type="dxa"/>
        </w:tcMar>
      </w:tcPr>
    </w:tblStylePr>
    <w:tblStylePr w:type="lastCol">
      <w:pPr>
        <w:contextualSpacing/>
      </w:pPr>
      <w:rPr>
        <w:b/>
      </w:rPr>
      <w:tblPr/>
      <w:tcPr>
        <w:tcMar>
          <w:top w:w="0" w:type="nil"/>
          <w:left w:w="115" w:type="dxa"/>
          <w:bottom w:w="0" w:type="nil"/>
          <w:right w:w="115" w:type="dxa"/>
        </w:tcMar>
      </w:tcPr>
    </w:tblStylePr>
    <w:tblStylePr w:type="band1Vert">
      <w:pPr>
        <w:contextualSpacing/>
      </w:pPr>
      <w:tblPr/>
      <w:tcPr>
        <w:tcBorders>
          <w:left w:val="nil"/>
          <w:right w:val="nil"/>
          <w:insideH w:val="nil"/>
          <w:insideV w:val="nil"/>
        </w:tcBorders>
        <w:shd w:val="clear" w:color="auto" w:fill="D3DFEE"/>
        <w:tcMar>
          <w:top w:w="0" w:type="nil"/>
          <w:left w:w="115" w:type="dxa"/>
          <w:bottom w:w="0" w:type="nil"/>
          <w:right w:w="115" w:type="dxa"/>
        </w:tcMar>
      </w:tcPr>
    </w:tblStylePr>
    <w:tblStylePr w:type="band1Horz">
      <w:pPr>
        <w:contextualSpacing/>
      </w:pPr>
      <w:tblPr/>
      <w:tcPr>
        <w:tcBorders>
          <w:left w:val="nil"/>
          <w:right w:val="nil"/>
          <w:insideH w:val="nil"/>
          <w:insideV w:val="nil"/>
        </w:tcBorders>
        <w:shd w:val="clear" w:color="auto" w:fill="D3DFEE"/>
        <w:tcMar>
          <w:top w:w="0" w:type="nil"/>
          <w:left w:w="115" w:type="dxa"/>
          <w:bottom w:w="0" w:type="nil"/>
          <w:right w:w="115" w:type="dxa"/>
        </w:tcMar>
      </w:tcPr>
    </w:tblStylePr>
  </w:style>
  <w:style w:type="paragraph" w:styleId="BalloonText">
    <w:name w:val="Balloon Text"/>
    <w:basedOn w:val="Normal"/>
    <w:link w:val="BalloonTextChar"/>
    <w:uiPriority w:val="99"/>
    <w:semiHidden/>
    <w:unhideWhenUsed/>
    <w:rsid w:val="00487C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7C6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72442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hyperlink" Target="http://www.fdf.org.uk/statsataglance.aspx" TargetMode="External"/><Relationship Id="rId18" Type="http://schemas.openxmlformats.org/officeDocument/2006/relationships/hyperlink" Target="http://www.fdf.org.uk/statsataglance.aspx"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gov.uk/government/organisations/hm-revenue-customs/about/statistics" TargetMode="External"/><Relationship Id="rId17" Type="http://schemas.openxmlformats.org/officeDocument/2006/relationships/hyperlink" Target="http://www.fdf.org.uk/statsataglance.aspx" TargetMode="External"/><Relationship Id="rId2" Type="http://schemas.openxmlformats.org/officeDocument/2006/relationships/styles" Target="styles.xml"/><Relationship Id="rId16" Type="http://schemas.openxmlformats.org/officeDocument/2006/relationships/hyperlink" Target="http://www.fdf.org.uk/statsataglance.aspx"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www.gov.uk/government/organisations/hm-revenue-customs/about/statistics" TargetMode="External"/><Relationship Id="rId5" Type="http://schemas.openxmlformats.org/officeDocument/2006/relationships/webSettings" Target="webSettings.xml"/><Relationship Id="rId15" Type="http://schemas.openxmlformats.org/officeDocument/2006/relationships/hyperlink" Target="http://www.fdf.org.uk/statsataglance.aspx" TargetMode="External"/><Relationship Id="rId10" Type="http://schemas.openxmlformats.org/officeDocument/2006/relationships/hyperlink" Target="https://www.gov.uk/government/organisations/hm-revenue-customs/about/statistics" TargetMode="External"/><Relationship Id="rId19" Type="http://schemas.openxmlformats.org/officeDocument/2006/relationships/hyperlink" Target="http://www.fdf.org.uk/statsataglance.aspx" TargetMode="External"/><Relationship Id="rId4" Type="http://schemas.openxmlformats.org/officeDocument/2006/relationships/settings" Target="settings.xml"/><Relationship Id="rId9" Type="http://schemas.openxmlformats.org/officeDocument/2006/relationships/hyperlink" Target="http://news.bbc.co.uk/panorama/hi/front_page/newsid_9176000/9176897.stm" TargetMode="External"/><Relationship Id="rId14" Type="http://schemas.openxmlformats.org/officeDocument/2006/relationships/hyperlink" Target="http://www.fdf.org.uk/statsataglance.aspx" TargetMode="External"/></Relationships>
</file>

<file path=word/_rels/footnotes.xml.rels><?xml version="1.0" encoding="UTF-8" standalone="yes"?>
<Relationships xmlns="http://schemas.openxmlformats.org/package/2006/relationships"><Relationship Id="rId8" Type="http://schemas.openxmlformats.org/officeDocument/2006/relationships/hyperlink" Target="https://www.gov.uk/government/uploads/system/uploads/attachment_data/file/405246/20150212_Janreceiptsbulletin.pdf" TargetMode="External"/><Relationship Id="rId3" Type="http://schemas.openxmlformats.org/officeDocument/2006/relationships/hyperlink" Target="http://www.ons.gov.uk/ons/rel/abs/annual-business-survey/2013-provisional-results/stb-abs-2013-provisional.html" TargetMode="External"/><Relationship Id="rId7" Type="http://schemas.openxmlformats.org/officeDocument/2006/relationships/hyperlink" Target="https://www.gov.uk/government/uploads/system/uploads/attachment_data/file/405246/20150212_Janreceiptsbulletin.pdf" TargetMode="External"/><Relationship Id="rId2" Type="http://schemas.openxmlformats.org/officeDocument/2006/relationships/hyperlink" Target="https://www.gov.uk/government/publications/vat-notice-70114-food/vat-notice-70114-food" TargetMode="External"/><Relationship Id="rId1" Type="http://schemas.openxmlformats.org/officeDocument/2006/relationships/hyperlink" Target="https://www.gov.uk/government/publications/vat-notice-70114-food/vat-notice-70114-food" TargetMode="External"/><Relationship Id="rId6" Type="http://schemas.openxmlformats.org/officeDocument/2006/relationships/hyperlink" Target="https://www.gov.uk/government/uploads/system/uploads/attachment_data/file/405246/20150212_Janreceiptsbulletin.pdf" TargetMode="External"/><Relationship Id="rId5" Type="http://schemas.openxmlformats.org/officeDocument/2006/relationships/hyperlink" Target="http://www.ons.gov.uk/ons/rel/abs/annual-business-survey/2013-provisional-results/stb-abs-2013-provisional.html" TargetMode="External"/><Relationship Id="rId4" Type="http://schemas.openxmlformats.org/officeDocument/2006/relationships/hyperlink" Target="http://www.ons.gov.uk/ons/rel/abs/annual-business-survey/2013-provisional-results/stb-abs-2013-provisional.html"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Daiwaeurope\homedrives\E-H\FARUQR\Docs\Health\Food&amp;Drink%20Companies%20by%20Tax.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pieChart>
        <c:varyColors val="1"/>
        <c:ser>
          <c:idx val="0"/>
          <c:order val="0"/>
          <c:dLbls>
            <c:dLbl>
              <c:idx val="10"/>
              <c:delete val="1"/>
            </c:dLbl>
            <c:dLbl>
              <c:idx val="11"/>
              <c:delete val="1"/>
            </c:dLbl>
            <c:dLbl>
              <c:idx val="12"/>
              <c:delete val="1"/>
            </c:dLbl>
            <c:dLbl>
              <c:idx val="13"/>
              <c:delete val="1"/>
            </c:dLbl>
            <c:dLbl>
              <c:idx val="14"/>
              <c:delete val="1"/>
            </c:dLbl>
            <c:dLbl>
              <c:idx val="15"/>
              <c:delete val="1"/>
            </c:dLbl>
            <c:dLbl>
              <c:idx val="16"/>
              <c:delete val="1"/>
            </c:dLbl>
            <c:dLbl>
              <c:idx val="17"/>
              <c:delete val="1"/>
            </c:dLbl>
            <c:dLbl>
              <c:idx val="18"/>
              <c:delete val="1"/>
            </c:dLbl>
            <c:dLbl>
              <c:idx val="19"/>
              <c:delete val="1"/>
            </c:dLbl>
            <c:dLbl>
              <c:idx val="20"/>
              <c:delete val="1"/>
            </c:dLbl>
            <c:dLbl>
              <c:idx val="21"/>
              <c:delete val="1"/>
            </c:dLbl>
            <c:dLbl>
              <c:idx val="22"/>
              <c:delete val="1"/>
            </c:dLbl>
            <c:dLbl>
              <c:idx val="23"/>
              <c:delete val="1"/>
            </c:dLbl>
            <c:dLbl>
              <c:idx val="24"/>
              <c:delete val="1"/>
            </c:dLbl>
            <c:dLbl>
              <c:idx val="25"/>
              <c:delete val="1"/>
            </c:dLbl>
            <c:dLbl>
              <c:idx val="26"/>
              <c:delete val="1"/>
            </c:dLbl>
            <c:dLbl>
              <c:idx val="27"/>
              <c:delete val="1"/>
            </c:dLbl>
            <c:dLbl>
              <c:idx val="28"/>
              <c:delete val="1"/>
            </c:dLbl>
            <c:dLbl>
              <c:idx val="29"/>
              <c:delete val="1"/>
            </c:dLbl>
            <c:dLbl>
              <c:idx val="30"/>
              <c:delete val="1"/>
            </c:dLbl>
            <c:dLbl>
              <c:idx val="31"/>
              <c:delete val="1"/>
            </c:dLbl>
            <c:dLbl>
              <c:idx val="32"/>
              <c:delete val="1"/>
            </c:dLbl>
            <c:dLbl>
              <c:idx val="33"/>
              <c:delete val="1"/>
            </c:dLbl>
            <c:showLegendKey val="0"/>
            <c:showVal val="1"/>
            <c:showCatName val="0"/>
            <c:showSerName val="0"/>
            <c:showPercent val="0"/>
            <c:showBubbleSize val="0"/>
            <c:showLeaderLines val="1"/>
          </c:dLbls>
          <c:cat>
            <c:strRef>
              <c:f>Sheet1!$B$5:$B$38</c:f>
              <c:strCache>
                <c:ptCount val="34"/>
                <c:pt idx="0">
                  <c:v>SABMILLER PLC</c:v>
                </c:pt>
                <c:pt idx="1">
                  <c:v>DIAGEO PLC</c:v>
                </c:pt>
                <c:pt idx="2">
                  <c:v>ASSOC BRIT FOODS</c:v>
                </c:pt>
                <c:pt idx="3">
                  <c:v>ROS AGRO-GDR REG</c:v>
                </c:pt>
                <c:pt idx="4">
                  <c:v>COCA-COLA HBC AG</c:v>
                </c:pt>
                <c:pt idx="5">
                  <c:v>AQUATIC FOODS GR</c:v>
                </c:pt>
                <c:pt idx="6">
                  <c:v>NEW BRITAIN PALM</c:v>
                </c:pt>
                <c:pt idx="7">
                  <c:v>TATE &amp; LYLE</c:v>
                </c:pt>
                <c:pt idx="8">
                  <c:v>BRITVIC PLC</c:v>
                </c:pt>
                <c:pt idx="9">
                  <c:v>ANGLO-EAST PLNTS</c:v>
                </c:pt>
                <c:pt idx="10">
                  <c:v>CRANSWICK PLC</c:v>
                </c:pt>
                <c:pt idx="11">
                  <c:v>STOCK SPIRITS GR</c:v>
                </c:pt>
                <c:pt idx="12">
                  <c:v>MHP SA-GDR</c:v>
                </c:pt>
                <c:pt idx="13">
                  <c:v>M P EVANS GROUP</c:v>
                </c:pt>
                <c:pt idx="14">
                  <c:v>BARR (A.G.)</c:v>
                </c:pt>
                <c:pt idx="15">
                  <c:v>HILTON FOOD GROU</c:v>
                </c:pt>
                <c:pt idx="16">
                  <c:v>NICHOLS PLC</c:v>
                </c:pt>
                <c:pt idx="17">
                  <c:v>CARR'S MILLING</c:v>
                </c:pt>
                <c:pt idx="18">
                  <c:v>DEVRO PLC</c:v>
                </c:pt>
                <c:pt idx="19">
                  <c:v>WYNNSTAY GROUP</c:v>
                </c:pt>
                <c:pt idx="20">
                  <c:v>SHEPHERD NEAME</c:v>
                </c:pt>
                <c:pt idx="21">
                  <c:v>PRODUCE INVESTME</c:v>
                </c:pt>
                <c:pt idx="22">
                  <c:v>FINSBURY FOOD GR</c:v>
                </c:pt>
                <c:pt idx="23">
                  <c:v>WALCOM GROUP-D/I</c:v>
                </c:pt>
                <c:pt idx="24">
                  <c:v>PURECIRCLE LTD</c:v>
                </c:pt>
                <c:pt idx="25">
                  <c:v>FEVERTREE DRINKS</c:v>
                </c:pt>
                <c:pt idx="26">
                  <c:v>GREENCORE GROUP</c:v>
                </c:pt>
                <c:pt idx="27">
                  <c:v>DAIRY CREST GRP</c:v>
                </c:pt>
                <c:pt idx="28">
                  <c:v>SORBIC INTERNATI</c:v>
                </c:pt>
                <c:pt idx="29">
                  <c:v>UKRPRODUCT GROUP</c:v>
                </c:pt>
                <c:pt idx="30">
                  <c:v>AVANGARDCO-GDR</c:v>
                </c:pt>
                <c:pt idx="31">
                  <c:v>NARBOROUGH PLTNS</c:v>
                </c:pt>
                <c:pt idx="32">
                  <c:v>HIDONG ESTATE</c:v>
                </c:pt>
                <c:pt idx="33">
                  <c:v>AGRITERRA LTD</c:v>
                </c:pt>
              </c:strCache>
            </c:strRef>
          </c:cat>
          <c:val>
            <c:numRef>
              <c:f>Sheet1!$C$5:$C$38</c:f>
              <c:numCache>
                <c:formatCode>#,##0</c:formatCode>
                <c:ptCount val="34"/>
                <c:pt idx="0">
                  <c:v>1360000000</c:v>
                </c:pt>
                <c:pt idx="1">
                  <c:v>379000000</c:v>
                </c:pt>
                <c:pt idx="2">
                  <c:v>246000000</c:v>
                </c:pt>
                <c:pt idx="3">
                  <c:v>123602000</c:v>
                </c:pt>
                <c:pt idx="4">
                  <c:v>69000000</c:v>
                </c:pt>
                <c:pt idx="5">
                  <c:v>39295000</c:v>
                </c:pt>
                <c:pt idx="6">
                  <c:v>23483000</c:v>
                </c:pt>
                <c:pt idx="7">
                  <c:v>22000000</c:v>
                </c:pt>
                <c:pt idx="8">
                  <c:v>20200000</c:v>
                </c:pt>
                <c:pt idx="9">
                  <c:v>19177000</c:v>
                </c:pt>
                <c:pt idx="10">
                  <c:v>12544000</c:v>
                </c:pt>
                <c:pt idx="11">
                  <c:v>9483000</c:v>
                </c:pt>
                <c:pt idx="12">
                  <c:v>8946000</c:v>
                </c:pt>
                <c:pt idx="13">
                  <c:v>8593000</c:v>
                </c:pt>
                <c:pt idx="14">
                  <c:v>7263000</c:v>
                </c:pt>
                <c:pt idx="15">
                  <c:v>6518000</c:v>
                </c:pt>
                <c:pt idx="16">
                  <c:v>3465000</c:v>
                </c:pt>
                <c:pt idx="17">
                  <c:v>3226000</c:v>
                </c:pt>
                <c:pt idx="18">
                  <c:v>2700000</c:v>
                </c:pt>
                <c:pt idx="19">
                  <c:v>2271000</c:v>
                </c:pt>
                <c:pt idx="20">
                  <c:v>2182000</c:v>
                </c:pt>
                <c:pt idx="21">
                  <c:v>1977000</c:v>
                </c:pt>
                <c:pt idx="22">
                  <c:v>1700000</c:v>
                </c:pt>
                <c:pt idx="23">
                  <c:v>1520772</c:v>
                </c:pt>
                <c:pt idx="24">
                  <c:v>1248000</c:v>
                </c:pt>
                <c:pt idx="25">
                  <c:v>949179</c:v>
                </c:pt>
                <c:pt idx="26">
                  <c:v>400000</c:v>
                </c:pt>
                <c:pt idx="27">
                  <c:v>400000</c:v>
                </c:pt>
                <c:pt idx="28">
                  <c:v>132322</c:v>
                </c:pt>
                <c:pt idx="29">
                  <c:v>128000</c:v>
                </c:pt>
                <c:pt idx="30">
                  <c:v>68000</c:v>
                </c:pt>
                <c:pt idx="31">
                  <c:v>56152</c:v>
                </c:pt>
                <c:pt idx="32">
                  <c:v>53172</c:v>
                </c:pt>
                <c:pt idx="33">
                  <c:v>13000</c:v>
                </c:pt>
              </c:numCache>
            </c:numRef>
          </c:val>
        </c:ser>
        <c:dLbls>
          <c:showLegendKey val="0"/>
          <c:showVal val="0"/>
          <c:showCatName val="0"/>
          <c:showSerName val="0"/>
          <c:showPercent val="0"/>
          <c:showBubbleSize val="0"/>
          <c:showLeaderLines val="1"/>
        </c:dLbls>
        <c:firstSliceAng val="0"/>
      </c:pieChart>
    </c:plotArea>
    <c:legend>
      <c:legendPos val="r"/>
      <c:layout/>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2AB39942</Template>
  <TotalTime>162</TotalTime>
  <Pages>6</Pages>
  <Words>1581</Words>
  <Characters>9013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Daiwa Capital Markets</Company>
  <LinksUpToDate>false</LinksUpToDate>
  <CharactersWithSpaces>10573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Faruq, Rafie</dc:creator>
  <cp:lastModifiedBy>Faruq, Rafie</cp:lastModifiedBy>
  <cp:revision>5</cp:revision>
  <dcterms:created xsi:type="dcterms:W3CDTF">2015-03-16T15:13:00Z</dcterms:created>
  <dcterms:modified xsi:type="dcterms:W3CDTF">2015-03-16T17:55:00Z</dcterms:modified>
</cp:coreProperties>
</file>