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b/>
          <w:color w:val="1F3A5F"/>
          <w:sz w:val="68"/>
        </w:rPr>
        <w:t>MediTrack</w:t>
      </w:r>
    </w:p>
    <w:p>
      <w:r>
        <w:rPr>
          <w:color w:val="1B7F8C"/>
          <w:sz w:val="26"/>
        </w:rPr>
        <w:t>Electronic Medical Record for a Multi-Speciality Hospital Group</w:t>
      </w:r>
    </w:p>
    <w:p>
      <w:pPr>
        <w:pBdr>
          <w:bottom w:val="single" w:sz="18" w:color="1B7F8C" w:space="1"/>
        </w:pBdr>
      </w:pPr>
    </w:p>
    <w:p>
      <w:r>
        <w:rPr>
          <w:b/>
          <w:color w:val="1F3A5F"/>
          <w:sz w:val="48"/>
        </w:rPr>
        <w:t>Software Requirements Specification</w:t>
      </w:r>
    </w:p>
    <w:p>
      <w:r>
        <w:rPr>
          <w:color w:val="555555"/>
          <w:sz w:val="23"/>
        </w:rPr>
        <w:t>IEEE 830-style SRS · 12 functional and 8 non-functional requirements · MoSCoW prioritised · traceability matrix</w:t>
      </w:r>
    </w:p>
    <w:p/>
    <w:tbl>
      <w:tblPr>
        <w:tblW w:type="auto" w:w="0"/>
        <w:jc w:val="center"/>
        <w:tblLayout w:type="fixed"/>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Pr>
      <w:tblGrid>
        <w:gridCol w:w="2551"/>
        <w:gridCol w:w="7087"/>
      </w:tblGrid>
      <w:tr>
        <w:tc>
          <w:tcPr>
            <w:tcW w:type="dxa" w:w="2551"/>
            <w:shd w:val="clear" w:color="auto" w:fill="E8F3F5"/>
          </w:tcPr>
          <w:p>
            <w:r/>
            <w:r>
              <w:rPr>
                <w:b/>
                <w:sz w:val="20"/>
              </w:rPr>
              <w:t>Case study</w:t>
            </w:r>
          </w:p>
        </w:tc>
        <w:tc>
          <w:tcPr>
            <w:tcW w:type="dxa" w:w="7087"/>
          </w:tcPr>
          <w:p>
            <w:r/>
            <w:r>
              <w:rPr>
                <w:b w:val="0"/>
                <w:sz w:val="20"/>
              </w:rPr>
              <w:t>Case Study no. 1 – MediTrack (Aarogya Healthcare)</w:t>
            </w:r>
          </w:p>
        </w:tc>
      </w:tr>
      <w:tr>
        <w:tc>
          <w:tcPr>
            <w:tcW w:type="dxa" w:w="2551"/>
            <w:shd w:val="clear" w:color="auto" w:fill="E8F3F5"/>
          </w:tcPr>
          <w:p>
            <w:r/>
            <w:r>
              <w:rPr>
                <w:b/>
                <w:sz w:val="20"/>
              </w:rPr>
              <w:t>Course</w:t>
            </w:r>
          </w:p>
        </w:tc>
        <w:tc>
          <w:tcPr>
            <w:tcW w:type="dxa" w:w="7087"/>
          </w:tcPr>
          <w:p>
            <w:r/>
            <w:r>
              <w:rPr>
                <w:b w:val="0"/>
                <w:sz w:val="20"/>
              </w:rPr>
              <w:t>Software Engineering &amp; Project Management – B.Tech CSE 2025-29, Semester III</w:t>
            </w:r>
          </w:p>
        </w:tc>
      </w:tr>
      <w:tr>
        <w:tc>
          <w:tcPr>
            <w:tcW w:type="dxa" w:w="2551"/>
            <w:shd w:val="clear" w:color="auto" w:fill="E8F3F5"/>
          </w:tcPr>
          <w:p>
            <w:r/>
            <w:r>
              <w:rPr>
                <w:b/>
                <w:sz w:val="20"/>
              </w:rPr>
              <w:t>Institution</w:t>
            </w:r>
          </w:p>
        </w:tc>
        <w:tc>
          <w:tcPr>
            <w:tcW w:type="dxa" w:w="7087"/>
          </w:tcPr>
          <w:p>
            <w:r/>
            <w:r>
              <w:rPr>
                <w:b w:val="0"/>
                <w:sz w:val="20"/>
              </w:rPr>
              <w:t>School of Future Tech, ITM Skills University</w:t>
            </w:r>
          </w:p>
        </w:tc>
      </w:tr>
      <w:tr>
        <w:tc>
          <w:tcPr>
            <w:tcW w:type="dxa" w:w="2551"/>
            <w:shd w:val="clear" w:color="auto" w:fill="E8F3F5"/>
          </w:tcPr>
          <w:p>
            <w:r/>
            <w:r>
              <w:rPr>
                <w:b/>
                <w:sz w:val="20"/>
              </w:rPr>
              <w:t>Team / roll numbers</w:t>
            </w:r>
          </w:p>
        </w:tc>
        <w:tc>
          <w:tcPr>
            <w:tcW w:type="dxa" w:w="7087"/>
          </w:tcPr>
          <w:p>
            <w:r/>
            <w:r>
              <w:rPr>
                <w:b w:val="0"/>
                <w:sz w:val="20"/>
              </w:rPr>
              <w:t>[ to be filled in by the team ]</w:t>
            </w:r>
          </w:p>
        </w:tc>
      </w:tr>
      <w:tr>
        <w:tc>
          <w:tcPr>
            <w:tcW w:type="dxa" w:w="2551"/>
            <w:shd w:val="clear" w:color="auto" w:fill="E8F3F5"/>
          </w:tcPr>
          <w:p>
            <w:r/>
            <w:r>
              <w:rPr>
                <w:b/>
                <w:sz w:val="20"/>
              </w:rPr>
              <w:t>Version / date</w:t>
            </w:r>
          </w:p>
        </w:tc>
        <w:tc>
          <w:tcPr>
            <w:tcW w:type="dxa" w:w="7087"/>
          </w:tcPr>
          <w:p>
            <w:r/>
            <w:r>
              <w:rPr>
                <w:b w:val="0"/>
                <w:sz w:val="20"/>
              </w:rPr>
              <w:t>1.0 – October 2026</w:t>
            </w:r>
          </w:p>
        </w:tc>
      </w:tr>
    </w:tbl>
    <w:p>
      <w:pPr>
        <w:spacing w:after="40"/>
      </w:pPr>
    </w:p>
    <w:p>
      <w:r>
        <w:br w:type="page"/>
      </w:r>
    </w:p>
    <w:p>
      <w:pPr>
        <w:pStyle w:val="Heading1"/>
      </w:pPr>
      <w:r>
        <w:t>1. Introduction</w:t>
      </w:r>
    </w:p>
    <w:p>
      <w:pPr>
        <w:pStyle w:val="Heading2"/>
      </w:pPr>
      <w:r>
        <w:t>1.1 Purpose</w:t>
      </w:r>
    </w:p>
    <w:p>
      <w:r>
        <w:rPr>
          <w:b w:val="0"/>
        </w:rPr>
        <w:t>This document specifies what MediTrack, the Electronic Medical Record (EMR) system for Aarogya Healthcare, shall do and how well it shall do it. It is written for the development team, the testers, the Chief Medical Officer (CMO), the CFO and the hospital’s clinical-safety and audit functions. Every requirement is individually numbered, measurable and traceable to at least one test case (section 6).</w:t>
      </w:r>
    </w:p>
    <w:p>
      <w:pPr>
        <w:pStyle w:val="Heading2"/>
      </w:pPr>
      <w:r>
        <w:t>1.2 Scope</w:t>
      </w:r>
    </w:p>
    <w:p>
      <w:r>
        <w:rPr>
          <w:b w:val="0"/>
        </w:rPr>
        <w:t xml:space="preserve">Aarogya Healthcare runs 6 hospitals and 21 clinics in three states. Today two hospitals use a 14-year-old FoxPro package, three use Excel registers and one has no digital record at all; a patient referred from a clinic arrives with a paper file. In 2024 the chain recorded </w:t>
      </w:r>
      <w:r>
        <w:rPr>
          <w:b/>
        </w:rPr>
        <w:t>310 prescribing incidents</w:t>
      </w:r>
      <w:r>
        <w:rPr>
          <w:b w:val="0"/>
        </w:rPr>
        <w:t xml:space="preserve"> traced to missing allergy history. MediTrack replaces these arrangements with one EMR holding registration, OPD / IPD notes, e-prescriptions, lab orders, pharmacy dispensing and discharge summaries, with strict audit trails.</w:t>
      </w:r>
    </w:p>
    <w:p>
      <w:pPr>
        <w:pStyle w:val="ListBullet"/>
        <w:spacing w:after="40"/>
      </w:pPr>
      <w:r>
        <w:rPr>
          <w:b/>
        </w:rPr>
        <w:t>In scope:</w:t>
      </w:r>
      <w:r>
        <w:rPr>
          <w:b w:val="0"/>
        </w:rPr>
        <w:t xml:space="preserve"> everything in the previous paragraph, role-based access, audit trail, migration of 2.4 million legacy patient rows (≈ 7 %, about 168,000, malformed or duplicate), training support and roll-out to all 27 sites.</w:t>
      </w:r>
    </w:p>
    <w:p>
      <w:pPr>
        <w:pStyle w:val="ListBullet"/>
        <w:spacing w:after="40"/>
      </w:pPr>
      <w:r>
        <w:rPr>
          <w:b/>
        </w:rPr>
        <w:t>Out of scope:</w:t>
      </w:r>
      <w:r>
        <w:rPr>
          <w:b w:val="0"/>
        </w:rPr>
        <w:t xml:space="preserve"> the user interface itself (already built – the back end must honour its API contract), the internal logic of the Billing module (MediTrack only publishes events to it), payroll / HR, patient portal, telemedicine.</w:t>
      </w:r>
    </w:p>
    <w:p>
      <w:pPr>
        <w:pStyle w:val="Heading2"/>
      </w:pPr>
      <w:r>
        <w:t>1.3 Definitions and abbreviations</w:t>
      </w:r>
    </w:p>
    <w:tbl>
      <w:tblPr>
        <w:tblW w:type="auto" w:w="0"/>
        <w:jc w:val="center"/>
        <w:tblLayout w:type="fixed"/>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Pr>
      <w:tblGrid>
        <w:gridCol w:w="1984"/>
        <w:gridCol w:w="7654"/>
      </w:tblGrid>
      <w:tr>
        <w:trPr>
          <w:tblHeader w:val="true"/>
        </w:trPr>
        <w:tc>
          <w:tcPr>
            <w:tcW w:type="dxa" w:w="1984"/>
            <w:shd w:val="clear" w:color="auto" w:fill="1F3A5F"/>
          </w:tcPr>
          <w:p>
            <w:r/>
            <w:r>
              <w:rPr>
                <w:b/>
                <w:color w:val="FFFFFF"/>
                <w:sz w:val="18"/>
              </w:rPr>
              <w:t>Term</w:t>
            </w:r>
          </w:p>
        </w:tc>
        <w:tc>
          <w:tcPr>
            <w:tcW w:type="dxa" w:w="7654"/>
            <w:shd w:val="clear" w:color="auto" w:fill="1F3A5F"/>
          </w:tcPr>
          <w:p>
            <w:r/>
            <w:r>
              <w:rPr>
                <w:b/>
                <w:color w:val="FFFFFF"/>
                <w:sz w:val="18"/>
              </w:rPr>
              <w:t>Meaning</w:t>
            </w:r>
          </w:p>
        </w:tc>
      </w:tr>
      <w:tr>
        <w:trPr>
          <w:cantSplit w:val="true"/>
        </w:trPr>
        <w:tc>
          <w:tcPr>
            <w:tcW w:type="dxa" w:w="1984"/>
          </w:tcPr>
          <w:p>
            <w:pPr>
              <w:spacing w:after="20"/>
            </w:pPr>
            <w:r>
              <w:rPr>
                <w:b w:val="0"/>
                <w:sz w:val="18"/>
              </w:rPr>
              <w:t>EMR / MRN</w:t>
            </w:r>
          </w:p>
        </w:tc>
        <w:tc>
          <w:tcPr>
            <w:tcW w:type="dxa" w:w="7654"/>
          </w:tcPr>
          <w:p>
            <w:pPr>
              <w:spacing w:after="20"/>
            </w:pPr>
            <w:r>
              <w:rPr>
                <w:b w:val="0"/>
                <w:sz w:val="18"/>
              </w:rPr>
              <w:t>Electronic Medical Record / Medical Record Number (unique patient identifier)</w:t>
            </w:r>
          </w:p>
        </w:tc>
      </w:tr>
      <w:tr>
        <w:trPr>
          <w:cantSplit w:val="true"/>
        </w:trPr>
        <w:tc>
          <w:tcPr>
            <w:tcW w:type="dxa" w:w="1984"/>
            <w:shd w:val="clear" w:color="auto" w:fill="F3F7F9"/>
          </w:tcPr>
          <w:p>
            <w:pPr>
              <w:spacing w:after="20"/>
            </w:pPr>
            <w:r>
              <w:rPr>
                <w:b w:val="0"/>
                <w:sz w:val="18"/>
              </w:rPr>
              <w:t>OPD / IPD</w:t>
            </w:r>
          </w:p>
        </w:tc>
        <w:tc>
          <w:tcPr>
            <w:tcW w:type="dxa" w:w="7654"/>
            <w:shd w:val="clear" w:color="auto" w:fill="F3F7F9"/>
          </w:tcPr>
          <w:p>
            <w:pPr>
              <w:spacing w:after="20"/>
            </w:pPr>
            <w:r>
              <w:rPr>
                <w:b w:val="0"/>
                <w:sz w:val="18"/>
              </w:rPr>
              <w:t>Out-patient department / In-patient department</w:t>
            </w:r>
          </w:p>
        </w:tc>
      </w:tr>
      <w:tr>
        <w:trPr>
          <w:cantSplit w:val="true"/>
        </w:trPr>
        <w:tc>
          <w:tcPr>
            <w:tcW w:type="dxa" w:w="1984"/>
          </w:tcPr>
          <w:p>
            <w:pPr>
              <w:spacing w:after="20"/>
            </w:pPr>
            <w:r>
              <w:rPr>
                <w:b w:val="0"/>
                <w:sz w:val="18"/>
              </w:rPr>
              <w:t>NKDA</w:t>
            </w:r>
          </w:p>
        </w:tc>
        <w:tc>
          <w:tcPr>
            <w:tcW w:type="dxa" w:w="7654"/>
          </w:tcPr>
          <w:p>
            <w:pPr>
              <w:spacing w:after="20"/>
            </w:pPr>
            <w:r>
              <w:rPr>
                <w:b w:val="0"/>
                <w:sz w:val="18"/>
              </w:rPr>
              <w:t>No Known Drug Allergy – a verified, recorded allergy status</w:t>
            </w:r>
          </w:p>
        </w:tc>
      </w:tr>
      <w:tr>
        <w:trPr>
          <w:cantSplit w:val="true"/>
        </w:trPr>
        <w:tc>
          <w:tcPr>
            <w:tcW w:type="dxa" w:w="1984"/>
            <w:shd w:val="clear" w:color="auto" w:fill="F3F7F9"/>
          </w:tcPr>
          <w:p>
            <w:pPr>
              <w:spacing w:after="20"/>
            </w:pPr>
            <w:r>
              <w:rPr>
                <w:b w:val="0"/>
                <w:sz w:val="18"/>
              </w:rPr>
              <w:t>RBAC</w:t>
            </w:r>
          </w:p>
        </w:tc>
        <w:tc>
          <w:tcPr>
            <w:tcW w:type="dxa" w:w="7654"/>
            <w:shd w:val="clear" w:color="auto" w:fill="F3F7F9"/>
          </w:tcPr>
          <w:p>
            <w:pPr>
              <w:spacing w:after="20"/>
            </w:pPr>
            <w:r>
              <w:rPr>
                <w:b w:val="0"/>
                <w:sz w:val="18"/>
              </w:rPr>
              <w:t>Role-based access control</w:t>
            </w:r>
          </w:p>
        </w:tc>
      </w:tr>
      <w:tr>
        <w:trPr>
          <w:cantSplit w:val="true"/>
        </w:trPr>
        <w:tc>
          <w:tcPr>
            <w:tcW w:type="dxa" w:w="1984"/>
          </w:tcPr>
          <w:p>
            <w:pPr>
              <w:spacing w:after="20"/>
            </w:pPr>
            <w:r>
              <w:rPr>
                <w:b w:val="0"/>
                <w:sz w:val="18"/>
              </w:rPr>
              <w:t>MTBF / MTTR</w:t>
            </w:r>
          </w:p>
        </w:tc>
        <w:tc>
          <w:tcPr>
            <w:tcW w:type="dxa" w:w="7654"/>
          </w:tcPr>
          <w:p>
            <w:pPr>
              <w:spacing w:after="20"/>
            </w:pPr>
            <w:r>
              <w:rPr>
                <w:b w:val="0"/>
                <w:sz w:val="18"/>
              </w:rPr>
              <w:t>Mean time between failures / mean time to repair</w:t>
            </w:r>
          </w:p>
        </w:tc>
      </w:tr>
      <w:tr>
        <w:trPr>
          <w:cantSplit w:val="true"/>
        </w:trPr>
        <w:tc>
          <w:tcPr>
            <w:tcW w:type="dxa" w:w="1984"/>
            <w:shd w:val="clear" w:color="auto" w:fill="F3F7F9"/>
          </w:tcPr>
          <w:p>
            <w:pPr>
              <w:spacing w:after="20"/>
            </w:pPr>
            <w:r>
              <w:rPr>
                <w:b w:val="0"/>
                <w:sz w:val="18"/>
              </w:rPr>
              <w:t>RPO / RTO</w:t>
            </w:r>
          </w:p>
        </w:tc>
        <w:tc>
          <w:tcPr>
            <w:tcW w:type="dxa" w:w="7654"/>
            <w:shd w:val="clear" w:color="auto" w:fill="F3F7F9"/>
          </w:tcPr>
          <w:p>
            <w:pPr>
              <w:spacing w:after="20"/>
            </w:pPr>
            <w:r>
              <w:rPr>
                <w:b w:val="0"/>
                <w:sz w:val="18"/>
              </w:rPr>
              <w:t>Recovery-point objective (data loss tolerated) / recovery-time objective</w:t>
            </w:r>
          </w:p>
        </w:tc>
      </w:tr>
      <w:tr>
        <w:trPr>
          <w:cantSplit w:val="true"/>
        </w:trPr>
        <w:tc>
          <w:tcPr>
            <w:tcW w:type="dxa" w:w="1984"/>
          </w:tcPr>
          <w:p>
            <w:pPr>
              <w:spacing w:after="20"/>
            </w:pPr>
            <w:r>
              <w:rPr>
                <w:b w:val="0"/>
                <w:sz w:val="18"/>
              </w:rPr>
              <w:t>DRE</w:t>
            </w:r>
          </w:p>
        </w:tc>
        <w:tc>
          <w:tcPr>
            <w:tcW w:type="dxa" w:w="7654"/>
          </w:tcPr>
          <w:p>
            <w:pPr>
              <w:spacing w:after="20"/>
            </w:pPr>
            <w:r>
              <w:rPr>
                <w:b w:val="0"/>
                <w:sz w:val="18"/>
              </w:rPr>
              <w:t>Defect removal efficiency = defects found before release ÷ (found before + found after)</w:t>
            </w:r>
          </w:p>
        </w:tc>
      </w:tr>
      <w:tr>
        <w:trPr>
          <w:cantSplit w:val="true"/>
        </w:trPr>
        <w:tc>
          <w:tcPr>
            <w:tcW w:type="dxa" w:w="1984"/>
            <w:shd w:val="clear" w:color="auto" w:fill="F3F7F9"/>
          </w:tcPr>
          <w:p>
            <w:pPr>
              <w:spacing w:after="20"/>
            </w:pPr>
            <w:r>
              <w:rPr>
                <w:b w:val="0"/>
                <w:sz w:val="18"/>
              </w:rPr>
              <w:t>MoSCoW</w:t>
            </w:r>
          </w:p>
        </w:tc>
        <w:tc>
          <w:tcPr>
            <w:tcW w:type="dxa" w:w="7654"/>
            <w:shd w:val="clear" w:color="auto" w:fill="F3F7F9"/>
          </w:tcPr>
          <w:p>
            <w:pPr>
              <w:spacing w:after="20"/>
            </w:pPr>
            <w:r>
              <w:rPr>
                <w:b w:val="0"/>
                <w:sz w:val="18"/>
              </w:rPr>
              <w:t>Must / Should / Could / Won’t (this release) prioritisation</w:t>
            </w:r>
          </w:p>
        </w:tc>
      </w:tr>
      <w:tr>
        <w:trPr>
          <w:cantSplit w:val="true"/>
        </w:trPr>
        <w:tc>
          <w:tcPr>
            <w:tcW w:type="dxa" w:w="1984"/>
          </w:tcPr>
          <w:p>
            <w:pPr>
              <w:spacing w:after="20"/>
            </w:pPr>
            <w:r>
              <w:rPr>
                <w:b w:val="0"/>
                <w:sz w:val="18"/>
              </w:rPr>
              <w:t>BVA</w:t>
            </w:r>
          </w:p>
        </w:tc>
        <w:tc>
          <w:tcPr>
            <w:tcW w:type="dxa" w:w="7654"/>
          </w:tcPr>
          <w:p>
            <w:pPr>
              <w:spacing w:after="20"/>
            </w:pPr>
            <w:r>
              <w:rPr>
                <w:b w:val="0"/>
                <w:sz w:val="18"/>
              </w:rPr>
              <w:t>Boundary value analysis (a black-box test design technique)</w:t>
            </w:r>
          </w:p>
        </w:tc>
      </w:tr>
    </w:tbl>
    <w:p>
      <w:pPr>
        <w:spacing w:after="40"/>
      </w:pPr>
    </w:p>
    <w:p>
      <w:pPr>
        <w:pStyle w:val="Heading2"/>
      </w:pPr>
      <w:r>
        <w:t>1.4 References</w:t>
      </w:r>
    </w:p>
    <w:p>
      <w:pPr>
        <w:pStyle w:val="ListBullet"/>
        <w:spacing w:after="40"/>
      </w:pPr>
      <w:r>
        <w:rPr>
          <w:b w:val="0"/>
        </w:rPr>
        <w:t>IEEE Std 830-1998, Recommended Practice for Software Requirements Specifications</w:t>
      </w:r>
    </w:p>
    <w:p>
      <w:pPr>
        <w:pStyle w:val="ListBullet"/>
        <w:spacing w:after="40"/>
      </w:pPr>
      <w:r>
        <w:rPr>
          <w:b w:val="0"/>
        </w:rPr>
        <w:t>Case Study no. 1 – MediTrack, Software Engineering &amp; Project Management, B.Tech CSE 2025-29</w:t>
      </w:r>
    </w:p>
    <w:p>
      <w:pPr>
        <w:pStyle w:val="ListBullet"/>
        <w:spacing w:after="40"/>
      </w:pPr>
      <w:r>
        <w:rPr>
          <w:b w:val="0"/>
        </w:rPr>
        <w:t>B. W. Boehm, Software Engineering Economics (COCOMO) – see the Estimation Report</w:t>
      </w:r>
    </w:p>
    <w:p>
      <w:pPr>
        <w:pStyle w:val="ListBullet"/>
        <w:spacing w:after="40"/>
      </w:pPr>
      <w:r>
        <w:rPr>
          <w:b w:val="0"/>
        </w:rPr>
        <w:t>UML 2.5 – the UML Package of this submission</w:t>
      </w:r>
    </w:p>
    <w:p>
      <w:pPr>
        <w:pStyle w:val="Heading1"/>
      </w:pPr>
      <w:r>
        <w:t>2. Overall description</w:t>
      </w:r>
    </w:p>
    <w:p>
      <w:pPr>
        <w:pStyle w:val="Heading2"/>
      </w:pPr>
      <w:r>
        <w:t>2.1 Product perspective</w:t>
      </w:r>
    </w:p>
    <w:p>
      <w:r>
        <w:rPr>
          <w:b w:val="0"/>
        </w:rPr>
        <w:t xml:space="preserve">MediTrack is a new, central system that replaces six site-specific record-keeping arrangements. It sits behind the </w:t>
      </w:r>
      <w:r>
        <w:rPr>
          <w:b/>
        </w:rPr>
        <w:t>existing, already-built user interface</w:t>
      </w:r>
      <w:r>
        <w:rPr>
          <w:b w:val="0"/>
        </w:rPr>
        <w:t>, exposes a documented API to it, receives legacy data through a temporary migration zone, and publishes domain events (for example *PrescriptionIssued*) to which the separate Billing module subscribes. The prescribing module never calls Billing directly (see UML Package, Fig. UML-2 and UML-3).</w:t>
      </w:r>
    </w:p>
    <w:p>
      <w:pPr>
        <w:pStyle w:val="Heading2"/>
      </w:pPr>
      <w:r>
        <w:t>2.2 User classes</w:t>
      </w:r>
    </w:p>
    <w:tbl>
      <w:tblPr>
        <w:tblW w:type="auto" w:w="0"/>
        <w:jc w:val="center"/>
        <w:tblLayout w:type="fixed"/>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Pr>
      <w:tblGrid>
        <w:gridCol w:w="1984"/>
        <w:gridCol w:w="5102"/>
        <w:gridCol w:w="2551"/>
      </w:tblGrid>
      <w:tr>
        <w:trPr>
          <w:tblHeader w:val="true"/>
        </w:trPr>
        <w:tc>
          <w:tcPr>
            <w:tcW w:type="dxa" w:w="1984"/>
            <w:shd w:val="clear" w:color="auto" w:fill="1F3A5F"/>
          </w:tcPr>
          <w:p>
            <w:r/>
            <w:r>
              <w:rPr>
                <w:b/>
                <w:color w:val="FFFFFF"/>
                <w:sz w:val="18"/>
              </w:rPr>
              <w:t>User class</w:t>
            </w:r>
          </w:p>
        </w:tc>
        <w:tc>
          <w:tcPr>
            <w:tcW w:type="dxa" w:w="5102"/>
            <w:shd w:val="clear" w:color="auto" w:fill="1F3A5F"/>
          </w:tcPr>
          <w:p>
            <w:r/>
            <w:r>
              <w:rPr>
                <w:b/>
                <w:color w:val="FFFFFF"/>
                <w:sz w:val="18"/>
              </w:rPr>
              <w:t>Main tasks</w:t>
            </w:r>
          </w:p>
        </w:tc>
        <w:tc>
          <w:tcPr>
            <w:tcW w:type="dxa" w:w="2551"/>
            <w:shd w:val="clear" w:color="auto" w:fill="1F3A5F"/>
          </w:tcPr>
          <w:p>
            <w:r/>
            <w:r>
              <w:rPr>
                <w:b/>
                <w:color w:val="FFFFFF"/>
                <w:sz w:val="18"/>
              </w:rPr>
              <w:t>Skill / frequency</w:t>
            </w:r>
          </w:p>
        </w:tc>
      </w:tr>
      <w:tr>
        <w:trPr>
          <w:cantSplit w:val="true"/>
        </w:trPr>
        <w:tc>
          <w:tcPr>
            <w:tcW w:type="dxa" w:w="1984"/>
          </w:tcPr>
          <w:p>
            <w:pPr>
              <w:spacing w:after="20"/>
            </w:pPr>
            <w:r>
              <w:rPr>
                <w:b w:val="0"/>
                <w:sz w:val="18"/>
              </w:rPr>
              <w:t>Doctor</w:t>
            </w:r>
          </w:p>
        </w:tc>
        <w:tc>
          <w:tcPr>
            <w:tcW w:type="dxa" w:w="5102"/>
          </w:tcPr>
          <w:p>
            <w:pPr>
              <w:spacing w:after="20"/>
            </w:pPr>
            <w:r>
              <w:rPr>
                <w:b w:val="0"/>
                <w:sz w:val="18"/>
              </w:rPr>
              <w:t>Search patient, review history and allergies, write notes, prescribe, order labs, discharge</w:t>
            </w:r>
          </w:p>
        </w:tc>
        <w:tc>
          <w:tcPr>
            <w:tcW w:type="dxa" w:w="2551"/>
          </w:tcPr>
          <w:p>
            <w:pPr>
              <w:spacing w:after="20"/>
            </w:pPr>
            <w:r>
              <w:rPr>
                <w:b w:val="0"/>
                <w:sz w:val="18"/>
              </w:rPr>
              <w:t>Clinical expert; many times a day</w:t>
            </w:r>
          </w:p>
        </w:tc>
      </w:tr>
      <w:tr>
        <w:trPr>
          <w:cantSplit w:val="true"/>
        </w:trPr>
        <w:tc>
          <w:tcPr>
            <w:tcW w:type="dxa" w:w="1984"/>
            <w:shd w:val="clear" w:color="auto" w:fill="F3F7F9"/>
          </w:tcPr>
          <w:p>
            <w:pPr>
              <w:spacing w:after="20"/>
            </w:pPr>
            <w:r>
              <w:rPr>
                <w:b w:val="0"/>
                <w:sz w:val="18"/>
              </w:rPr>
              <w:t>Nurse</w:t>
            </w:r>
          </w:p>
        </w:tc>
        <w:tc>
          <w:tcPr>
            <w:tcW w:type="dxa" w:w="5102"/>
            <w:shd w:val="clear" w:color="auto" w:fill="F3F7F9"/>
          </w:tcPr>
          <w:p>
            <w:pPr>
              <w:spacing w:after="20"/>
            </w:pPr>
            <w:r>
              <w:rPr>
                <w:b w:val="0"/>
                <w:sz w:val="18"/>
              </w:rPr>
              <w:t>Record allergies and observations, view medications and results</w:t>
            </w:r>
          </w:p>
        </w:tc>
        <w:tc>
          <w:tcPr>
            <w:tcW w:type="dxa" w:w="2551"/>
            <w:shd w:val="clear" w:color="auto" w:fill="F3F7F9"/>
          </w:tcPr>
          <w:p>
            <w:pPr>
              <w:spacing w:after="20"/>
            </w:pPr>
            <w:r>
              <w:rPr>
                <w:b w:val="0"/>
                <w:sz w:val="18"/>
              </w:rPr>
              <w:t xml:space="preserve">Trained in only </w:t>
            </w:r>
            <w:r>
              <w:rPr>
                <w:b/>
                <w:sz w:val="18"/>
              </w:rPr>
              <w:t>20 minutes</w:t>
            </w:r>
            <w:r>
              <w:rPr>
                <w:b w:val="0"/>
                <w:sz w:val="18"/>
              </w:rPr>
              <w:t>; many times a day</w:t>
            </w:r>
          </w:p>
        </w:tc>
      </w:tr>
      <w:tr>
        <w:trPr>
          <w:cantSplit w:val="true"/>
        </w:trPr>
        <w:tc>
          <w:tcPr>
            <w:tcW w:type="dxa" w:w="1984"/>
          </w:tcPr>
          <w:p>
            <w:pPr>
              <w:spacing w:after="20"/>
            </w:pPr>
            <w:r>
              <w:rPr>
                <w:b w:val="0"/>
                <w:sz w:val="18"/>
              </w:rPr>
              <w:t>Pharmacist</w:t>
            </w:r>
          </w:p>
        </w:tc>
        <w:tc>
          <w:tcPr>
            <w:tcW w:type="dxa" w:w="5102"/>
          </w:tcPr>
          <w:p>
            <w:pPr>
              <w:spacing w:after="20"/>
            </w:pPr>
            <w:r>
              <w:rPr>
                <w:b w:val="0"/>
                <w:sz w:val="18"/>
              </w:rPr>
              <w:t>Verify and dispense signed prescriptions, record batch</w:t>
            </w:r>
          </w:p>
        </w:tc>
        <w:tc>
          <w:tcPr>
            <w:tcW w:type="dxa" w:w="2551"/>
          </w:tcPr>
          <w:p>
            <w:pPr>
              <w:spacing w:after="20"/>
            </w:pPr>
            <w:r>
              <w:rPr>
                <w:b w:val="0"/>
                <w:sz w:val="18"/>
              </w:rPr>
              <w:t>Moderate IT skill; continuous</w:t>
            </w:r>
          </w:p>
        </w:tc>
      </w:tr>
      <w:tr>
        <w:trPr>
          <w:cantSplit w:val="true"/>
        </w:trPr>
        <w:tc>
          <w:tcPr>
            <w:tcW w:type="dxa" w:w="1984"/>
            <w:shd w:val="clear" w:color="auto" w:fill="F3F7F9"/>
          </w:tcPr>
          <w:p>
            <w:pPr>
              <w:spacing w:after="20"/>
            </w:pPr>
            <w:r>
              <w:rPr>
                <w:b w:val="0"/>
                <w:sz w:val="18"/>
              </w:rPr>
              <w:t>Lab technician</w:t>
            </w:r>
          </w:p>
        </w:tc>
        <w:tc>
          <w:tcPr>
            <w:tcW w:type="dxa" w:w="5102"/>
            <w:shd w:val="clear" w:color="auto" w:fill="F3F7F9"/>
          </w:tcPr>
          <w:p>
            <w:pPr>
              <w:spacing w:after="20"/>
            </w:pPr>
            <w:r>
              <w:rPr>
                <w:b w:val="0"/>
                <w:sz w:val="18"/>
              </w:rPr>
              <w:t>Record lab results, flag critical values</w:t>
            </w:r>
          </w:p>
        </w:tc>
        <w:tc>
          <w:tcPr>
            <w:tcW w:type="dxa" w:w="2551"/>
            <w:shd w:val="clear" w:color="auto" w:fill="F3F7F9"/>
          </w:tcPr>
          <w:p>
            <w:pPr>
              <w:spacing w:after="20"/>
            </w:pPr>
            <w:r>
              <w:rPr>
                <w:b w:val="0"/>
                <w:sz w:val="18"/>
              </w:rPr>
              <w:t>Moderate IT skill; continuous</w:t>
            </w:r>
          </w:p>
        </w:tc>
      </w:tr>
      <w:tr>
        <w:trPr>
          <w:cantSplit w:val="true"/>
        </w:trPr>
        <w:tc>
          <w:tcPr>
            <w:tcW w:type="dxa" w:w="1984"/>
          </w:tcPr>
          <w:p>
            <w:pPr>
              <w:spacing w:after="20"/>
            </w:pPr>
            <w:r>
              <w:rPr>
                <w:b w:val="0"/>
                <w:sz w:val="18"/>
              </w:rPr>
              <w:t>Registration clerk</w:t>
            </w:r>
          </w:p>
        </w:tc>
        <w:tc>
          <w:tcPr>
            <w:tcW w:type="dxa" w:w="5102"/>
          </w:tcPr>
          <w:p>
            <w:pPr>
              <w:spacing w:after="20"/>
            </w:pPr>
            <w:r>
              <w:rPr>
                <w:b w:val="0"/>
                <w:sz w:val="18"/>
              </w:rPr>
              <w:t>Register and search patients, resolve duplicates</w:t>
            </w:r>
          </w:p>
        </w:tc>
        <w:tc>
          <w:tcPr>
            <w:tcW w:type="dxa" w:w="2551"/>
          </w:tcPr>
          <w:p>
            <w:pPr>
              <w:spacing w:after="20"/>
            </w:pPr>
            <w:r>
              <w:rPr>
                <w:b w:val="0"/>
                <w:sz w:val="18"/>
              </w:rPr>
              <w:t>Basic IT skill; continuous</w:t>
            </w:r>
          </w:p>
        </w:tc>
      </w:tr>
      <w:tr>
        <w:trPr>
          <w:cantSplit w:val="true"/>
        </w:trPr>
        <w:tc>
          <w:tcPr>
            <w:tcW w:type="dxa" w:w="1984"/>
            <w:shd w:val="clear" w:color="auto" w:fill="F3F7F9"/>
          </w:tcPr>
          <w:p>
            <w:pPr>
              <w:spacing w:after="20"/>
            </w:pPr>
            <w:r>
              <w:rPr>
                <w:b w:val="0"/>
                <w:sz w:val="18"/>
              </w:rPr>
              <w:t>System administrator</w:t>
            </w:r>
          </w:p>
        </w:tc>
        <w:tc>
          <w:tcPr>
            <w:tcW w:type="dxa" w:w="5102"/>
            <w:shd w:val="clear" w:color="auto" w:fill="F3F7F9"/>
          </w:tcPr>
          <w:p>
            <w:pPr>
              <w:spacing w:after="20"/>
            </w:pPr>
            <w:r>
              <w:rPr>
                <w:b w:val="0"/>
                <w:sz w:val="18"/>
              </w:rPr>
              <w:t>Manage users and roles, run migration, monitor</w:t>
            </w:r>
          </w:p>
        </w:tc>
        <w:tc>
          <w:tcPr>
            <w:tcW w:type="dxa" w:w="2551"/>
            <w:shd w:val="clear" w:color="auto" w:fill="F3F7F9"/>
          </w:tcPr>
          <w:p>
            <w:pPr>
              <w:spacing w:after="20"/>
            </w:pPr>
            <w:r>
              <w:rPr>
                <w:b w:val="0"/>
                <w:sz w:val="18"/>
              </w:rPr>
              <w:t>High IT skill; daily</w:t>
            </w:r>
          </w:p>
        </w:tc>
      </w:tr>
      <w:tr>
        <w:trPr>
          <w:cantSplit w:val="true"/>
        </w:trPr>
        <w:tc>
          <w:tcPr>
            <w:tcW w:type="dxa" w:w="1984"/>
          </w:tcPr>
          <w:p>
            <w:pPr>
              <w:spacing w:after="20"/>
            </w:pPr>
            <w:r>
              <w:rPr>
                <w:b w:val="0"/>
                <w:sz w:val="18"/>
              </w:rPr>
              <w:t>Clinical auditor / CMO</w:t>
            </w:r>
          </w:p>
        </w:tc>
        <w:tc>
          <w:tcPr>
            <w:tcW w:type="dxa" w:w="5102"/>
          </w:tcPr>
          <w:p>
            <w:pPr>
              <w:spacing w:after="20"/>
            </w:pPr>
            <w:r>
              <w:rPr>
                <w:b w:val="0"/>
                <w:sz w:val="18"/>
              </w:rPr>
              <w:t>Search and export the audit trail, review break-glass use</w:t>
            </w:r>
          </w:p>
        </w:tc>
        <w:tc>
          <w:tcPr>
            <w:tcW w:type="dxa" w:w="2551"/>
          </w:tcPr>
          <w:p>
            <w:pPr>
              <w:spacing w:after="20"/>
            </w:pPr>
            <w:r>
              <w:rPr>
                <w:b w:val="0"/>
                <w:sz w:val="18"/>
              </w:rPr>
              <w:t>Occasional; needs trustworthy evidence</w:t>
            </w:r>
          </w:p>
        </w:tc>
      </w:tr>
    </w:tbl>
    <w:p>
      <w:pPr>
        <w:spacing w:after="40"/>
      </w:pPr>
    </w:p>
    <w:p>
      <w:pPr>
        <w:pStyle w:val="Heading2"/>
      </w:pPr>
      <w:r>
        <w:t>2.3 Operating environment</w:t>
      </w:r>
    </w:p>
    <w:p>
      <w:r>
        <w:rPr>
          <w:b w:val="0"/>
        </w:rPr>
        <w:t>Browsers on workstations and tablets at 27 sites (6 hospitals, 21 clinics) in three states connect over HTTPS / VPN to a primary data centre with a synchronous standby in a second state (Fig. UML-5). Pharmacy and lab terminals use barcode scanners.</w:t>
      </w:r>
    </w:p>
    <w:p>
      <w:pPr>
        <w:pStyle w:val="Heading2"/>
      </w:pPr>
      <w:r>
        <w:t>2.4 Constraints</w:t>
      </w:r>
    </w:p>
    <w:tbl>
      <w:tblPr>
        <w:tblW w:type="auto" w:w="0"/>
        <w:jc w:val="center"/>
        <w:tblLayout w:type="fixed"/>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Pr>
      <w:tblGrid>
        <w:gridCol w:w="850"/>
        <w:gridCol w:w="6520"/>
        <w:gridCol w:w="2268"/>
      </w:tblGrid>
      <w:tr>
        <w:trPr>
          <w:tblHeader w:val="true"/>
        </w:trPr>
        <w:tc>
          <w:tcPr>
            <w:tcW w:type="dxa" w:w="850"/>
            <w:shd w:val="clear" w:color="auto" w:fill="1F3A5F"/>
          </w:tcPr>
          <w:p>
            <w:r/>
            <w:r>
              <w:rPr>
                <w:b/>
                <w:color w:val="FFFFFF"/>
                <w:sz w:val="18"/>
              </w:rPr>
              <w:t>ID</w:t>
            </w:r>
          </w:p>
        </w:tc>
        <w:tc>
          <w:tcPr>
            <w:tcW w:type="dxa" w:w="6520"/>
            <w:shd w:val="clear" w:color="auto" w:fill="1F3A5F"/>
          </w:tcPr>
          <w:p>
            <w:r/>
            <w:r>
              <w:rPr>
                <w:b/>
                <w:color w:val="FFFFFF"/>
                <w:sz w:val="18"/>
              </w:rPr>
              <w:t>Constraint</w:t>
            </w:r>
          </w:p>
        </w:tc>
        <w:tc>
          <w:tcPr>
            <w:tcW w:type="dxa" w:w="2268"/>
            <w:shd w:val="clear" w:color="auto" w:fill="1F3A5F"/>
          </w:tcPr>
          <w:p>
            <w:r/>
            <w:r>
              <w:rPr>
                <w:b/>
                <w:color w:val="FFFFFF"/>
                <w:sz w:val="18"/>
              </w:rPr>
              <w:t>Source</w:t>
            </w:r>
          </w:p>
        </w:tc>
      </w:tr>
      <w:tr>
        <w:trPr>
          <w:cantSplit w:val="true"/>
        </w:trPr>
        <w:tc>
          <w:tcPr>
            <w:tcW w:type="dxa" w:w="850"/>
          </w:tcPr>
          <w:p>
            <w:pPr>
              <w:spacing w:after="20"/>
            </w:pPr>
            <w:r>
              <w:rPr>
                <w:b w:val="0"/>
                <w:sz w:val="18"/>
              </w:rPr>
              <w:t>C-1</w:t>
            </w:r>
          </w:p>
        </w:tc>
        <w:tc>
          <w:tcPr>
            <w:tcW w:type="dxa" w:w="6520"/>
          </w:tcPr>
          <w:p>
            <w:pPr>
              <w:spacing w:after="20"/>
            </w:pPr>
            <w:r>
              <w:rPr>
                <w:b w:val="0"/>
                <w:sz w:val="18"/>
              </w:rPr>
              <w:t xml:space="preserve">Total project duration shall not exceed </w:t>
            </w:r>
            <w:r>
              <w:rPr>
                <w:b/>
                <w:sz w:val="18"/>
              </w:rPr>
              <w:t>18 months</w:t>
            </w:r>
          </w:p>
        </w:tc>
        <w:tc>
          <w:tcPr>
            <w:tcW w:type="dxa" w:w="2268"/>
          </w:tcPr>
          <w:p>
            <w:pPr>
              <w:spacing w:after="20"/>
            </w:pPr>
            <w:r>
              <w:rPr>
                <w:b w:val="0"/>
                <w:sz w:val="18"/>
              </w:rPr>
              <w:t>CFO</w:t>
            </w:r>
          </w:p>
        </w:tc>
      </w:tr>
      <w:tr>
        <w:trPr>
          <w:cantSplit w:val="true"/>
        </w:trPr>
        <w:tc>
          <w:tcPr>
            <w:tcW w:type="dxa" w:w="850"/>
            <w:shd w:val="clear" w:color="auto" w:fill="F3F7F9"/>
          </w:tcPr>
          <w:p>
            <w:pPr>
              <w:spacing w:after="20"/>
            </w:pPr>
            <w:r>
              <w:rPr>
                <w:b w:val="0"/>
                <w:sz w:val="18"/>
              </w:rPr>
              <w:t>C-2</w:t>
            </w:r>
          </w:p>
        </w:tc>
        <w:tc>
          <w:tcPr>
            <w:tcW w:type="dxa" w:w="6520"/>
            <w:shd w:val="clear" w:color="auto" w:fill="F3F7F9"/>
          </w:tcPr>
          <w:p>
            <w:pPr>
              <w:spacing w:after="20"/>
            </w:pPr>
            <w:r>
              <w:rPr>
                <w:b w:val="0"/>
                <w:sz w:val="18"/>
              </w:rPr>
              <w:t xml:space="preserve">The system shall </w:t>
            </w:r>
            <w:r>
              <w:rPr>
                <w:b/>
                <w:sz w:val="18"/>
              </w:rPr>
              <w:t>never lose a record</w:t>
            </w:r>
            <w:r>
              <w:rPr>
                <w:b w:val="0"/>
                <w:sz w:val="18"/>
              </w:rPr>
              <w:t xml:space="preserve"> and shall never allow a silent edit</w:t>
            </w:r>
          </w:p>
        </w:tc>
        <w:tc>
          <w:tcPr>
            <w:tcW w:type="dxa" w:w="2268"/>
            <w:shd w:val="clear" w:color="auto" w:fill="F3F7F9"/>
          </w:tcPr>
          <w:p>
            <w:pPr>
              <w:spacing w:after="20"/>
            </w:pPr>
            <w:r>
              <w:rPr>
                <w:b w:val="0"/>
                <w:sz w:val="18"/>
              </w:rPr>
              <w:t>CMO; legal admissibility</w:t>
            </w:r>
          </w:p>
        </w:tc>
      </w:tr>
      <w:tr>
        <w:trPr>
          <w:cantSplit w:val="true"/>
        </w:trPr>
        <w:tc>
          <w:tcPr>
            <w:tcW w:type="dxa" w:w="850"/>
          </w:tcPr>
          <w:p>
            <w:pPr>
              <w:spacing w:after="20"/>
            </w:pPr>
            <w:r>
              <w:rPr>
                <w:b w:val="0"/>
                <w:sz w:val="18"/>
              </w:rPr>
              <w:t>C-3</w:t>
            </w:r>
          </w:p>
        </w:tc>
        <w:tc>
          <w:tcPr>
            <w:tcW w:type="dxa" w:w="6520"/>
          </w:tcPr>
          <w:p>
            <w:pPr>
              <w:spacing w:after="20"/>
            </w:pPr>
            <w:r>
              <w:rPr>
                <w:b w:val="0"/>
                <w:sz w:val="18"/>
              </w:rPr>
              <w:t xml:space="preserve">A nurse must be able to use the system after </w:t>
            </w:r>
            <w:r>
              <w:rPr>
                <w:b/>
                <w:sz w:val="18"/>
              </w:rPr>
              <w:t>20 minutes</w:t>
            </w:r>
            <w:r>
              <w:rPr>
                <w:b w:val="0"/>
                <w:sz w:val="18"/>
              </w:rPr>
              <w:t xml:space="preserve"> of training</w:t>
            </w:r>
          </w:p>
        </w:tc>
        <w:tc>
          <w:tcPr>
            <w:tcW w:type="dxa" w:w="2268"/>
          </w:tcPr>
          <w:p>
            <w:pPr>
              <w:spacing w:after="20"/>
            </w:pPr>
            <w:r>
              <w:rPr>
                <w:b w:val="0"/>
                <w:sz w:val="18"/>
              </w:rPr>
              <w:t>CMO</w:t>
            </w:r>
          </w:p>
        </w:tc>
      </w:tr>
      <w:tr>
        <w:trPr>
          <w:cantSplit w:val="true"/>
        </w:trPr>
        <w:tc>
          <w:tcPr>
            <w:tcW w:type="dxa" w:w="850"/>
            <w:shd w:val="clear" w:color="auto" w:fill="F3F7F9"/>
          </w:tcPr>
          <w:p>
            <w:pPr>
              <w:spacing w:after="20"/>
            </w:pPr>
            <w:r>
              <w:rPr>
                <w:b w:val="0"/>
                <w:sz w:val="18"/>
              </w:rPr>
              <w:t>C-4</w:t>
            </w:r>
          </w:p>
        </w:tc>
        <w:tc>
          <w:tcPr>
            <w:tcW w:type="dxa" w:w="6520"/>
            <w:shd w:val="clear" w:color="auto" w:fill="F3F7F9"/>
          </w:tcPr>
          <w:p>
            <w:pPr>
              <w:spacing w:after="20"/>
            </w:pPr>
            <w:r>
              <w:rPr>
                <w:b w:val="0"/>
                <w:sz w:val="18"/>
              </w:rPr>
              <w:t xml:space="preserve">Estimated size is </w:t>
            </w:r>
            <w:r>
              <w:rPr>
                <w:b/>
                <w:sz w:val="18"/>
              </w:rPr>
              <w:t>46 KLOC</w:t>
            </w:r>
            <w:r>
              <w:rPr>
                <w:b w:val="0"/>
                <w:sz w:val="18"/>
              </w:rPr>
              <w:t>; team is medium-experienced</w:t>
            </w:r>
          </w:p>
        </w:tc>
        <w:tc>
          <w:tcPr>
            <w:tcW w:type="dxa" w:w="2268"/>
            <w:shd w:val="clear" w:color="auto" w:fill="F3F7F9"/>
          </w:tcPr>
          <w:p>
            <w:pPr>
              <w:spacing w:after="20"/>
            </w:pPr>
            <w:r>
              <w:rPr>
                <w:b w:val="0"/>
                <w:sz w:val="18"/>
              </w:rPr>
              <w:t>Project data</w:t>
            </w:r>
          </w:p>
        </w:tc>
      </w:tr>
      <w:tr>
        <w:trPr>
          <w:cantSplit w:val="true"/>
        </w:trPr>
        <w:tc>
          <w:tcPr>
            <w:tcW w:type="dxa" w:w="850"/>
          </w:tcPr>
          <w:p>
            <w:pPr>
              <w:spacing w:after="20"/>
            </w:pPr>
            <w:r>
              <w:rPr>
                <w:b w:val="0"/>
                <w:sz w:val="18"/>
              </w:rPr>
              <w:t>C-5</w:t>
            </w:r>
          </w:p>
        </w:tc>
        <w:tc>
          <w:tcPr>
            <w:tcW w:type="dxa" w:w="6520"/>
          </w:tcPr>
          <w:p>
            <w:pPr>
              <w:spacing w:after="20"/>
            </w:pPr>
            <w:r>
              <w:rPr>
                <w:b w:val="0"/>
                <w:sz w:val="18"/>
              </w:rPr>
              <w:t>The existing UI is fixed; the back end shall conform to its API contract</w:t>
            </w:r>
          </w:p>
        </w:tc>
        <w:tc>
          <w:tcPr>
            <w:tcW w:type="dxa" w:w="2268"/>
          </w:tcPr>
          <w:p>
            <w:pPr>
              <w:spacing w:after="20"/>
            </w:pPr>
            <w:r>
              <w:rPr>
                <w:b w:val="0"/>
                <w:sz w:val="18"/>
              </w:rPr>
              <w:t>Project decision</w:t>
            </w:r>
          </w:p>
        </w:tc>
      </w:tr>
      <w:tr>
        <w:trPr>
          <w:cantSplit w:val="true"/>
        </w:trPr>
        <w:tc>
          <w:tcPr>
            <w:tcW w:type="dxa" w:w="850"/>
            <w:shd w:val="clear" w:color="auto" w:fill="F3F7F9"/>
          </w:tcPr>
          <w:p>
            <w:pPr>
              <w:spacing w:after="20"/>
            </w:pPr>
            <w:r>
              <w:rPr>
                <w:b w:val="0"/>
                <w:sz w:val="18"/>
              </w:rPr>
              <w:t>C-6</w:t>
            </w:r>
          </w:p>
        </w:tc>
        <w:tc>
          <w:tcPr>
            <w:tcW w:type="dxa" w:w="6520"/>
            <w:shd w:val="clear" w:color="auto" w:fill="F3F7F9"/>
          </w:tcPr>
          <w:p>
            <w:pPr>
              <w:spacing w:after="20"/>
            </w:pPr>
            <w:r>
              <w:rPr>
                <w:b w:val="0"/>
                <w:sz w:val="18"/>
              </w:rPr>
              <w:t>Patient data shall be handled in line with applicable Indian data-protection and medical-record rules (e.g., the DPDP Act 2023) – to be confirmed with legal counsel</w:t>
            </w:r>
          </w:p>
        </w:tc>
        <w:tc>
          <w:tcPr>
            <w:tcW w:type="dxa" w:w="2268"/>
            <w:shd w:val="clear" w:color="auto" w:fill="F3F7F9"/>
          </w:tcPr>
          <w:p>
            <w:pPr>
              <w:spacing w:after="20"/>
            </w:pPr>
            <w:r>
              <w:rPr>
                <w:b w:val="0"/>
                <w:sz w:val="18"/>
              </w:rPr>
              <w:t>Regulatory</w:t>
            </w:r>
          </w:p>
        </w:tc>
      </w:tr>
    </w:tbl>
    <w:p>
      <w:pPr>
        <w:spacing w:after="40"/>
      </w:pPr>
    </w:p>
    <w:p>
      <w:pPr>
        <w:pStyle w:val="Heading2"/>
      </w:pPr>
      <w:r>
        <w:t>2.5 Assumptions and dependencies</w:t>
      </w:r>
    </w:p>
    <w:tbl>
      <w:tblPr>
        <w:tblW w:type="auto" w:w="0"/>
        <w:jc w:val="center"/>
        <w:tblLayout w:type="fixed"/>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Pr>
      <w:tblGrid>
        <w:gridCol w:w="850"/>
        <w:gridCol w:w="4535"/>
        <w:gridCol w:w="4252"/>
      </w:tblGrid>
      <w:tr>
        <w:trPr>
          <w:tblHeader w:val="true"/>
        </w:trPr>
        <w:tc>
          <w:tcPr>
            <w:tcW w:type="dxa" w:w="850"/>
            <w:shd w:val="clear" w:color="auto" w:fill="1F3A5F"/>
          </w:tcPr>
          <w:p>
            <w:r/>
            <w:r>
              <w:rPr>
                <w:b/>
                <w:color w:val="FFFFFF"/>
                <w:sz w:val="18"/>
              </w:rPr>
              <w:t>ID</w:t>
            </w:r>
          </w:p>
        </w:tc>
        <w:tc>
          <w:tcPr>
            <w:tcW w:type="dxa" w:w="4535"/>
            <w:shd w:val="clear" w:color="auto" w:fill="1F3A5F"/>
          </w:tcPr>
          <w:p>
            <w:r/>
            <w:r>
              <w:rPr>
                <w:b/>
                <w:color w:val="FFFFFF"/>
                <w:sz w:val="18"/>
              </w:rPr>
              <w:t>Assumption / dependency</w:t>
            </w:r>
          </w:p>
        </w:tc>
        <w:tc>
          <w:tcPr>
            <w:tcW w:type="dxa" w:w="4252"/>
            <w:shd w:val="clear" w:color="auto" w:fill="1F3A5F"/>
          </w:tcPr>
          <w:p>
            <w:r/>
            <w:r>
              <w:rPr>
                <w:b/>
                <w:color w:val="FFFFFF"/>
                <w:sz w:val="18"/>
              </w:rPr>
              <w:t>How it is checked</w:t>
            </w:r>
          </w:p>
        </w:tc>
      </w:tr>
      <w:tr>
        <w:trPr>
          <w:cantSplit w:val="true"/>
        </w:trPr>
        <w:tc>
          <w:tcPr>
            <w:tcW w:type="dxa" w:w="850"/>
          </w:tcPr>
          <w:p>
            <w:pPr>
              <w:spacing w:after="20"/>
            </w:pPr>
            <w:r>
              <w:rPr>
                <w:b w:val="0"/>
                <w:sz w:val="18"/>
              </w:rPr>
              <w:t>A-1</w:t>
            </w:r>
          </w:p>
        </w:tc>
        <w:tc>
          <w:tcPr>
            <w:tcW w:type="dxa" w:w="4535"/>
          </w:tcPr>
          <w:p>
            <w:pPr>
              <w:spacing w:after="20"/>
            </w:pPr>
            <w:r>
              <w:rPr>
                <w:b w:val="0"/>
                <w:sz w:val="18"/>
              </w:rPr>
              <w:t>About 500 concurrent users across all sites at peak (not given in the brief)</w:t>
            </w:r>
          </w:p>
        </w:tc>
        <w:tc>
          <w:tcPr>
            <w:tcW w:type="dxa" w:w="4252"/>
          </w:tcPr>
          <w:p>
            <w:pPr>
              <w:spacing w:after="20"/>
            </w:pPr>
            <w:r>
              <w:rPr>
                <w:b w:val="0"/>
                <w:sz w:val="18"/>
              </w:rPr>
              <w:t>Validate with hospital operations in activity B; re-run load test (TC-043) if it changes</w:t>
            </w:r>
          </w:p>
        </w:tc>
      </w:tr>
      <w:tr>
        <w:trPr>
          <w:cantSplit w:val="true"/>
        </w:trPr>
        <w:tc>
          <w:tcPr>
            <w:tcW w:type="dxa" w:w="850"/>
            <w:shd w:val="clear" w:color="auto" w:fill="F3F7F9"/>
          </w:tcPr>
          <w:p>
            <w:pPr>
              <w:spacing w:after="20"/>
            </w:pPr>
            <w:r>
              <w:rPr>
                <w:b w:val="0"/>
                <w:sz w:val="18"/>
              </w:rPr>
              <w:t>A-2</w:t>
            </w:r>
          </w:p>
        </w:tc>
        <w:tc>
          <w:tcPr>
            <w:tcW w:type="dxa" w:w="4535"/>
            <w:shd w:val="clear" w:color="auto" w:fill="F3F7F9"/>
          </w:tcPr>
          <w:p>
            <w:pPr>
              <w:spacing w:after="20"/>
            </w:pPr>
            <w:r>
              <w:rPr>
                <w:b w:val="0"/>
                <w:sz w:val="18"/>
              </w:rPr>
              <w:t>Formulary limits and interaction content are supplied by the hospital Pharmacy &amp; Therapeutics committee or a licensed knowledge base</w:t>
            </w:r>
          </w:p>
        </w:tc>
        <w:tc>
          <w:tcPr>
            <w:tcW w:type="dxa" w:w="4252"/>
            <w:shd w:val="clear" w:color="auto" w:fill="F3F7F9"/>
          </w:tcPr>
          <w:p>
            <w:pPr>
              <w:spacing w:after="20"/>
            </w:pPr>
            <w:r>
              <w:rPr>
                <w:b w:val="0"/>
                <w:sz w:val="18"/>
              </w:rPr>
              <w:t>Sign-off at SRS baseline</w:t>
            </w:r>
          </w:p>
        </w:tc>
      </w:tr>
      <w:tr>
        <w:trPr>
          <w:cantSplit w:val="true"/>
        </w:trPr>
        <w:tc>
          <w:tcPr>
            <w:tcW w:type="dxa" w:w="850"/>
          </w:tcPr>
          <w:p>
            <w:pPr>
              <w:spacing w:after="20"/>
            </w:pPr>
            <w:r>
              <w:rPr>
                <w:b w:val="0"/>
                <w:sz w:val="18"/>
              </w:rPr>
              <w:t>A-3</w:t>
            </w:r>
          </w:p>
        </w:tc>
        <w:tc>
          <w:tcPr>
            <w:tcW w:type="dxa" w:w="4535"/>
          </w:tcPr>
          <w:p>
            <w:pPr>
              <w:spacing w:after="20"/>
            </w:pPr>
            <w:r>
              <w:rPr>
                <w:b w:val="0"/>
                <w:sz w:val="18"/>
              </w:rPr>
              <w:t>Each clinic has broadband plus a backup link</w:t>
            </w:r>
          </w:p>
        </w:tc>
        <w:tc>
          <w:tcPr>
            <w:tcW w:type="dxa" w:w="4252"/>
          </w:tcPr>
          <w:p>
            <w:pPr>
              <w:spacing w:after="20"/>
            </w:pPr>
            <w:r>
              <w:rPr>
                <w:b w:val="0"/>
                <w:sz w:val="18"/>
              </w:rPr>
              <w:t>Site survey in activity E</w:t>
            </w:r>
          </w:p>
        </w:tc>
      </w:tr>
      <w:tr>
        <w:trPr>
          <w:cantSplit w:val="true"/>
        </w:trPr>
        <w:tc>
          <w:tcPr>
            <w:tcW w:type="dxa" w:w="850"/>
            <w:shd w:val="clear" w:color="auto" w:fill="F3F7F9"/>
          </w:tcPr>
          <w:p>
            <w:pPr>
              <w:spacing w:after="20"/>
            </w:pPr>
            <w:r>
              <w:rPr>
                <w:b w:val="0"/>
                <w:sz w:val="18"/>
              </w:rPr>
              <w:t>A-4</w:t>
            </w:r>
          </w:p>
        </w:tc>
        <w:tc>
          <w:tcPr>
            <w:tcW w:type="dxa" w:w="4535"/>
            <w:shd w:val="clear" w:color="auto" w:fill="F3F7F9"/>
          </w:tcPr>
          <w:p>
            <w:pPr>
              <w:spacing w:after="20"/>
            </w:pPr>
            <w:r>
              <w:rPr>
                <w:b w:val="0"/>
                <w:sz w:val="18"/>
              </w:rPr>
              <w:t>Legacy-system owners grant read-only extract access</w:t>
            </w:r>
          </w:p>
        </w:tc>
        <w:tc>
          <w:tcPr>
            <w:tcW w:type="dxa" w:w="4252"/>
            <w:shd w:val="clear" w:color="auto" w:fill="F3F7F9"/>
          </w:tcPr>
          <w:p>
            <w:pPr>
              <w:spacing w:after="20"/>
            </w:pPr>
            <w:r>
              <w:rPr>
                <w:b w:val="0"/>
                <w:sz w:val="18"/>
              </w:rPr>
              <w:t>Confirmed in activity A</w:t>
            </w:r>
          </w:p>
        </w:tc>
      </w:tr>
      <w:tr>
        <w:trPr>
          <w:cantSplit w:val="true"/>
        </w:trPr>
        <w:tc>
          <w:tcPr>
            <w:tcW w:type="dxa" w:w="850"/>
          </w:tcPr>
          <w:p>
            <w:pPr>
              <w:spacing w:after="20"/>
            </w:pPr>
            <w:r>
              <w:rPr>
                <w:b w:val="0"/>
                <w:sz w:val="18"/>
              </w:rPr>
              <w:t>A-5</w:t>
            </w:r>
          </w:p>
        </w:tc>
        <w:tc>
          <w:tcPr>
            <w:tcW w:type="dxa" w:w="4535"/>
          </w:tcPr>
          <w:p>
            <w:pPr>
              <w:spacing w:after="20"/>
            </w:pPr>
            <w:r>
              <w:rPr>
                <w:b w:val="0"/>
                <w:sz w:val="18"/>
              </w:rPr>
              <w:t>A Clinical Safety Officer is appointed to own the safety gate</w:t>
            </w:r>
          </w:p>
        </w:tc>
        <w:tc>
          <w:tcPr>
            <w:tcW w:type="dxa" w:w="4252"/>
          </w:tcPr>
          <w:p>
            <w:pPr>
              <w:spacing w:after="20"/>
            </w:pPr>
            <w:r>
              <w:rPr>
                <w:b w:val="0"/>
                <w:sz w:val="18"/>
              </w:rPr>
              <w:t>Project charter</w:t>
            </w:r>
          </w:p>
        </w:tc>
      </w:tr>
      <w:tr>
        <w:trPr>
          <w:cantSplit w:val="true"/>
        </w:trPr>
        <w:tc>
          <w:tcPr>
            <w:tcW w:type="dxa" w:w="850"/>
            <w:shd w:val="clear" w:color="auto" w:fill="F3F7F9"/>
          </w:tcPr>
          <w:p>
            <w:pPr>
              <w:spacing w:after="20"/>
            </w:pPr>
            <w:r>
              <w:rPr>
                <w:b w:val="0"/>
                <w:sz w:val="18"/>
              </w:rPr>
              <w:t>A-6</w:t>
            </w:r>
          </w:p>
        </w:tc>
        <w:tc>
          <w:tcPr>
            <w:tcW w:type="dxa" w:w="4535"/>
            <w:shd w:val="clear" w:color="auto" w:fill="F3F7F9"/>
          </w:tcPr>
          <w:p>
            <w:pPr>
              <w:spacing w:after="20"/>
            </w:pPr>
            <w:r>
              <w:rPr>
                <w:b w:val="0"/>
                <w:sz w:val="18"/>
              </w:rPr>
              <w:t>The existing UI and its screen list are available to the team</w:t>
            </w:r>
          </w:p>
        </w:tc>
        <w:tc>
          <w:tcPr>
            <w:tcW w:type="dxa" w:w="4252"/>
            <w:shd w:val="clear" w:color="auto" w:fill="F3F7F9"/>
          </w:tcPr>
          <w:p>
            <w:pPr>
              <w:spacing w:after="20"/>
            </w:pPr>
            <w:r>
              <w:rPr>
                <w:b w:val="0"/>
                <w:sz w:val="18"/>
              </w:rPr>
              <w:t>Confirmed in activity C</w:t>
            </w:r>
          </w:p>
        </w:tc>
      </w:tr>
    </w:tbl>
    <w:p>
      <w:pPr>
        <w:spacing w:after="40"/>
      </w:pPr>
    </w:p>
    <w:p>
      <w:pPr>
        <w:pStyle w:val="Heading1"/>
      </w:pPr>
      <w:r>
        <w:t>3. Requirements elicitation – observation and document analysis</w:t>
      </w:r>
    </w:p>
    <w:p>
      <w:r>
        <w:rPr>
          <w:b w:val="0"/>
        </w:rPr>
        <w:t xml:space="preserve">Requirements were elicited by two techniques that suit a safety-critical clinical domain: </w:t>
      </w:r>
      <w:r>
        <w:rPr>
          <w:b/>
        </w:rPr>
        <w:t>observation</w:t>
      </w:r>
      <w:r>
        <w:rPr>
          <w:b w:val="0"/>
        </w:rPr>
        <w:t xml:space="preserve"> (watching real work, which exposes habits users forget to mention) and </w:t>
      </w:r>
      <w:r>
        <w:rPr>
          <w:b/>
        </w:rPr>
        <w:t>document analysis</w:t>
      </w:r>
      <w:r>
        <w:rPr>
          <w:b w:val="0"/>
        </w:rPr>
        <w:t xml:space="preserve"> (reading what already exists, which gives hard facts such as defect counts and data formats). The table lists what is examined, what the case brief already tells us, and the requirements that result. Details marked ‘confirm’ are to be verified in sessions with the named stakeholders.</w:t>
      </w:r>
    </w:p>
    <w:tbl>
      <w:tblPr>
        <w:tblW w:type="auto" w:w="0"/>
        <w:jc w:val="center"/>
        <w:tblLayout w:type="fixed"/>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Pr>
      <w:tblGrid>
        <w:gridCol w:w="1474"/>
        <w:gridCol w:w="2608"/>
        <w:gridCol w:w="3742"/>
        <w:gridCol w:w="1814"/>
      </w:tblGrid>
      <w:tr>
        <w:trPr>
          <w:tblHeader w:val="true"/>
        </w:trPr>
        <w:tc>
          <w:tcPr>
            <w:tcW w:type="dxa" w:w="1474"/>
            <w:shd w:val="clear" w:color="auto" w:fill="1F3A5F"/>
          </w:tcPr>
          <w:p>
            <w:r/>
            <w:r>
              <w:rPr>
                <w:b/>
                <w:color w:val="FFFFFF"/>
                <w:sz w:val="17"/>
              </w:rPr>
              <w:t>Technique</w:t>
            </w:r>
          </w:p>
        </w:tc>
        <w:tc>
          <w:tcPr>
            <w:tcW w:type="dxa" w:w="2608"/>
            <w:shd w:val="clear" w:color="auto" w:fill="1F3A5F"/>
          </w:tcPr>
          <w:p>
            <w:r/>
            <w:r>
              <w:rPr>
                <w:b/>
                <w:color w:val="FFFFFF"/>
                <w:sz w:val="17"/>
              </w:rPr>
              <w:t>What is observed / analysed</w:t>
            </w:r>
          </w:p>
        </w:tc>
        <w:tc>
          <w:tcPr>
            <w:tcW w:type="dxa" w:w="3742"/>
            <w:shd w:val="clear" w:color="auto" w:fill="1F3A5F"/>
          </w:tcPr>
          <w:p>
            <w:r/>
            <w:r>
              <w:rPr>
                <w:b/>
                <w:color w:val="FFFFFF"/>
                <w:sz w:val="17"/>
              </w:rPr>
              <w:t>Evidence (from the brief) and what to confirm</w:t>
            </w:r>
          </w:p>
        </w:tc>
        <w:tc>
          <w:tcPr>
            <w:tcW w:type="dxa" w:w="1814"/>
            <w:shd w:val="clear" w:color="auto" w:fill="1F3A5F"/>
          </w:tcPr>
          <w:p>
            <w:r/>
            <w:r>
              <w:rPr>
                <w:b/>
                <w:color w:val="FFFFFF"/>
                <w:sz w:val="17"/>
              </w:rPr>
              <w:t>Requirements</w:t>
            </w:r>
          </w:p>
        </w:tc>
      </w:tr>
      <w:tr>
        <w:trPr>
          <w:cantSplit w:val="true"/>
        </w:trPr>
        <w:tc>
          <w:tcPr>
            <w:tcW w:type="dxa" w:w="1474"/>
          </w:tcPr>
          <w:p>
            <w:pPr>
              <w:spacing w:after="20"/>
            </w:pPr>
            <w:r>
              <w:rPr>
                <w:b w:val="0"/>
                <w:sz w:val="17"/>
              </w:rPr>
              <w:t>Observation</w:t>
            </w:r>
          </w:p>
        </w:tc>
        <w:tc>
          <w:tcPr>
            <w:tcW w:type="dxa" w:w="2608"/>
          </w:tcPr>
          <w:p>
            <w:pPr>
              <w:spacing w:after="20"/>
            </w:pPr>
            <w:r>
              <w:rPr>
                <w:b w:val="0"/>
                <w:sz w:val="17"/>
              </w:rPr>
              <w:t>Referral of a patient from a clinic to the main hospital with a paper file</w:t>
            </w:r>
          </w:p>
        </w:tc>
        <w:tc>
          <w:tcPr>
            <w:tcW w:type="dxa" w:w="3742"/>
          </w:tcPr>
          <w:p>
            <w:pPr>
              <w:spacing w:after="20"/>
            </w:pPr>
            <w:r>
              <w:rPr>
                <w:b w:val="0"/>
                <w:sz w:val="17"/>
              </w:rPr>
              <w:t>Hospital cannot see clinic history; allergy information travels on paper. Confirm which fields clerks re-type.</w:t>
            </w:r>
          </w:p>
        </w:tc>
        <w:tc>
          <w:tcPr>
            <w:tcW w:type="dxa" w:w="1814"/>
          </w:tcPr>
          <w:p>
            <w:pPr>
              <w:spacing w:after="20"/>
            </w:pPr>
            <w:r>
              <w:rPr>
                <w:b w:val="0"/>
                <w:sz w:val="17"/>
              </w:rPr>
              <w:t>FR-02, FR-03</w:t>
            </w:r>
          </w:p>
        </w:tc>
      </w:tr>
      <w:tr>
        <w:trPr>
          <w:cantSplit w:val="true"/>
        </w:trPr>
        <w:tc>
          <w:tcPr>
            <w:tcW w:type="dxa" w:w="1474"/>
            <w:shd w:val="clear" w:color="auto" w:fill="F3F7F9"/>
          </w:tcPr>
          <w:p>
            <w:pPr>
              <w:spacing w:after="20"/>
            </w:pPr>
            <w:r>
              <w:rPr>
                <w:b w:val="0"/>
                <w:sz w:val="17"/>
              </w:rPr>
              <w:t>Observation</w:t>
            </w:r>
          </w:p>
        </w:tc>
        <w:tc>
          <w:tcPr>
            <w:tcW w:type="dxa" w:w="2608"/>
            <w:shd w:val="clear" w:color="auto" w:fill="F3F7F9"/>
          </w:tcPr>
          <w:p>
            <w:pPr>
              <w:spacing w:after="20"/>
            </w:pPr>
            <w:r>
              <w:rPr>
                <w:b w:val="0"/>
                <w:sz w:val="17"/>
              </w:rPr>
              <w:t>OPD prescribing hand-offs doctor → nurse → pharmacist</w:t>
            </w:r>
          </w:p>
        </w:tc>
        <w:tc>
          <w:tcPr>
            <w:tcW w:type="dxa" w:w="3742"/>
            <w:shd w:val="clear" w:color="auto" w:fill="F3F7F9"/>
          </w:tcPr>
          <w:p>
            <w:pPr>
              <w:spacing w:after="20"/>
            </w:pPr>
            <w:r>
              <w:rPr>
                <w:b w:val="0"/>
                <w:sz w:val="17"/>
              </w:rPr>
              <w:t>Allergy history missing at the moment of prescribing. Confirm how often the pharmacist is the last safety net.</w:t>
            </w:r>
          </w:p>
        </w:tc>
        <w:tc>
          <w:tcPr>
            <w:tcW w:type="dxa" w:w="1814"/>
            <w:shd w:val="clear" w:color="auto" w:fill="F3F7F9"/>
          </w:tcPr>
          <w:p>
            <w:pPr>
              <w:spacing w:after="20"/>
            </w:pPr>
            <w:r>
              <w:rPr>
                <w:b w:val="0"/>
                <w:sz w:val="17"/>
              </w:rPr>
              <w:t>FR-05, FR-06, FR-08</w:t>
            </w:r>
          </w:p>
        </w:tc>
      </w:tr>
      <w:tr>
        <w:trPr>
          <w:cantSplit w:val="true"/>
        </w:trPr>
        <w:tc>
          <w:tcPr>
            <w:tcW w:type="dxa" w:w="1474"/>
          </w:tcPr>
          <w:p>
            <w:pPr>
              <w:spacing w:after="20"/>
            </w:pPr>
            <w:r>
              <w:rPr>
                <w:b w:val="0"/>
                <w:sz w:val="17"/>
              </w:rPr>
              <w:t>Observation</w:t>
            </w:r>
          </w:p>
        </w:tc>
        <w:tc>
          <w:tcPr>
            <w:tcW w:type="dxa" w:w="2608"/>
          </w:tcPr>
          <w:p>
            <w:pPr>
              <w:spacing w:after="20"/>
            </w:pPr>
            <w:r>
              <w:rPr>
                <w:b w:val="0"/>
                <w:sz w:val="17"/>
              </w:rPr>
              <w:t>Nurse shift handover and IPD rounds</w:t>
            </w:r>
          </w:p>
        </w:tc>
        <w:tc>
          <w:tcPr>
            <w:tcW w:type="dxa" w:w="3742"/>
          </w:tcPr>
          <w:p>
            <w:pPr>
              <w:spacing w:after="20"/>
            </w:pPr>
            <w:r>
              <w:rPr>
                <w:b w:val="0"/>
                <w:sz w:val="17"/>
              </w:rPr>
              <w:t>Nurses get only 20 minutes of training; confirm the 5 most frequent tasks.</w:t>
            </w:r>
          </w:p>
        </w:tc>
        <w:tc>
          <w:tcPr>
            <w:tcW w:type="dxa" w:w="1814"/>
          </w:tcPr>
          <w:p>
            <w:pPr>
              <w:spacing w:after="20"/>
            </w:pPr>
            <w:r>
              <w:rPr>
                <w:b w:val="0"/>
                <w:sz w:val="17"/>
              </w:rPr>
              <w:t>FR-04, NFR-04</w:t>
            </w:r>
          </w:p>
        </w:tc>
      </w:tr>
      <w:tr>
        <w:trPr>
          <w:cantSplit w:val="true"/>
        </w:trPr>
        <w:tc>
          <w:tcPr>
            <w:tcW w:type="dxa" w:w="1474"/>
            <w:shd w:val="clear" w:color="auto" w:fill="F3F7F9"/>
          </w:tcPr>
          <w:p>
            <w:pPr>
              <w:spacing w:after="20"/>
            </w:pPr>
            <w:r>
              <w:rPr>
                <w:b w:val="0"/>
                <w:sz w:val="17"/>
              </w:rPr>
              <w:t>Observation</w:t>
            </w:r>
          </w:p>
        </w:tc>
        <w:tc>
          <w:tcPr>
            <w:tcW w:type="dxa" w:w="2608"/>
            <w:shd w:val="clear" w:color="auto" w:fill="F3F7F9"/>
          </w:tcPr>
          <w:p>
            <w:pPr>
              <w:spacing w:after="20"/>
            </w:pPr>
            <w:r>
              <w:rPr>
                <w:b w:val="0"/>
                <w:sz w:val="17"/>
              </w:rPr>
              <w:t>Lab order and result loop</w:t>
            </w:r>
          </w:p>
        </w:tc>
        <w:tc>
          <w:tcPr>
            <w:tcW w:type="dxa" w:w="3742"/>
            <w:shd w:val="clear" w:color="auto" w:fill="F3F7F9"/>
          </w:tcPr>
          <w:p>
            <w:pPr>
              <w:spacing w:after="20"/>
            </w:pPr>
            <w:r>
              <w:rPr>
                <w:b w:val="0"/>
                <w:sz w:val="17"/>
              </w:rPr>
              <w:t>Confirm how results reach the ordering doctor and where wrong-patient risk arises.</w:t>
            </w:r>
          </w:p>
        </w:tc>
        <w:tc>
          <w:tcPr>
            <w:tcW w:type="dxa" w:w="1814"/>
            <w:shd w:val="clear" w:color="auto" w:fill="F3F7F9"/>
          </w:tcPr>
          <w:p>
            <w:pPr>
              <w:spacing w:after="20"/>
            </w:pPr>
            <w:r>
              <w:rPr>
                <w:b w:val="0"/>
                <w:sz w:val="17"/>
              </w:rPr>
              <w:t>FR-07</w:t>
            </w:r>
          </w:p>
        </w:tc>
      </w:tr>
      <w:tr>
        <w:trPr>
          <w:cantSplit w:val="true"/>
        </w:trPr>
        <w:tc>
          <w:tcPr>
            <w:tcW w:type="dxa" w:w="1474"/>
          </w:tcPr>
          <w:p>
            <w:pPr>
              <w:spacing w:after="20"/>
            </w:pPr>
            <w:r>
              <w:rPr>
                <w:b w:val="0"/>
                <w:sz w:val="17"/>
              </w:rPr>
              <w:t>Document analysis</w:t>
            </w:r>
          </w:p>
        </w:tc>
        <w:tc>
          <w:tcPr>
            <w:tcW w:type="dxa" w:w="2608"/>
          </w:tcPr>
          <w:p>
            <w:pPr>
              <w:spacing w:after="20"/>
            </w:pPr>
            <w:r>
              <w:rPr>
                <w:b w:val="0"/>
                <w:sz w:val="17"/>
              </w:rPr>
              <w:t>The 310 prescribing-incident reports of 2024</w:t>
            </w:r>
          </w:p>
        </w:tc>
        <w:tc>
          <w:tcPr>
            <w:tcW w:type="dxa" w:w="3742"/>
          </w:tcPr>
          <w:p>
            <w:pPr>
              <w:spacing w:after="20"/>
            </w:pPr>
            <w:r>
              <w:rPr>
                <w:b w:val="0"/>
                <w:sz w:val="17"/>
              </w:rPr>
              <w:t>Cause = missing allergy history. Confirm the split by cause (not given in the brief) and turn each report into a replay scenario.</w:t>
            </w:r>
          </w:p>
        </w:tc>
        <w:tc>
          <w:tcPr>
            <w:tcW w:type="dxa" w:w="1814"/>
          </w:tcPr>
          <w:p>
            <w:pPr>
              <w:spacing w:after="20"/>
            </w:pPr>
            <w:r>
              <w:rPr>
                <w:b w:val="0"/>
                <w:sz w:val="17"/>
              </w:rPr>
              <w:t>FR-03, FR-06, TC-047</w:t>
            </w:r>
          </w:p>
        </w:tc>
      </w:tr>
      <w:tr>
        <w:trPr>
          <w:cantSplit w:val="true"/>
        </w:trPr>
        <w:tc>
          <w:tcPr>
            <w:tcW w:type="dxa" w:w="1474"/>
            <w:shd w:val="clear" w:color="auto" w:fill="F3F7F9"/>
          </w:tcPr>
          <w:p>
            <w:pPr>
              <w:spacing w:after="20"/>
            </w:pPr>
            <w:r>
              <w:rPr>
                <w:b w:val="0"/>
                <w:sz w:val="17"/>
              </w:rPr>
              <w:t>Document analysis</w:t>
            </w:r>
          </w:p>
        </w:tc>
        <w:tc>
          <w:tcPr>
            <w:tcW w:type="dxa" w:w="2608"/>
            <w:shd w:val="clear" w:color="auto" w:fill="F3F7F9"/>
          </w:tcPr>
          <w:p>
            <w:pPr>
              <w:spacing w:after="20"/>
            </w:pPr>
            <w:r>
              <w:rPr>
                <w:b w:val="0"/>
                <w:sz w:val="17"/>
              </w:rPr>
              <w:t>Excel registers and the FoxPro data dictionary</w:t>
            </w:r>
          </w:p>
        </w:tc>
        <w:tc>
          <w:tcPr>
            <w:tcW w:type="dxa" w:w="3742"/>
            <w:shd w:val="clear" w:color="auto" w:fill="F3F7F9"/>
          </w:tcPr>
          <w:p>
            <w:pPr>
              <w:spacing w:after="20"/>
            </w:pPr>
            <w:r>
              <w:rPr>
                <w:b w:val="0"/>
                <w:sz w:val="17"/>
              </w:rPr>
              <w:t>≈ 7 % of 2.4 M rows malformed or duplicate. Confirm formats, key fields and date styles.</w:t>
            </w:r>
          </w:p>
        </w:tc>
        <w:tc>
          <w:tcPr>
            <w:tcW w:type="dxa" w:w="1814"/>
            <w:shd w:val="clear" w:color="auto" w:fill="F3F7F9"/>
          </w:tcPr>
          <w:p>
            <w:pPr>
              <w:spacing w:after="20"/>
            </w:pPr>
            <w:r>
              <w:rPr>
                <w:b w:val="0"/>
                <w:sz w:val="17"/>
              </w:rPr>
              <w:t>FR-01, FR-12</w:t>
            </w:r>
          </w:p>
        </w:tc>
      </w:tr>
      <w:tr>
        <w:trPr>
          <w:cantSplit w:val="true"/>
        </w:trPr>
        <w:tc>
          <w:tcPr>
            <w:tcW w:type="dxa" w:w="1474"/>
          </w:tcPr>
          <w:p>
            <w:pPr>
              <w:spacing w:after="20"/>
            </w:pPr>
            <w:r>
              <w:rPr>
                <w:b w:val="0"/>
                <w:sz w:val="17"/>
              </w:rPr>
              <w:t>Document analysis</w:t>
            </w:r>
          </w:p>
        </w:tc>
        <w:tc>
          <w:tcPr>
            <w:tcW w:type="dxa" w:w="2608"/>
          </w:tcPr>
          <w:p>
            <w:pPr>
              <w:spacing w:after="20"/>
            </w:pPr>
            <w:r>
              <w:rPr>
                <w:b w:val="0"/>
                <w:sz w:val="17"/>
              </w:rPr>
              <w:t>Paper forms, discharge-summary templates</w:t>
            </w:r>
          </w:p>
        </w:tc>
        <w:tc>
          <w:tcPr>
            <w:tcW w:type="dxa" w:w="3742"/>
          </w:tcPr>
          <w:p>
            <w:pPr>
              <w:spacing w:after="20"/>
            </w:pPr>
            <w:r>
              <w:rPr>
                <w:b w:val="0"/>
                <w:sz w:val="17"/>
              </w:rPr>
              <w:t>Confirm mandatory fields and local wording.</w:t>
            </w:r>
          </w:p>
        </w:tc>
        <w:tc>
          <w:tcPr>
            <w:tcW w:type="dxa" w:w="1814"/>
          </w:tcPr>
          <w:p>
            <w:pPr>
              <w:spacing w:after="20"/>
            </w:pPr>
            <w:r>
              <w:rPr>
                <w:b w:val="0"/>
                <w:sz w:val="17"/>
              </w:rPr>
              <w:t>FR-09</w:t>
            </w:r>
          </w:p>
        </w:tc>
      </w:tr>
      <w:tr>
        <w:trPr>
          <w:cantSplit w:val="true"/>
        </w:trPr>
        <w:tc>
          <w:tcPr>
            <w:tcW w:type="dxa" w:w="1474"/>
            <w:shd w:val="clear" w:color="auto" w:fill="F3F7F9"/>
          </w:tcPr>
          <w:p>
            <w:pPr>
              <w:spacing w:after="20"/>
            </w:pPr>
            <w:r>
              <w:rPr>
                <w:b w:val="0"/>
                <w:sz w:val="17"/>
              </w:rPr>
              <w:t>Document analysis</w:t>
            </w:r>
          </w:p>
        </w:tc>
        <w:tc>
          <w:tcPr>
            <w:tcW w:type="dxa" w:w="2608"/>
            <w:shd w:val="clear" w:color="auto" w:fill="F3F7F9"/>
          </w:tcPr>
          <w:p>
            <w:pPr>
              <w:spacing w:after="20"/>
            </w:pPr>
            <w:r>
              <w:rPr>
                <w:b w:val="0"/>
                <w:sz w:val="17"/>
              </w:rPr>
              <w:t>Audit, legal and retention rules; CMO and CFO statements</w:t>
            </w:r>
          </w:p>
        </w:tc>
        <w:tc>
          <w:tcPr>
            <w:tcW w:type="dxa" w:w="3742"/>
            <w:shd w:val="clear" w:color="auto" w:fill="F3F7F9"/>
          </w:tcPr>
          <w:p>
            <w:pPr>
              <w:spacing w:after="20"/>
            </w:pPr>
            <w:r>
              <w:rPr>
                <w:b w:val="0"/>
                <w:sz w:val="17"/>
              </w:rPr>
              <w:t>Records legally admissible; never silently edited; 18-month limit.</w:t>
            </w:r>
          </w:p>
        </w:tc>
        <w:tc>
          <w:tcPr>
            <w:tcW w:type="dxa" w:w="1814"/>
            <w:shd w:val="clear" w:color="auto" w:fill="F3F7F9"/>
          </w:tcPr>
          <w:p>
            <w:pPr>
              <w:spacing w:after="20"/>
            </w:pPr>
            <w:r>
              <w:rPr>
                <w:b w:val="0"/>
                <w:sz w:val="17"/>
              </w:rPr>
              <w:t>NFR-02, NFR-06, NFR-01, C-1, C-2</w:t>
            </w:r>
          </w:p>
        </w:tc>
      </w:tr>
      <w:tr>
        <w:trPr>
          <w:cantSplit w:val="true"/>
        </w:trPr>
        <w:tc>
          <w:tcPr>
            <w:tcW w:type="dxa" w:w="1474"/>
          </w:tcPr>
          <w:p>
            <w:pPr>
              <w:spacing w:after="20"/>
            </w:pPr>
            <w:r>
              <w:rPr>
                <w:b w:val="0"/>
                <w:sz w:val="17"/>
              </w:rPr>
              <w:t>Document analysis</w:t>
            </w:r>
          </w:p>
        </w:tc>
        <w:tc>
          <w:tcPr>
            <w:tcW w:type="dxa" w:w="2608"/>
          </w:tcPr>
          <w:p>
            <w:pPr>
              <w:spacing w:after="20"/>
            </w:pPr>
            <w:r>
              <w:rPr>
                <w:b w:val="0"/>
                <w:sz w:val="17"/>
              </w:rPr>
              <w:t>Screens and API of the already-built UI</w:t>
            </w:r>
          </w:p>
        </w:tc>
        <w:tc>
          <w:tcPr>
            <w:tcW w:type="dxa" w:w="3742"/>
          </w:tcPr>
          <w:p>
            <w:pPr>
              <w:spacing w:after="20"/>
            </w:pPr>
            <w:r>
              <w:rPr>
                <w:b w:val="0"/>
                <w:sz w:val="17"/>
              </w:rPr>
              <w:t>UI is fixed; back end must match.</w:t>
            </w:r>
          </w:p>
        </w:tc>
        <w:tc>
          <w:tcPr>
            <w:tcW w:type="dxa" w:w="1814"/>
          </w:tcPr>
          <w:p>
            <w:pPr>
              <w:spacing w:after="20"/>
            </w:pPr>
            <w:r>
              <w:rPr>
                <w:b w:val="0"/>
                <w:sz w:val="17"/>
              </w:rPr>
              <w:t>Section 4.3, C-5</w:t>
            </w:r>
          </w:p>
        </w:tc>
      </w:tr>
    </w:tbl>
    <w:p>
      <w:pPr>
        <w:spacing w:after="40"/>
      </w:pPr>
    </w:p>
    <w:p>
      <w:pPr>
        <w:pStyle w:val="Heading1"/>
      </w:pPr>
      <w:r>
        <w:t>4. Specific requirements</w:t>
      </w:r>
    </w:p>
    <w:p>
      <w:pPr>
        <w:pStyle w:val="Heading2"/>
      </w:pPr>
      <w:r>
        <w:t>4.1 Functional requirements (12)</w:t>
      </w:r>
    </w:p>
    <w:tbl>
      <w:tblPr>
        <w:tblW w:type="auto" w:w="0"/>
        <w:jc w:val="center"/>
        <w:tblLayout w:type="fixed"/>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Pr>
      <w:tblGrid>
        <w:gridCol w:w="737"/>
        <w:gridCol w:w="3458"/>
        <w:gridCol w:w="964"/>
        <w:gridCol w:w="2098"/>
        <w:gridCol w:w="2381"/>
      </w:tblGrid>
      <w:tr>
        <w:trPr>
          <w:tblHeader w:val="true"/>
        </w:trPr>
        <w:tc>
          <w:tcPr>
            <w:tcW w:type="dxa" w:w="737"/>
            <w:shd w:val="clear" w:color="auto" w:fill="1F3A5F"/>
          </w:tcPr>
          <w:p>
            <w:r/>
            <w:r>
              <w:rPr>
                <w:b/>
                <w:color w:val="FFFFFF"/>
                <w:sz w:val="16"/>
              </w:rPr>
              <w:t>ID</w:t>
            </w:r>
          </w:p>
        </w:tc>
        <w:tc>
          <w:tcPr>
            <w:tcW w:type="dxa" w:w="3458"/>
            <w:shd w:val="clear" w:color="auto" w:fill="1F3A5F"/>
          </w:tcPr>
          <w:p>
            <w:r/>
            <w:r>
              <w:rPr>
                <w:b/>
                <w:color w:val="FFFFFF"/>
                <w:sz w:val="16"/>
              </w:rPr>
              <w:t>Requirement – “The system shall …”</w:t>
            </w:r>
          </w:p>
        </w:tc>
        <w:tc>
          <w:tcPr>
            <w:tcW w:type="dxa" w:w="964"/>
            <w:shd w:val="clear" w:color="auto" w:fill="1F3A5F"/>
          </w:tcPr>
          <w:p>
            <w:r/>
            <w:r>
              <w:rPr>
                <w:b/>
                <w:color w:val="FFFFFF"/>
                <w:sz w:val="16"/>
              </w:rPr>
              <w:t>MoSCoW</w:t>
            </w:r>
          </w:p>
        </w:tc>
        <w:tc>
          <w:tcPr>
            <w:tcW w:type="dxa" w:w="2098"/>
            <w:shd w:val="clear" w:color="auto" w:fill="1F3A5F"/>
          </w:tcPr>
          <w:p>
            <w:r/>
            <w:r>
              <w:rPr>
                <w:b/>
                <w:color w:val="FFFFFF"/>
                <w:sz w:val="16"/>
              </w:rPr>
              <w:t>Source / rationale</w:t>
            </w:r>
          </w:p>
        </w:tc>
        <w:tc>
          <w:tcPr>
            <w:tcW w:type="dxa" w:w="2381"/>
            <w:shd w:val="clear" w:color="auto" w:fill="1F3A5F"/>
          </w:tcPr>
          <w:p>
            <w:r/>
            <w:r>
              <w:rPr>
                <w:b/>
                <w:color w:val="FFFFFF"/>
                <w:sz w:val="16"/>
              </w:rPr>
              <w:t>Acceptance criterion</w:t>
            </w:r>
          </w:p>
        </w:tc>
      </w:tr>
      <w:tr>
        <w:trPr>
          <w:cantSplit w:val="true"/>
        </w:trPr>
        <w:tc>
          <w:tcPr>
            <w:tcW w:type="dxa" w:w="737"/>
          </w:tcPr>
          <w:p>
            <w:pPr>
              <w:spacing w:after="20"/>
            </w:pPr>
            <w:r>
              <w:rPr>
                <w:b w:val="0"/>
                <w:sz w:val="16"/>
              </w:rPr>
              <w:t>FR-01</w:t>
            </w:r>
          </w:p>
        </w:tc>
        <w:tc>
          <w:tcPr>
            <w:tcW w:type="dxa" w:w="3458"/>
          </w:tcPr>
          <w:p>
            <w:pPr>
              <w:spacing w:after="20"/>
            </w:pPr>
            <w:r>
              <w:rPr>
                <w:b/>
                <w:sz w:val="16"/>
              </w:rPr>
              <w:t>Patient registration.</w:t>
            </w:r>
            <w:r>
              <w:rPr>
                <w:b w:val="0"/>
                <w:sz w:val="16"/>
              </w:rPr>
              <w:t xml:space="preserve"> The system shall register each patient once with a unique, immutable Medical Record Number (MRN) valid across all 27 sites, and shall warn the user of a probable duplicate (match on name, date of birth and phone / ID) before the record is saved.</w:t>
            </w:r>
          </w:p>
        </w:tc>
        <w:tc>
          <w:tcPr>
            <w:tcW w:type="dxa" w:w="964"/>
          </w:tcPr>
          <w:p>
            <w:pPr>
              <w:spacing w:after="20"/>
              <w:jc w:val="center"/>
            </w:pPr>
            <w:r>
              <w:rPr>
                <w:b w:val="0"/>
                <w:sz w:val="16"/>
              </w:rPr>
              <w:t>Must</w:t>
            </w:r>
          </w:p>
        </w:tc>
        <w:tc>
          <w:tcPr>
            <w:tcW w:type="dxa" w:w="2098"/>
          </w:tcPr>
          <w:p>
            <w:pPr>
              <w:spacing w:after="20"/>
            </w:pPr>
            <w:r>
              <w:rPr>
                <w:b w:val="0"/>
                <w:sz w:val="16"/>
              </w:rPr>
              <w:t>Six sites keep history in six different systems; duplicate IDs are among the migration defects.</w:t>
            </w:r>
          </w:p>
        </w:tc>
        <w:tc>
          <w:tcPr>
            <w:tcW w:type="dxa" w:w="2381"/>
          </w:tcPr>
          <w:p>
            <w:pPr>
              <w:spacing w:after="20"/>
            </w:pPr>
            <w:r>
              <w:rPr>
                <w:b w:val="0"/>
                <w:sz w:val="16"/>
              </w:rPr>
              <w:t>100 % of seeded probable-duplicate registrations raise a warning; no two patients ever share an MRN.</w:t>
            </w:r>
          </w:p>
        </w:tc>
      </w:tr>
      <w:tr>
        <w:trPr>
          <w:cantSplit w:val="true"/>
        </w:trPr>
        <w:tc>
          <w:tcPr>
            <w:tcW w:type="dxa" w:w="737"/>
            <w:shd w:val="clear" w:color="auto" w:fill="F3F7F9"/>
          </w:tcPr>
          <w:p>
            <w:pPr>
              <w:spacing w:after="20"/>
            </w:pPr>
            <w:r>
              <w:rPr>
                <w:b w:val="0"/>
                <w:sz w:val="16"/>
              </w:rPr>
              <w:t>FR-02</w:t>
            </w:r>
          </w:p>
        </w:tc>
        <w:tc>
          <w:tcPr>
            <w:tcW w:type="dxa" w:w="3458"/>
            <w:shd w:val="clear" w:color="auto" w:fill="F3F7F9"/>
          </w:tcPr>
          <w:p>
            <w:pPr>
              <w:spacing w:after="20"/>
            </w:pPr>
            <w:r>
              <w:rPr>
                <w:b/>
                <w:sz w:val="16"/>
              </w:rPr>
              <w:t>Cross-site search and unified record.</w:t>
            </w:r>
            <w:r>
              <w:rPr>
                <w:b w:val="0"/>
                <w:sz w:val="16"/>
              </w:rPr>
              <w:t xml:space="preserve"> The system shall let authorised staff search by MRN, name, date of birth or phone and shall show one unified record containing history from every site.</w:t>
            </w:r>
          </w:p>
        </w:tc>
        <w:tc>
          <w:tcPr>
            <w:tcW w:type="dxa" w:w="964"/>
            <w:shd w:val="clear" w:color="auto" w:fill="F3F7F9"/>
          </w:tcPr>
          <w:p>
            <w:pPr>
              <w:spacing w:after="20"/>
              <w:jc w:val="center"/>
            </w:pPr>
            <w:r>
              <w:rPr>
                <w:b w:val="0"/>
                <w:sz w:val="16"/>
              </w:rPr>
              <w:t>Must</w:t>
            </w:r>
          </w:p>
        </w:tc>
        <w:tc>
          <w:tcPr>
            <w:tcW w:type="dxa" w:w="2098"/>
            <w:shd w:val="clear" w:color="auto" w:fill="F3F7F9"/>
          </w:tcPr>
          <w:p>
            <w:pPr>
              <w:spacing w:after="20"/>
            </w:pPr>
            <w:r>
              <w:rPr>
                <w:b w:val="0"/>
                <w:sz w:val="16"/>
              </w:rPr>
              <w:t>A referred patient arrives with a paper file; the hospital cannot see the clinic’s history.</w:t>
            </w:r>
          </w:p>
        </w:tc>
        <w:tc>
          <w:tcPr>
            <w:tcW w:type="dxa" w:w="2381"/>
            <w:shd w:val="clear" w:color="auto" w:fill="F3F7F9"/>
          </w:tcPr>
          <w:p>
            <w:pPr>
              <w:spacing w:after="20"/>
            </w:pPr>
            <w:r>
              <w:rPr>
                <w:b w:val="0"/>
                <w:sz w:val="16"/>
              </w:rPr>
              <w:t>Record created at Site A is visible at Site B within 2 s of save; search returns in ≤ 2 s (p95).</w:t>
            </w:r>
          </w:p>
        </w:tc>
      </w:tr>
      <w:tr>
        <w:trPr>
          <w:cantSplit w:val="true"/>
        </w:trPr>
        <w:tc>
          <w:tcPr>
            <w:tcW w:type="dxa" w:w="737"/>
          </w:tcPr>
          <w:p>
            <w:pPr>
              <w:spacing w:after="20"/>
            </w:pPr>
            <w:r>
              <w:rPr>
                <w:b w:val="0"/>
                <w:sz w:val="16"/>
              </w:rPr>
              <w:t>FR-03</w:t>
            </w:r>
          </w:p>
        </w:tc>
        <w:tc>
          <w:tcPr>
            <w:tcW w:type="dxa" w:w="3458"/>
          </w:tcPr>
          <w:p>
            <w:pPr>
              <w:spacing w:after="20"/>
            </w:pPr>
            <w:r>
              <w:rPr>
                <w:b/>
                <w:sz w:val="16"/>
              </w:rPr>
              <w:t>Allergy and adverse-reaction record.</w:t>
            </w:r>
            <w:r>
              <w:rPr>
                <w:b w:val="0"/>
                <w:sz w:val="16"/>
              </w:rPr>
              <w:t xml:space="preserve"> The system shall hold structured allergy records (allergen, class, reaction, severity) and shall require every patient to carry an allergy status of KNOWN, NKDA (no known drug allergy) or UNKNOWN; a prescription shall not be signed while the status is UNKNOWN.</w:t>
            </w:r>
          </w:p>
        </w:tc>
        <w:tc>
          <w:tcPr>
            <w:tcW w:type="dxa" w:w="964"/>
          </w:tcPr>
          <w:p>
            <w:pPr>
              <w:spacing w:after="20"/>
              <w:jc w:val="center"/>
            </w:pPr>
            <w:r>
              <w:rPr>
                <w:b w:val="0"/>
                <w:sz w:val="16"/>
              </w:rPr>
              <w:t>Must</w:t>
            </w:r>
          </w:p>
        </w:tc>
        <w:tc>
          <w:tcPr>
            <w:tcW w:type="dxa" w:w="2098"/>
          </w:tcPr>
          <w:p>
            <w:pPr>
              <w:spacing w:after="20"/>
            </w:pPr>
            <w:r>
              <w:rPr>
                <w:b w:val="0"/>
                <w:sz w:val="16"/>
              </w:rPr>
              <w:t>310 prescribing incidents in 2024 traced to missing allergy history.</w:t>
            </w:r>
          </w:p>
        </w:tc>
        <w:tc>
          <w:tcPr>
            <w:tcW w:type="dxa" w:w="2381"/>
          </w:tcPr>
          <w:p>
            <w:pPr>
              <w:spacing w:after="20"/>
            </w:pPr>
            <w:r>
              <w:rPr>
                <w:b w:val="0"/>
                <w:sz w:val="16"/>
              </w:rPr>
              <w:t>Signing is blocked for status UNKNOWN in 100 % of test cases; allergy amendments create a new version.</w:t>
            </w:r>
          </w:p>
        </w:tc>
      </w:tr>
      <w:tr>
        <w:trPr>
          <w:cantSplit w:val="true"/>
        </w:trPr>
        <w:tc>
          <w:tcPr>
            <w:tcW w:type="dxa" w:w="737"/>
            <w:shd w:val="clear" w:color="auto" w:fill="F3F7F9"/>
          </w:tcPr>
          <w:p>
            <w:pPr>
              <w:spacing w:after="20"/>
            </w:pPr>
            <w:r>
              <w:rPr>
                <w:b w:val="0"/>
                <w:sz w:val="16"/>
              </w:rPr>
              <w:t>FR-04</w:t>
            </w:r>
          </w:p>
        </w:tc>
        <w:tc>
          <w:tcPr>
            <w:tcW w:type="dxa" w:w="3458"/>
            <w:shd w:val="clear" w:color="auto" w:fill="F3F7F9"/>
          </w:tcPr>
          <w:p>
            <w:pPr>
              <w:spacing w:after="20"/>
            </w:pPr>
            <w:r>
              <w:rPr>
                <w:b/>
                <w:sz w:val="16"/>
              </w:rPr>
              <w:t>OPD / IPD clinical notes.</w:t>
            </w:r>
            <w:r>
              <w:rPr>
                <w:b w:val="0"/>
                <w:sz w:val="16"/>
              </w:rPr>
              <w:t xml:space="preserve"> The system shall record OPD and IPD notes, admissions and transfers; any amendment shall create a new version while the original is retained and remains viewable.</w:t>
            </w:r>
          </w:p>
        </w:tc>
        <w:tc>
          <w:tcPr>
            <w:tcW w:type="dxa" w:w="964"/>
            <w:shd w:val="clear" w:color="auto" w:fill="F3F7F9"/>
          </w:tcPr>
          <w:p>
            <w:pPr>
              <w:spacing w:after="20"/>
              <w:jc w:val="center"/>
            </w:pPr>
            <w:r>
              <w:rPr>
                <w:b w:val="0"/>
                <w:sz w:val="16"/>
              </w:rPr>
              <w:t>Must</w:t>
            </w:r>
          </w:p>
        </w:tc>
        <w:tc>
          <w:tcPr>
            <w:tcW w:type="dxa" w:w="2098"/>
            <w:shd w:val="clear" w:color="auto" w:fill="F3F7F9"/>
          </w:tcPr>
          <w:p>
            <w:pPr>
              <w:spacing w:after="20"/>
            </w:pPr>
            <w:r>
              <w:rPr>
                <w:b w:val="0"/>
                <w:sz w:val="16"/>
              </w:rPr>
              <w:t>Records are ‘legally admissible and cannot be silently edited’.</w:t>
            </w:r>
          </w:p>
        </w:tc>
        <w:tc>
          <w:tcPr>
            <w:tcW w:type="dxa" w:w="2381"/>
            <w:shd w:val="clear" w:color="auto" w:fill="F3F7F9"/>
          </w:tcPr>
          <w:p>
            <w:pPr>
              <w:spacing w:after="20"/>
            </w:pPr>
            <w:r>
              <w:rPr>
                <w:b w:val="0"/>
                <w:sz w:val="16"/>
              </w:rPr>
              <w:t>Every amendment shows author, time and prior version; no overwrite path exists.</w:t>
            </w:r>
          </w:p>
        </w:tc>
      </w:tr>
      <w:tr>
        <w:trPr>
          <w:cantSplit w:val="true"/>
        </w:trPr>
        <w:tc>
          <w:tcPr>
            <w:tcW w:type="dxa" w:w="737"/>
          </w:tcPr>
          <w:p>
            <w:pPr>
              <w:spacing w:after="20"/>
            </w:pPr>
            <w:r>
              <w:rPr>
                <w:b w:val="0"/>
                <w:sz w:val="16"/>
              </w:rPr>
              <w:t>FR-05</w:t>
            </w:r>
          </w:p>
        </w:tc>
        <w:tc>
          <w:tcPr>
            <w:tcW w:type="dxa" w:w="3458"/>
          </w:tcPr>
          <w:p>
            <w:pPr>
              <w:spacing w:after="20"/>
            </w:pPr>
            <w:r>
              <w:rPr>
                <w:b/>
                <w:sz w:val="16"/>
              </w:rPr>
              <w:t>e-Prescribing with field validation.</w:t>
            </w:r>
            <w:r>
              <w:rPr>
                <w:b w:val="0"/>
                <w:sz w:val="16"/>
              </w:rPr>
              <w:t xml:space="preserve"> The system shall let authorised doctors create e-prescriptions (formulary drug, dose, unit, route, frequency, duration) and shall validate every numeric field against the formulary limits before the prescription can proceed.</w:t>
            </w:r>
          </w:p>
        </w:tc>
        <w:tc>
          <w:tcPr>
            <w:tcW w:type="dxa" w:w="964"/>
          </w:tcPr>
          <w:p>
            <w:pPr>
              <w:spacing w:after="20"/>
              <w:jc w:val="center"/>
            </w:pPr>
            <w:r>
              <w:rPr>
                <w:b w:val="0"/>
                <w:sz w:val="16"/>
              </w:rPr>
              <w:t>Must</w:t>
            </w:r>
          </w:p>
        </w:tc>
        <w:tc>
          <w:tcPr>
            <w:tcW w:type="dxa" w:w="2098"/>
          </w:tcPr>
          <w:p>
            <w:pPr>
              <w:spacing w:after="20"/>
            </w:pPr>
            <w:r>
              <w:rPr>
                <w:b w:val="0"/>
                <w:sz w:val="16"/>
              </w:rPr>
              <w:t>e-prescriptions are a stated scope item; dosage errors are a patient-safety hazard.</w:t>
            </w:r>
          </w:p>
        </w:tc>
        <w:tc>
          <w:tcPr>
            <w:tcW w:type="dxa" w:w="2381"/>
          </w:tcPr>
          <w:p>
            <w:pPr>
              <w:spacing w:after="20"/>
            </w:pPr>
            <w:r>
              <w:rPr>
                <w:b w:val="0"/>
                <w:sz w:val="16"/>
              </w:rPr>
              <w:t>Boundary tests (TC-009 to TC-012) all give the expected accept / reject result.</w:t>
            </w:r>
          </w:p>
        </w:tc>
      </w:tr>
      <w:tr>
        <w:trPr>
          <w:cantSplit w:val="true"/>
        </w:trPr>
        <w:tc>
          <w:tcPr>
            <w:tcW w:type="dxa" w:w="737"/>
            <w:shd w:val="clear" w:color="auto" w:fill="F3F7F9"/>
          </w:tcPr>
          <w:p>
            <w:pPr>
              <w:spacing w:after="20"/>
            </w:pPr>
            <w:r>
              <w:rPr>
                <w:b w:val="0"/>
                <w:sz w:val="16"/>
              </w:rPr>
              <w:t>FR-06</w:t>
            </w:r>
          </w:p>
        </w:tc>
        <w:tc>
          <w:tcPr>
            <w:tcW w:type="dxa" w:w="3458"/>
            <w:shd w:val="clear" w:color="auto" w:fill="F3F7F9"/>
          </w:tcPr>
          <w:p>
            <w:pPr>
              <w:spacing w:after="20"/>
            </w:pPr>
            <w:r>
              <w:rPr>
                <w:b/>
                <w:sz w:val="16"/>
              </w:rPr>
              <w:t>Allergy and interaction check.</w:t>
            </w:r>
            <w:r>
              <w:rPr>
                <w:b w:val="0"/>
                <w:sz w:val="16"/>
              </w:rPr>
              <w:t xml:space="preserve"> The system shall evaluate every prescription against the patient’s allergy records, active medications and interaction rules before signing, and shall return BLOCK (hard stop; override only with reason and a second clinician’s co-sign), WARN (override with reason) or OK.</w:t>
            </w:r>
          </w:p>
        </w:tc>
        <w:tc>
          <w:tcPr>
            <w:tcW w:type="dxa" w:w="964"/>
            <w:shd w:val="clear" w:color="auto" w:fill="F3F7F9"/>
          </w:tcPr>
          <w:p>
            <w:pPr>
              <w:spacing w:after="20"/>
              <w:jc w:val="center"/>
            </w:pPr>
            <w:r>
              <w:rPr>
                <w:b w:val="0"/>
                <w:sz w:val="16"/>
              </w:rPr>
              <w:t>Must</w:t>
            </w:r>
          </w:p>
        </w:tc>
        <w:tc>
          <w:tcPr>
            <w:tcW w:type="dxa" w:w="2098"/>
            <w:shd w:val="clear" w:color="auto" w:fill="F3F7F9"/>
          </w:tcPr>
          <w:p>
            <w:pPr>
              <w:spacing w:after="20"/>
            </w:pPr>
            <w:r>
              <w:rPr>
                <w:b w:val="0"/>
                <w:sz w:val="16"/>
              </w:rPr>
              <w:t>‘Must never lose a record’; allergy-related prescribing incidents must not recur.</w:t>
            </w:r>
          </w:p>
        </w:tc>
        <w:tc>
          <w:tcPr>
            <w:tcW w:type="dxa" w:w="2381"/>
            <w:shd w:val="clear" w:color="auto" w:fill="F3F7F9"/>
          </w:tcPr>
          <w:p>
            <w:pPr>
              <w:spacing w:after="20"/>
            </w:pPr>
            <w:r>
              <w:rPr>
                <w:b w:val="0"/>
                <w:sz w:val="16"/>
              </w:rPr>
              <w:t>All 8 decision-table rules behave as specified; every override is audited.</w:t>
            </w:r>
          </w:p>
        </w:tc>
      </w:tr>
      <w:tr>
        <w:trPr>
          <w:cantSplit w:val="true"/>
        </w:trPr>
        <w:tc>
          <w:tcPr>
            <w:tcW w:type="dxa" w:w="737"/>
          </w:tcPr>
          <w:p>
            <w:pPr>
              <w:spacing w:after="20"/>
            </w:pPr>
            <w:r>
              <w:rPr>
                <w:b w:val="0"/>
                <w:sz w:val="16"/>
              </w:rPr>
              <w:t>FR-07</w:t>
            </w:r>
          </w:p>
        </w:tc>
        <w:tc>
          <w:tcPr>
            <w:tcW w:type="dxa" w:w="3458"/>
          </w:tcPr>
          <w:p>
            <w:pPr>
              <w:spacing w:after="20"/>
            </w:pPr>
            <w:r>
              <w:rPr>
                <w:b/>
                <w:sz w:val="16"/>
              </w:rPr>
              <w:t>Lab orders and results.</w:t>
            </w:r>
            <w:r>
              <w:rPr>
                <w:b w:val="0"/>
                <w:sz w:val="16"/>
              </w:rPr>
              <w:t xml:space="preserve"> The system shall let doctors order lab tests, let lab technicians record results against the correct patient and order, and shall flag abnormal and critical values to the ordering clinician.</w:t>
            </w:r>
          </w:p>
        </w:tc>
        <w:tc>
          <w:tcPr>
            <w:tcW w:type="dxa" w:w="964"/>
          </w:tcPr>
          <w:p>
            <w:pPr>
              <w:spacing w:after="20"/>
              <w:jc w:val="center"/>
            </w:pPr>
            <w:r>
              <w:rPr>
                <w:b w:val="0"/>
                <w:sz w:val="16"/>
              </w:rPr>
              <w:t>Must</w:t>
            </w:r>
          </w:p>
        </w:tc>
        <w:tc>
          <w:tcPr>
            <w:tcW w:type="dxa" w:w="2098"/>
          </w:tcPr>
          <w:p>
            <w:pPr>
              <w:spacing w:after="20"/>
            </w:pPr>
            <w:r>
              <w:rPr>
                <w:b w:val="0"/>
                <w:sz w:val="16"/>
              </w:rPr>
              <w:t>Lab orders are a stated scope item.</w:t>
            </w:r>
          </w:p>
        </w:tc>
        <w:tc>
          <w:tcPr>
            <w:tcW w:type="dxa" w:w="2381"/>
          </w:tcPr>
          <w:p>
            <w:pPr>
              <w:spacing w:after="20"/>
            </w:pPr>
            <w:r>
              <w:rPr>
                <w:b w:val="0"/>
                <w:sz w:val="16"/>
              </w:rPr>
              <w:t>Result cannot be saved against a mismatched patient / order; CRITICAL values raise an alert.</w:t>
            </w:r>
          </w:p>
        </w:tc>
      </w:tr>
      <w:tr>
        <w:trPr>
          <w:cantSplit w:val="true"/>
        </w:trPr>
        <w:tc>
          <w:tcPr>
            <w:tcW w:type="dxa" w:w="737"/>
            <w:shd w:val="clear" w:color="auto" w:fill="F3F7F9"/>
          </w:tcPr>
          <w:p>
            <w:pPr>
              <w:spacing w:after="20"/>
            </w:pPr>
            <w:r>
              <w:rPr>
                <w:b w:val="0"/>
                <w:sz w:val="16"/>
              </w:rPr>
              <w:t>FR-08</w:t>
            </w:r>
          </w:p>
        </w:tc>
        <w:tc>
          <w:tcPr>
            <w:tcW w:type="dxa" w:w="3458"/>
            <w:shd w:val="clear" w:color="auto" w:fill="F3F7F9"/>
          </w:tcPr>
          <w:p>
            <w:pPr>
              <w:spacing w:after="20"/>
            </w:pPr>
            <w:r>
              <w:rPr>
                <w:b/>
                <w:sz w:val="16"/>
              </w:rPr>
              <w:t>Pharmacy dispensing.</w:t>
            </w:r>
            <w:r>
              <w:rPr>
                <w:b w:val="0"/>
                <w:sz w:val="16"/>
              </w:rPr>
              <w:t xml:space="preserve"> The system shall let pharmacists see signed prescriptions only, record item, batch and quantity dispensed, block dispensing of cancelled or expired prescriptions, and log every substitution.</w:t>
            </w:r>
          </w:p>
        </w:tc>
        <w:tc>
          <w:tcPr>
            <w:tcW w:type="dxa" w:w="964"/>
            <w:shd w:val="clear" w:color="auto" w:fill="F3F7F9"/>
          </w:tcPr>
          <w:p>
            <w:pPr>
              <w:spacing w:after="20"/>
              <w:jc w:val="center"/>
            </w:pPr>
            <w:r>
              <w:rPr>
                <w:b w:val="0"/>
                <w:sz w:val="16"/>
              </w:rPr>
              <w:t>Must</w:t>
            </w:r>
          </w:p>
        </w:tc>
        <w:tc>
          <w:tcPr>
            <w:tcW w:type="dxa" w:w="2098"/>
            <w:shd w:val="clear" w:color="auto" w:fill="F3F7F9"/>
          </w:tcPr>
          <w:p>
            <w:pPr>
              <w:spacing w:after="20"/>
            </w:pPr>
            <w:r>
              <w:rPr>
                <w:b w:val="0"/>
                <w:sz w:val="16"/>
              </w:rPr>
              <w:t>Pharmacy dispensing is a stated scope item.</w:t>
            </w:r>
          </w:p>
        </w:tc>
        <w:tc>
          <w:tcPr>
            <w:tcW w:type="dxa" w:w="2381"/>
            <w:shd w:val="clear" w:color="auto" w:fill="F3F7F9"/>
          </w:tcPr>
          <w:p>
            <w:pPr>
              <w:spacing w:after="20"/>
            </w:pPr>
            <w:r>
              <w:rPr>
                <w:b w:val="0"/>
                <w:sz w:val="16"/>
              </w:rPr>
              <w:t>Dispense is impossible without a SIGNED prescription; substitution needs a reason.</w:t>
            </w:r>
          </w:p>
        </w:tc>
      </w:tr>
      <w:tr>
        <w:trPr>
          <w:cantSplit w:val="true"/>
        </w:trPr>
        <w:tc>
          <w:tcPr>
            <w:tcW w:type="dxa" w:w="737"/>
          </w:tcPr>
          <w:p>
            <w:pPr>
              <w:spacing w:after="20"/>
            </w:pPr>
            <w:r>
              <w:rPr>
                <w:b w:val="0"/>
                <w:sz w:val="16"/>
              </w:rPr>
              <w:t>FR-09</w:t>
            </w:r>
          </w:p>
        </w:tc>
        <w:tc>
          <w:tcPr>
            <w:tcW w:type="dxa" w:w="3458"/>
          </w:tcPr>
          <w:p>
            <w:pPr>
              <w:spacing w:after="20"/>
            </w:pPr>
            <w:r>
              <w:rPr>
                <w:b/>
                <w:sz w:val="16"/>
              </w:rPr>
              <w:t>Discharge summary.</w:t>
            </w:r>
            <w:r>
              <w:rPr>
                <w:b w:val="0"/>
                <w:sz w:val="16"/>
              </w:rPr>
              <w:t xml:space="preserve"> The system shall compile a draft discharge summary (diagnoses, procedures, medications, allergies, follow-up) from encounter data for clinician review; once signed, it is read-only.</w:t>
            </w:r>
          </w:p>
        </w:tc>
        <w:tc>
          <w:tcPr>
            <w:tcW w:type="dxa" w:w="964"/>
          </w:tcPr>
          <w:p>
            <w:pPr>
              <w:spacing w:after="20"/>
              <w:jc w:val="center"/>
            </w:pPr>
            <w:r>
              <w:rPr>
                <w:b w:val="0"/>
                <w:sz w:val="16"/>
              </w:rPr>
              <w:t>Should</w:t>
            </w:r>
          </w:p>
        </w:tc>
        <w:tc>
          <w:tcPr>
            <w:tcW w:type="dxa" w:w="2098"/>
          </w:tcPr>
          <w:p>
            <w:pPr>
              <w:spacing w:after="20"/>
            </w:pPr>
            <w:r>
              <w:rPr>
                <w:b w:val="0"/>
                <w:sz w:val="16"/>
              </w:rPr>
              <w:t>Discharge summaries are a stated scope item; a manual template is an acceptable release-1 fallback.</w:t>
            </w:r>
          </w:p>
        </w:tc>
        <w:tc>
          <w:tcPr>
            <w:tcW w:type="dxa" w:w="2381"/>
          </w:tcPr>
          <w:p>
            <w:pPr>
              <w:spacing w:after="20"/>
            </w:pPr>
            <w:r>
              <w:rPr>
                <w:b w:val="0"/>
                <w:sz w:val="16"/>
              </w:rPr>
              <w:t>Draft pre-fills ≥ 90 % of mandatory fields; signed summary cannot be edited.</w:t>
            </w:r>
          </w:p>
        </w:tc>
      </w:tr>
      <w:tr>
        <w:trPr>
          <w:cantSplit w:val="true"/>
        </w:trPr>
        <w:tc>
          <w:tcPr>
            <w:tcW w:type="dxa" w:w="737"/>
            <w:shd w:val="clear" w:color="auto" w:fill="F3F7F9"/>
          </w:tcPr>
          <w:p>
            <w:pPr>
              <w:spacing w:after="20"/>
            </w:pPr>
            <w:r>
              <w:rPr>
                <w:b w:val="0"/>
                <w:sz w:val="16"/>
              </w:rPr>
              <w:t>FR-10</w:t>
            </w:r>
          </w:p>
        </w:tc>
        <w:tc>
          <w:tcPr>
            <w:tcW w:type="dxa" w:w="3458"/>
            <w:shd w:val="clear" w:color="auto" w:fill="F3F7F9"/>
          </w:tcPr>
          <w:p>
            <w:pPr>
              <w:spacing w:after="20"/>
            </w:pPr>
            <w:r>
              <w:rPr>
                <w:b/>
                <w:sz w:val="16"/>
              </w:rPr>
              <w:t>Authentication, role-based access and break-glass.</w:t>
            </w:r>
            <w:r>
              <w:rPr>
                <w:b w:val="0"/>
                <w:sz w:val="16"/>
              </w:rPr>
              <w:t xml:space="preserve"> The system shall authenticate every user, enforce role-based permissions (doctor, nurse, pharmacist, lab, clerk, admin, auditor) and provide an audited ‘break-glass’ emergency access that triggers review.</w:t>
            </w:r>
          </w:p>
        </w:tc>
        <w:tc>
          <w:tcPr>
            <w:tcW w:type="dxa" w:w="964"/>
            <w:shd w:val="clear" w:color="auto" w:fill="F3F7F9"/>
          </w:tcPr>
          <w:p>
            <w:pPr>
              <w:spacing w:after="20"/>
              <w:jc w:val="center"/>
            </w:pPr>
            <w:r>
              <w:rPr>
                <w:b w:val="0"/>
                <w:sz w:val="16"/>
              </w:rPr>
              <w:t>Must</w:t>
            </w:r>
          </w:p>
        </w:tc>
        <w:tc>
          <w:tcPr>
            <w:tcW w:type="dxa" w:w="2098"/>
            <w:shd w:val="clear" w:color="auto" w:fill="F3F7F9"/>
          </w:tcPr>
          <w:p>
            <w:pPr>
              <w:spacing w:after="20"/>
            </w:pPr>
            <w:r>
              <w:rPr>
                <w:b w:val="0"/>
                <w:sz w:val="16"/>
              </w:rPr>
              <w:t>Strict audit trails and regulated clinical workflow.</w:t>
            </w:r>
          </w:p>
        </w:tc>
        <w:tc>
          <w:tcPr>
            <w:tcW w:type="dxa" w:w="2381"/>
            <w:shd w:val="clear" w:color="auto" w:fill="F3F7F9"/>
          </w:tcPr>
          <w:p>
            <w:pPr>
              <w:spacing w:after="20"/>
            </w:pPr>
            <w:r>
              <w:rPr>
                <w:b w:val="0"/>
                <w:sz w:val="16"/>
              </w:rPr>
              <w:t>A nurse cannot sign a prescription; every break-glass use is reviewed within 24 h.</w:t>
            </w:r>
          </w:p>
        </w:tc>
      </w:tr>
      <w:tr>
        <w:trPr>
          <w:cantSplit w:val="true"/>
        </w:trPr>
        <w:tc>
          <w:tcPr>
            <w:tcW w:type="dxa" w:w="737"/>
          </w:tcPr>
          <w:p>
            <w:pPr>
              <w:spacing w:after="20"/>
            </w:pPr>
            <w:r>
              <w:rPr>
                <w:b w:val="0"/>
                <w:sz w:val="16"/>
              </w:rPr>
              <w:t>FR-11</w:t>
            </w:r>
          </w:p>
        </w:tc>
        <w:tc>
          <w:tcPr>
            <w:tcW w:type="dxa" w:w="3458"/>
          </w:tcPr>
          <w:p>
            <w:pPr>
              <w:spacing w:after="20"/>
            </w:pPr>
            <w:r>
              <w:rPr>
                <w:b/>
                <w:sz w:val="16"/>
              </w:rPr>
              <w:t>Audit-trail search and export.</w:t>
            </w:r>
            <w:r>
              <w:rPr>
                <w:b w:val="0"/>
                <w:sz w:val="16"/>
              </w:rPr>
              <w:t xml:space="preserve"> The system shall let auditors search the audit trail by user, patient, date and action and export the result in read-only form.</w:t>
            </w:r>
          </w:p>
        </w:tc>
        <w:tc>
          <w:tcPr>
            <w:tcW w:type="dxa" w:w="964"/>
          </w:tcPr>
          <w:p>
            <w:pPr>
              <w:spacing w:after="20"/>
              <w:jc w:val="center"/>
            </w:pPr>
            <w:r>
              <w:rPr>
                <w:b w:val="0"/>
                <w:sz w:val="16"/>
              </w:rPr>
              <w:t>Should</w:t>
            </w:r>
          </w:p>
        </w:tc>
        <w:tc>
          <w:tcPr>
            <w:tcW w:type="dxa" w:w="2098"/>
          </w:tcPr>
          <w:p>
            <w:pPr>
              <w:spacing w:after="20"/>
            </w:pPr>
            <w:r>
              <w:rPr>
                <w:b w:val="0"/>
                <w:sz w:val="16"/>
              </w:rPr>
              <w:t>‘Strict audit trails’ (the capture itself is NFR-02, a Must).</w:t>
            </w:r>
          </w:p>
        </w:tc>
        <w:tc>
          <w:tcPr>
            <w:tcW w:type="dxa" w:w="2381"/>
          </w:tcPr>
          <w:p>
            <w:pPr>
              <w:spacing w:after="20"/>
            </w:pPr>
            <w:r>
              <w:rPr>
                <w:b w:val="0"/>
                <w:sz w:val="16"/>
              </w:rPr>
              <w:t>Any 12-month query returns in ≤ 5 s; export cannot be altered.</w:t>
            </w:r>
          </w:p>
        </w:tc>
      </w:tr>
      <w:tr>
        <w:trPr>
          <w:cantSplit w:val="true"/>
        </w:trPr>
        <w:tc>
          <w:tcPr>
            <w:tcW w:type="dxa" w:w="737"/>
            <w:shd w:val="clear" w:color="auto" w:fill="F3F7F9"/>
          </w:tcPr>
          <w:p>
            <w:pPr>
              <w:spacing w:after="20"/>
            </w:pPr>
            <w:r>
              <w:rPr>
                <w:b w:val="0"/>
                <w:sz w:val="16"/>
              </w:rPr>
              <w:t>FR-12</w:t>
            </w:r>
          </w:p>
        </w:tc>
        <w:tc>
          <w:tcPr>
            <w:tcW w:type="dxa" w:w="3458"/>
            <w:shd w:val="clear" w:color="auto" w:fill="F3F7F9"/>
          </w:tcPr>
          <w:p>
            <w:pPr>
              <w:spacing w:after="20"/>
            </w:pPr>
            <w:r>
              <w:rPr>
                <w:b/>
                <w:sz w:val="16"/>
              </w:rPr>
              <w:t>Legacy data migration with quarantine and reconciliation.</w:t>
            </w:r>
            <w:r>
              <w:rPr>
                <w:b w:val="0"/>
                <w:sz w:val="16"/>
              </w:rPr>
              <w:t xml:space="preserve"> The system shall import legacy data (FoxPro, Excel registers, digitised paper) in staged waves, validate dates and IDs, quarantine malformed and duplicate rows for human review, never silently drop or alter a row, and produce a reconciliation report in which source rows = loaded + merged + quarantined.</w:t>
            </w:r>
          </w:p>
        </w:tc>
        <w:tc>
          <w:tcPr>
            <w:tcW w:type="dxa" w:w="964"/>
            <w:shd w:val="clear" w:color="auto" w:fill="F3F7F9"/>
          </w:tcPr>
          <w:p>
            <w:pPr>
              <w:spacing w:after="20"/>
              <w:jc w:val="center"/>
            </w:pPr>
            <w:r>
              <w:rPr>
                <w:b w:val="0"/>
                <w:sz w:val="16"/>
              </w:rPr>
              <w:t>Must</w:t>
            </w:r>
          </w:p>
        </w:tc>
        <w:tc>
          <w:tcPr>
            <w:tcW w:type="dxa" w:w="2098"/>
            <w:shd w:val="clear" w:color="auto" w:fill="F3F7F9"/>
          </w:tcPr>
          <w:p>
            <w:pPr>
              <w:spacing w:after="20"/>
            </w:pPr>
            <w:r>
              <w:rPr>
                <w:b w:val="0"/>
                <w:sz w:val="16"/>
              </w:rPr>
              <w:t>2.4 million rows, ≈ 7 % (≈ 168,000) malformed or duplicate; CMO: never lose a record.</w:t>
            </w:r>
          </w:p>
        </w:tc>
        <w:tc>
          <w:tcPr>
            <w:tcW w:type="dxa" w:w="2381"/>
            <w:shd w:val="clear" w:color="auto" w:fill="F3F7F9"/>
          </w:tcPr>
          <w:p>
            <w:pPr>
              <w:spacing w:after="20"/>
            </w:pPr>
            <w:r>
              <w:rPr>
                <w:b w:val="0"/>
                <w:sz w:val="16"/>
              </w:rPr>
              <w:t>Reconciliation variance = 0 on every dry run; 100 % of malformed rows appear in quarantine.</w:t>
            </w:r>
          </w:p>
        </w:tc>
      </w:tr>
    </w:tbl>
    <w:p>
      <w:pPr>
        <w:spacing w:after="40"/>
      </w:pPr>
    </w:p>
    <w:p>
      <w:pPr>
        <w:pStyle w:val="Heading2"/>
      </w:pPr>
      <w:r>
        <w:t>4.2 Non-functional requirements (8)</w:t>
      </w:r>
    </w:p>
    <w:p>
      <w:r>
        <w:rPr>
          <w:b w:val="0"/>
        </w:rPr>
        <w:t>Each non-functional requirement is stated with a number so that it can be tested – none says merely ‘the system shall be fast’ or ‘secure’.</w:t>
      </w:r>
    </w:p>
    <w:tbl>
      <w:tblPr>
        <w:tblW w:type="auto" w:w="0"/>
        <w:jc w:val="center"/>
        <w:tblLayout w:type="fixed"/>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Pr>
      <w:tblGrid>
        <w:gridCol w:w="794"/>
        <w:gridCol w:w="1304"/>
        <w:gridCol w:w="4479"/>
        <w:gridCol w:w="1871"/>
        <w:gridCol w:w="1191"/>
      </w:tblGrid>
      <w:tr>
        <w:trPr>
          <w:tblHeader w:val="true"/>
        </w:trPr>
        <w:tc>
          <w:tcPr>
            <w:tcW w:type="dxa" w:w="794"/>
            <w:shd w:val="clear" w:color="auto" w:fill="1F3A5F"/>
          </w:tcPr>
          <w:p>
            <w:r/>
            <w:r>
              <w:rPr>
                <w:b/>
                <w:color w:val="FFFFFF"/>
                <w:sz w:val="16"/>
              </w:rPr>
              <w:t>ID</w:t>
            </w:r>
          </w:p>
        </w:tc>
        <w:tc>
          <w:tcPr>
            <w:tcW w:type="dxa" w:w="1304"/>
            <w:shd w:val="clear" w:color="auto" w:fill="1F3A5F"/>
          </w:tcPr>
          <w:p>
            <w:r/>
            <w:r>
              <w:rPr>
                <w:b/>
                <w:color w:val="FFFFFF"/>
                <w:sz w:val="16"/>
              </w:rPr>
              <w:t>Category</w:t>
            </w:r>
          </w:p>
        </w:tc>
        <w:tc>
          <w:tcPr>
            <w:tcW w:type="dxa" w:w="4479"/>
            <w:shd w:val="clear" w:color="auto" w:fill="1F3A5F"/>
          </w:tcPr>
          <w:p>
            <w:r/>
            <w:r>
              <w:rPr>
                <w:b/>
                <w:color w:val="FFFFFF"/>
                <w:sz w:val="16"/>
              </w:rPr>
              <w:t>Requirement</w:t>
            </w:r>
          </w:p>
        </w:tc>
        <w:tc>
          <w:tcPr>
            <w:tcW w:type="dxa" w:w="1871"/>
            <w:shd w:val="clear" w:color="auto" w:fill="1F3A5F"/>
          </w:tcPr>
          <w:p>
            <w:r/>
            <w:r>
              <w:rPr>
                <w:b/>
                <w:color w:val="FFFFFF"/>
                <w:sz w:val="16"/>
              </w:rPr>
              <w:t>Verification</w:t>
            </w:r>
          </w:p>
        </w:tc>
        <w:tc>
          <w:tcPr>
            <w:tcW w:type="dxa" w:w="1191"/>
            <w:shd w:val="clear" w:color="auto" w:fill="1F3A5F"/>
          </w:tcPr>
          <w:p>
            <w:r/>
            <w:r>
              <w:rPr>
                <w:b/>
                <w:color w:val="FFFFFF"/>
                <w:sz w:val="16"/>
              </w:rPr>
              <w:t>MoSCoW</w:t>
            </w:r>
          </w:p>
        </w:tc>
      </w:tr>
      <w:tr>
        <w:trPr>
          <w:cantSplit w:val="true"/>
        </w:trPr>
        <w:tc>
          <w:tcPr>
            <w:tcW w:type="dxa" w:w="794"/>
          </w:tcPr>
          <w:p>
            <w:pPr>
              <w:spacing w:after="20"/>
            </w:pPr>
            <w:r>
              <w:rPr>
                <w:b w:val="0"/>
                <w:sz w:val="16"/>
              </w:rPr>
              <w:t>NFR-01</w:t>
            </w:r>
          </w:p>
        </w:tc>
        <w:tc>
          <w:tcPr>
            <w:tcW w:type="dxa" w:w="1304"/>
          </w:tcPr>
          <w:p>
            <w:pPr>
              <w:spacing w:after="20"/>
            </w:pPr>
            <w:r>
              <w:rPr>
                <w:b w:val="0"/>
                <w:sz w:val="16"/>
              </w:rPr>
              <w:t>Security</w:t>
            </w:r>
          </w:p>
        </w:tc>
        <w:tc>
          <w:tcPr>
            <w:tcW w:type="dxa" w:w="4479"/>
          </w:tcPr>
          <w:p>
            <w:pPr>
              <w:spacing w:after="20"/>
            </w:pPr>
            <w:r>
              <w:rPr>
                <w:b w:val="0"/>
                <w:sz w:val="16"/>
              </w:rPr>
              <w:t>All data in transit shall use TLS 1.2 or higher and all data at rest AES-256; every user is authenticated; access follows least privilege; sessions lock after 10 minutes of inactivity; no critical or high penetration-test finding is open at go-live.</w:t>
            </w:r>
          </w:p>
        </w:tc>
        <w:tc>
          <w:tcPr>
            <w:tcW w:type="dxa" w:w="1871"/>
          </w:tcPr>
          <w:p>
            <w:pPr>
              <w:spacing w:after="20"/>
            </w:pPr>
            <w:r>
              <w:rPr>
                <w:b w:val="0"/>
                <w:sz w:val="16"/>
              </w:rPr>
              <w:t>Penetration test + configuration review</w:t>
            </w:r>
          </w:p>
        </w:tc>
        <w:tc>
          <w:tcPr>
            <w:tcW w:type="dxa" w:w="1191"/>
          </w:tcPr>
          <w:p>
            <w:pPr>
              <w:spacing w:after="20"/>
              <w:jc w:val="center"/>
            </w:pPr>
            <w:r>
              <w:rPr>
                <w:b w:val="0"/>
                <w:sz w:val="16"/>
              </w:rPr>
              <w:t>Must</w:t>
            </w:r>
          </w:p>
        </w:tc>
      </w:tr>
      <w:tr>
        <w:trPr>
          <w:cantSplit w:val="true"/>
        </w:trPr>
        <w:tc>
          <w:tcPr>
            <w:tcW w:type="dxa" w:w="794"/>
            <w:shd w:val="clear" w:color="auto" w:fill="F3F7F9"/>
          </w:tcPr>
          <w:p>
            <w:pPr>
              <w:spacing w:after="20"/>
            </w:pPr>
            <w:r>
              <w:rPr>
                <w:b w:val="0"/>
                <w:sz w:val="16"/>
              </w:rPr>
              <w:t>NFR-02</w:t>
            </w:r>
          </w:p>
        </w:tc>
        <w:tc>
          <w:tcPr>
            <w:tcW w:type="dxa" w:w="1304"/>
            <w:shd w:val="clear" w:color="auto" w:fill="F3F7F9"/>
          </w:tcPr>
          <w:p>
            <w:pPr>
              <w:spacing w:after="20"/>
            </w:pPr>
            <w:r>
              <w:rPr>
                <w:b w:val="0"/>
                <w:sz w:val="16"/>
              </w:rPr>
              <w:t>Auditability</w:t>
            </w:r>
          </w:p>
        </w:tc>
        <w:tc>
          <w:tcPr>
            <w:tcW w:type="dxa" w:w="4479"/>
            <w:shd w:val="clear" w:color="auto" w:fill="F3F7F9"/>
          </w:tcPr>
          <w:p>
            <w:pPr>
              <w:spacing w:after="20"/>
            </w:pPr>
            <w:r>
              <w:rPr>
                <w:b w:val="0"/>
                <w:sz w:val="16"/>
              </w:rPr>
              <w:t>100 % of create, amend, view and override events on clinical records shall be written to an append-only, hash-chained audit store recording user, timestamp, action, record and before / after hash. No role, including administrators, can edit or delete an entry. Any 12-month audit query shall return in ≤ 5 s.</w:t>
            </w:r>
          </w:p>
        </w:tc>
        <w:tc>
          <w:tcPr>
            <w:tcW w:type="dxa" w:w="1871"/>
            <w:shd w:val="clear" w:color="auto" w:fill="F3F7F9"/>
          </w:tcPr>
          <w:p>
            <w:pPr>
              <w:spacing w:after="20"/>
            </w:pPr>
            <w:r>
              <w:rPr>
                <w:b w:val="0"/>
                <w:sz w:val="16"/>
              </w:rPr>
              <w:t>Audit completeness test; tamper test; query timing</w:t>
            </w:r>
          </w:p>
        </w:tc>
        <w:tc>
          <w:tcPr>
            <w:tcW w:type="dxa" w:w="1191"/>
            <w:shd w:val="clear" w:color="auto" w:fill="F3F7F9"/>
          </w:tcPr>
          <w:p>
            <w:pPr>
              <w:spacing w:after="20"/>
              <w:jc w:val="center"/>
            </w:pPr>
            <w:r>
              <w:rPr>
                <w:b w:val="0"/>
                <w:sz w:val="16"/>
              </w:rPr>
              <w:t>Must</w:t>
            </w:r>
          </w:p>
        </w:tc>
      </w:tr>
      <w:tr>
        <w:trPr>
          <w:cantSplit w:val="true"/>
        </w:trPr>
        <w:tc>
          <w:tcPr>
            <w:tcW w:type="dxa" w:w="794"/>
          </w:tcPr>
          <w:p>
            <w:pPr>
              <w:spacing w:after="20"/>
            </w:pPr>
            <w:r>
              <w:rPr>
                <w:b w:val="0"/>
                <w:sz w:val="16"/>
              </w:rPr>
              <w:t>NFR-03</w:t>
            </w:r>
          </w:p>
        </w:tc>
        <w:tc>
          <w:tcPr>
            <w:tcW w:type="dxa" w:w="1304"/>
          </w:tcPr>
          <w:p>
            <w:pPr>
              <w:spacing w:after="20"/>
            </w:pPr>
            <w:r>
              <w:rPr>
                <w:b w:val="0"/>
                <w:sz w:val="16"/>
              </w:rPr>
              <w:t>Availability</w:t>
            </w:r>
          </w:p>
        </w:tc>
        <w:tc>
          <w:tcPr>
            <w:tcW w:type="dxa" w:w="4479"/>
          </w:tcPr>
          <w:p>
            <w:pPr>
              <w:spacing w:after="20"/>
            </w:pPr>
            <w:r>
              <w:rPr>
                <w:b w:val="0"/>
                <w:sz w:val="16"/>
              </w:rPr>
              <w:t>MTBF ≥ 1,400 h and MTTR ≤ 2 h, i.e. steady-state availability ≥ 99.85 % (≈ 12.5 h unplanned downtime a year); recovery-time objective ≤ 2 h; planned maintenance only in agreed windows.</w:t>
            </w:r>
          </w:p>
        </w:tc>
        <w:tc>
          <w:tcPr>
            <w:tcW w:type="dxa" w:w="1871"/>
          </w:tcPr>
          <w:p>
            <w:pPr>
              <w:spacing w:after="20"/>
            </w:pPr>
            <w:r>
              <w:rPr>
                <w:b w:val="0"/>
                <w:sz w:val="16"/>
              </w:rPr>
              <w:t>Failover drill; soak test; pilot MTBF / MTTR log</w:t>
            </w:r>
          </w:p>
        </w:tc>
        <w:tc>
          <w:tcPr>
            <w:tcW w:type="dxa" w:w="1191"/>
          </w:tcPr>
          <w:p>
            <w:pPr>
              <w:spacing w:after="20"/>
              <w:jc w:val="center"/>
            </w:pPr>
            <w:r>
              <w:rPr>
                <w:b w:val="0"/>
                <w:sz w:val="16"/>
              </w:rPr>
              <w:t>Must</w:t>
            </w:r>
          </w:p>
        </w:tc>
      </w:tr>
      <w:tr>
        <w:trPr>
          <w:cantSplit w:val="true"/>
        </w:trPr>
        <w:tc>
          <w:tcPr>
            <w:tcW w:type="dxa" w:w="794"/>
            <w:shd w:val="clear" w:color="auto" w:fill="F3F7F9"/>
          </w:tcPr>
          <w:p>
            <w:pPr>
              <w:spacing w:after="20"/>
            </w:pPr>
            <w:r>
              <w:rPr>
                <w:b w:val="0"/>
                <w:sz w:val="16"/>
              </w:rPr>
              <w:t>NFR-04</w:t>
            </w:r>
          </w:p>
        </w:tc>
        <w:tc>
          <w:tcPr>
            <w:tcW w:type="dxa" w:w="1304"/>
            <w:shd w:val="clear" w:color="auto" w:fill="F3F7F9"/>
          </w:tcPr>
          <w:p>
            <w:pPr>
              <w:spacing w:after="20"/>
            </w:pPr>
            <w:r>
              <w:rPr>
                <w:b w:val="0"/>
                <w:sz w:val="16"/>
              </w:rPr>
              <w:t>Usability</w:t>
            </w:r>
          </w:p>
        </w:tc>
        <w:tc>
          <w:tcPr>
            <w:tcW w:type="dxa" w:w="4479"/>
            <w:shd w:val="clear" w:color="auto" w:fill="F3F7F9"/>
          </w:tcPr>
          <w:p>
            <w:pPr>
              <w:spacing w:after="20"/>
            </w:pPr>
            <w:r>
              <w:rPr>
                <w:b w:val="0"/>
                <w:sz w:val="16"/>
              </w:rPr>
              <w:t>After 20 minutes of training, ≥ 90 % of nurses shall complete 5 core tasks (find patient, record allergy, enter note, view medications, view lab result) unaided at the first attempt, and register a patient in ≤ 3 min.</w:t>
            </w:r>
          </w:p>
        </w:tc>
        <w:tc>
          <w:tcPr>
            <w:tcW w:type="dxa" w:w="1871"/>
            <w:shd w:val="clear" w:color="auto" w:fill="F3F7F9"/>
          </w:tcPr>
          <w:p>
            <w:pPr>
              <w:spacing w:after="20"/>
            </w:pPr>
            <w:r>
              <w:rPr>
                <w:b w:val="0"/>
                <w:sz w:val="16"/>
              </w:rPr>
              <w:t>Usability test with ≥ 20 nurses</w:t>
            </w:r>
          </w:p>
        </w:tc>
        <w:tc>
          <w:tcPr>
            <w:tcW w:type="dxa" w:w="1191"/>
            <w:shd w:val="clear" w:color="auto" w:fill="F3F7F9"/>
          </w:tcPr>
          <w:p>
            <w:pPr>
              <w:spacing w:after="20"/>
              <w:jc w:val="center"/>
            </w:pPr>
            <w:r>
              <w:rPr>
                <w:b w:val="0"/>
                <w:sz w:val="16"/>
              </w:rPr>
              <w:t>Must</w:t>
            </w:r>
          </w:p>
        </w:tc>
      </w:tr>
      <w:tr>
        <w:trPr>
          <w:cantSplit w:val="true"/>
        </w:trPr>
        <w:tc>
          <w:tcPr>
            <w:tcW w:type="dxa" w:w="794"/>
          </w:tcPr>
          <w:p>
            <w:pPr>
              <w:spacing w:after="20"/>
            </w:pPr>
            <w:r>
              <w:rPr>
                <w:b w:val="0"/>
                <w:sz w:val="16"/>
              </w:rPr>
              <w:t>NFR-05</w:t>
            </w:r>
          </w:p>
        </w:tc>
        <w:tc>
          <w:tcPr>
            <w:tcW w:type="dxa" w:w="1304"/>
          </w:tcPr>
          <w:p>
            <w:pPr>
              <w:spacing w:after="20"/>
            </w:pPr>
            <w:r>
              <w:rPr>
                <w:b w:val="0"/>
                <w:sz w:val="16"/>
              </w:rPr>
              <w:t>Performance</w:t>
            </w:r>
          </w:p>
        </w:tc>
        <w:tc>
          <w:tcPr>
            <w:tcW w:type="dxa" w:w="4479"/>
          </w:tcPr>
          <w:p>
            <w:pPr>
              <w:spacing w:after="20"/>
            </w:pPr>
            <w:r>
              <w:rPr>
                <w:b w:val="0"/>
                <w:sz w:val="16"/>
              </w:rPr>
              <w:t>p95 patient search ≤ 2 s on ≥ 2.4 M records with 500 concurrent users (assumption A-1); allergy / interaction check p95 ≤ 1 s; screen load p95 ≤ 3 s.</w:t>
            </w:r>
          </w:p>
        </w:tc>
        <w:tc>
          <w:tcPr>
            <w:tcW w:type="dxa" w:w="1871"/>
          </w:tcPr>
          <w:p>
            <w:pPr>
              <w:spacing w:after="20"/>
            </w:pPr>
            <w:r>
              <w:rPr>
                <w:b w:val="0"/>
                <w:sz w:val="16"/>
              </w:rPr>
              <w:t>Load test</w:t>
            </w:r>
          </w:p>
        </w:tc>
        <w:tc>
          <w:tcPr>
            <w:tcW w:type="dxa" w:w="1191"/>
          </w:tcPr>
          <w:p>
            <w:pPr>
              <w:spacing w:after="20"/>
              <w:jc w:val="center"/>
            </w:pPr>
            <w:r>
              <w:rPr>
                <w:b w:val="0"/>
                <w:sz w:val="16"/>
              </w:rPr>
              <w:t>Must</w:t>
            </w:r>
          </w:p>
        </w:tc>
      </w:tr>
      <w:tr>
        <w:trPr>
          <w:cantSplit w:val="true"/>
        </w:trPr>
        <w:tc>
          <w:tcPr>
            <w:tcW w:type="dxa" w:w="794"/>
            <w:shd w:val="clear" w:color="auto" w:fill="F3F7F9"/>
          </w:tcPr>
          <w:p>
            <w:pPr>
              <w:spacing w:after="20"/>
            </w:pPr>
            <w:r>
              <w:rPr>
                <w:b w:val="0"/>
                <w:sz w:val="16"/>
              </w:rPr>
              <w:t>NFR-06</w:t>
            </w:r>
          </w:p>
        </w:tc>
        <w:tc>
          <w:tcPr>
            <w:tcW w:type="dxa" w:w="1304"/>
            <w:shd w:val="clear" w:color="auto" w:fill="F3F7F9"/>
          </w:tcPr>
          <w:p>
            <w:pPr>
              <w:spacing w:after="20"/>
            </w:pPr>
            <w:r>
              <w:rPr>
                <w:b w:val="0"/>
                <w:sz w:val="16"/>
              </w:rPr>
              <w:t>Data integrity and durability</w:t>
            </w:r>
          </w:p>
        </w:tc>
        <w:tc>
          <w:tcPr>
            <w:tcW w:type="dxa" w:w="4479"/>
            <w:shd w:val="clear" w:color="auto" w:fill="F3F7F9"/>
          </w:tcPr>
          <w:p>
            <w:pPr>
              <w:spacing w:after="20"/>
            </w:pPr>
            <w:r>
              <w:rPr>
                <w:b w:val="0"/>
                <w:sz w:val="16"/>
              </w:rPr>
              <w:t>No committed record shall be lost: recovery-point objective = 0 through synchronous replication, verified daily backups, checksums on clinical fields, no physical deletion of records, quarterly restore test.</w:t>
            </w:r>
          </w:p>
        </w:tc>
        <w:tc>
          <w:tcPr>
            <w:tcW w:type="dxa" w:w="1871"/>
            <w:shd w:val="clear" w:color="auto" w:fill="F3F7F9"/>
          </w:tcPr>
          <w:p>
            <w:pPr>
              <w:spacing w:after="20"/>
            </w:pPr>
            <w:r>
              <w:rPr>
                <w:b w:val="0"/>
                <w:sz w:val="16"/>
              </w:rPr>
              <w:t>Kill-node test; restore test</w:t>
            </w:r>
          </w:p>
        </w:tc>
        <w:tc>
          <w:tcPr>
            <w:tcW w:type="dxa" w:w="1191"/>
            <w:shd w:val="clear" w:color="auto" w:fill="F3F7F9"/>
          </w:tcPr>
          <w:p>
            <w:pPr>
              <w:spacing w:after="20"/>
              <w:jc w:val="center"/>
            </w:pPr>
            <w:r>
              <w:rPr>
                <w:b w:val="0"/>
                <w:sz w:val="16"/>
              </w:rPr>
              <w:t>Must</w:t>
            </w:r>
          </w:p>
        </w:tc>
      </w:tr>
      <w:tr>
        <w:trPr>
          <w:cantSplit w:val="true"/>
        </w:trPr>
        <w:tc>
          <w:tcPr>
            <w:tcW w:type="dxa" w:w="794"/>
          </w:tcPr>
          <w:p>
            <w:pPr>
              <w:spacing w:after="20"/>
            </w:pPr>
            <w:r>
              <w:rPr>
                <w:b w:val="0"/>
                <w:sz w:val="16"/>
              </w:rPr>
              <w:t>NFR-07</w:t>
            </w:r>
          </w:p>
        </w:tc>
        <w:tc>
          <w:tcPr>
            <w:tcW w:type="dxa" w:w="1304"/>
          </w:tcPr>
          <w:p>
            <w:pPr>
              <w:spacing w:after="20"/>
            </w:pPr>
            <w:r>
              <w:rPr>
                <w:b w:val="0"/>
                <w:sz w:val="16"/>
              </w:rPr>
              <w:t>Scalability</w:t>
            </w:r>
          </w:p>
        </w:tc>
        <w:tc>
          <w:tcPr>
            <w:tcW w:type="dxa" w:w="4479"/>
          </w:tcPr>
          <w:p>
            <w:pPr>
              <w:spacing w:after="20"/>
            </w:pPr>
            <w:r>
              <w:rPr>
                <w:b w:val="0"/>
                <w:sz w:val="16"/>
              </w:rPr>
              <w:t>The system shall serve all 27 sites and the migrated records with five years of growth without redesign; the application tier scales horizontally; database growth alarms at 70 % capacity.</w:t>
            </w:r>
          </w:p>
        </w:tc>
        <w:tc>
          <w:tcPr>
            <w:tcW w:type="dxa" w:w="1871"/>
          </w:tcPr>
          <w:p>
            <w:pPr>
              <w:spacing w:after="20"/>
            </w:pPr>
            <w:r>
              <w:rPr>
                <w:b w:val="0"/>
                <w:sz w:val="16"/>
              </w:rPr>
              <w:t>Capacity model + scale-out test</w:t>
            </w:r>
          </w:p>
        </w:tc>
        <w:tc>
          <w:tcPr>
            <w:tcW w:type="dxa" w:w="1191"/>
          </w:tcPr>
          <w:p>
            <w:pPr>
              <w:spacing w:after="20"/>
              <w:jc w:val="center"/>
            </w:pPr>
            <w:r>
              <w:rPr>
                <w:b w:val="0"/>
                <w:sz w:val="16"/>
              </w:rPr>
              <w:t>Should</w:t>
            </w:r>
          </w:p>
        </w:tc>
      </w:tr>
      <w:tr>
        <w:trPr>
          <w:cantSplit w:val="true"/>
        </w:trPr>
        <w:tc>
          <w:tcPr>
            <w:tcW w:type="dxa" w:w="794"/>
            <w:shd w:val="clear" w:color="auto" w:fill="F3F7F9"/>
          </w:tcPr>
          <w:p>
            <w:pPr>
              <w:spacing w:after="20"/>
            </w:pPr>
            <w:r>
              <w:rPr>
                <w:b w:val="0"/>
                <w:sz w:val="16"/>
              </w:rPr>
              <w:t>NFR-08</w:t>
            </w:r>
          </w:p>
        </w:tc>
        <w:tc>
          <w:tcPr>
            <w:tcW w:type="dxa" w:w="1304"/>
            <w:shd w:val="clear" w:color="auto" w:fill="F3F7F9"/>
          </w:tcPr>
          <w:p>
            <w:pPr>
              <w:spacing w:after="20"/>
            </w:pPr>
            <w:r>
              <w:rPr>
                <w:b w:val="0"/>
                <w:sz w:val="16"/>
              </w:rPr>
              <w:t>Maintainability and testability</w:t>
            </w:r>
          </w:p>
        </w:tc>
        <w:tc>
          <w:tcPr>
            <w:tcW w:type="dxa" w:w="4479"/>
            <w:shd w:val="clear" w:color="auto" w:fill="F3F7F9"/>
          </w:tcPr>
          <w:p>
            <w:pPr>
              <w:spacing w:after="20"/>
            </w:pPr>
            <w:r>
              <w:rPr>
                <w:b w:val="0"/>
                <w:sz w:val="16"/>
              </w:rPr>
              <w:t>Interaction rules and formulary limits shall be data-driven (changed without a code release); each change must pass the clinical rule packs in CI; ≥ 90 % branch coverage on safety-critical modules; a rule change deployable within 5 working days.</w:t>
            </w:r>
          </w:p>
        </w:tc>
        <w:tc>
          <w:tcPr>
            <w:tcW w:type="dxa" w:w="1871"/>
            <w:shd w:val="clear" w:color="auto" w:fill="F3F7F9"/>
          </w:tcPr>
          <w:p>
            <w:pPr>
              <w:spacing w:after="20"/>
            </w:pPr>
            <w:r>
              <w:rPr>
                <w:b w:val="0"/>
                <w:sz w:val="16"/>
              </w:rPr>
              <w:t>CI evidence; coverage report; change drill</w:t>
            </w:r>
          </w:p>
        </w:tc>
        <w:tc>
          <w:tcPr>
            <w:tcW w:type="dxa" w:w="1191"/>
            <w:shd w:val="clear" w:color="auto" w:fill="F3F7F9"/>
          </w:tcPr>
          <w:p>
            <w:pPr>
              <w:spacing w:after="20"/>
              <w:jc w:val="center"/>
            </w:pPr>
            <w:r>
              <w:rPr>
                <w:b w:val="0"/>
                <w:sz w:val="16"/>
              </w:rPr>
              <w:t>Should</w:t>
            </w:r>
          </w:p>
        </w:tc>
      </w:tr>
    </w:tbl>
    <w:p>
      <w:pPr>
        <w:spacing w:after="40"/>
      </w:pPr>
    </w:p>
    <w:p>
      <w:r>
        <w:rPr>
          <w:b/>
          <w:sz w:val="20"/>
        </w:rPr>
        <w:t>Where the availability figure comes from:</w:t>
      </w:r>
      <w:r>
        <w:rPr>
          <w:b w:val="0"/>
          <w:sz w:val="20"/>
        </w:rPr>
        <w:t xml:space="preserve"> availability = MTBF ÷ (MTBF + MTTR) = 1,400 ÷ 1,402 = </w:t>
      </w:r>
      <w:r>
        <w:rPr>
          <w:b/>
          <w:sz w:val="20"/>
        </w:rPr>
        <w:t>99.86 %</w:t>
      </w:r>
      <w:r>
        <w:rPr>
          <w:b w:val="0"/>
          <w:sz w:val="20"/>
        </w:rPr>
        <w:t>, which allows about 12.5 hours of unplanned downtime a year.</w:t>
      </w:r>
    </w:p>
    <w:p>
      <w:pPr>
        <w:pStyle w:val="Heading2"/>
      </w:pPr>
      <w:r>
        <w:t>4.3 External interface requirements</w:t>
      </w:r>
    </w:p>
    <w:tbl>
      <w:tblPr>
        <w:tblW w:type="auto" w:w="0"/>
        <w:jc w:val="center"/>
        <w:tblLayout w:type="fixed"/>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Pr>
      <w:tblGrid>
        <w:gridCol w:w="1984"/>
        <w:gridCol w:w="7654"/>
      </w:tblGrid>
      <w:tr>
        <w:trPr>
          <w:tblHeader w:val="true"/>
        </w:trPr>
        <w:tc>
          <w:tcPr>
            <w:tcW w:type="dxa" w:w="1984"/>
            <w:shd w:val="clear" w:color="auto" w:fill="1F3A5F"/>
          </w:tcPr>
          <w:p>
            <w:r/>
            <w:r>
              <w:rPr>
                <w:b/>
                <w:color w:val="FFFFFF"/>
                <w:sz w:val="18"/>
              </w:rPr>
              <w:t>Interface</w:t>
            </w:r>
          </w:p>
        </w:tc>
        <w:tc>
          <w:tcPr>
            <w:tcW w:type="dxa" w:w="7654"/>
            <w:shd w:val="clear" w:color="auto" w:fill="1F3A5F"/>
          </w:tcPr>
          <w:p>
            <w:r/>
            <w:r>
              <w:rPr>
                <w:b/>
                <w:color w:val="FFFFFF"/>
                <w:sz w:val="18"/>
              </w:rPr>
              <w:t>Requirement</w:t>
            </w:r>
          </w:p>
        </w:tc>
      </w:tr>
      <w:tr>
        <w:trPr>
          <w:cantSplit w:val="true"/>
        </w:trPr>
        <w:tc>
          <w:tcPr>
            <w:tcW w:type="dxa" w:w="1984"/>
          </w:tcPr>
          <w:p>
            <w:pPr>
              <w:spacing w:after="20"/>
            </w:pPr>
            <w:r>
              <w:rPr>
                <w:b w:val="0"/>
                <w:sz w:val="18"/>
              </w:rPr>
              <w:t>User interface</w:t>
            </w:r>
          </w:p>
        </w:tc>
        <w:tc>
          <w:tcPr>
            <w:tcW w:type="dxa" w:w="7654"/>
          </w:tcPr>
          <w:p>
            <w:pPr>
              <w:spacing w:after="20"/>
            </w:pPr>
            <w:r>
              <w:rPr>
                <w:b w:val="0"/>
                <w:sz w:val="18"/>
              </w:rPr>
              <w:t>The existing UI is used unchanged. MediTrack shall provide the REST / JSON API it expects; contract tests run in CI (risk R11).</w:t>
            </w:r>
          </w:p>
        </w:tc>
      </w:tr>
      <w:tr>
        <w:trPr>
          <w:cantSplit w:val="true"/>
        </w:trPr>
        <w:tc>
          <w:tcPr>
            <w:tcW w:type="dxa" w:w="1984"/>
            <w:shd w:val="clear" w:color="auto" w:fill="F3F7F9"/>
          </w:tcPr>
          <w:p>
            <w:pPr>
              <w:spacing w:after="20"/>
            </w:pPr>
            <w:r>
              <w:rPr>
                <w:b w:val="0"/>
                <w:sz w:val="18"/>
              </w:rPr>
              <w:t>Hardware</w:t>
            </w:r>
          </w:p>
        </w:tc>
        <w:tc>
          <w:tcPr>
            <w:tcW w:type="dxa" w:w="7654"/>
            <w:shd w:val="clear" w:color="auto" w:fill="F3F7F9"/>
          </w:tcPr>
          <w:p>
            <w:pPr>
              <w:spacing w:after="20"/>
            </w:pPr>
            <w:r>
              <w:rPr>
                <w:b w:val="0"/>
                <w:sz w:val="18"/>
              </w:rPr>
              <w:t>Barcode scanners at pharmacy and lab terminals; workstations and tablets with a current browser.</w:t>
            </w:r>
          </w:p>
        </w:tc>
      </w:tr>
      <w:tr>
        <w:trPr>
          <w:cantSplit w:val="true"/>
        </w:trPr>
        <w:tc>
          <w:tcPr>
            <w:tcW w:type="dxa" w:w="1984"/>
          </w:tcPr>
          <w:p>
            <w:pPr>
              <w:spacing w:after="20"/>
            </w:pPr>
            <w:r>
              <w:rPr>
                <w:b w:val="0"/>
                <w:sz w:val="18"/>
              </w:rPr>
              <w:t>Software – Billing</w:t>
            </w:r>
          </w:p>
        </w:tc>
        <w:tc>
          <w:tcPr>
            <w:tcW w:type="dxa" w:w="7654"/>
          </w:tcPr>
          <w:p>
            <w:pPr>
              <w:spacing w:after="20"/>
            </w:pPr>
            <w:r>
              <w:rPr>
                <w:b w:val="0"/>
                <w:sz w:val="18"/>
              </w:rPr>
              <w:t>One-way: MediTrack publishes *PrescriptionIssued* events to a message broker; the Billing module subscribes. No synchronous call and no shared tables.</w:t>
            </w:r>
          </w:p>
        </w:tc>
      </w:tr>
      <w:tr>
        <w:trPr>
          <w:cantSplit w:val="true"/>
        </w:trPr>
        <w:tc>
          <w:tcPr>
            <w:tcW w:type="dxa" w:w="1984"/>
            <w:shd w:val="clear" w:color="auto" w:fill="F3F7F9"/>
          </w:tcPr>
          <w:p>
            <w:pPr>
              <w:spacing w:after="20"/>
            </w:pPr>
            <w:r>
              <w:rPr>
                <w:b w:val="0"/>
                <w:sz w:val="18"/>
              </w:rPr>
              <w:t>Software – legacy</w:t>
            </w:r>
          </w:p>
        </w:tc>
        <w:tc>
          <w:tcPr>
            <w:tcW w:type="dxa" w:w="7654"/>
            <w:shd w:val="clear" w:color="auto" w:fill="F3F7F9"/>
          </w:tcPr>
          <w:p>
            <w:pPr>
              <w:spacing w:after="20"/>
            </w:pPr>
            <w:r>
              <w:rPr>
                <w:b w:val="0"/>
                <w:sz w:val="18"/>
              </w:rPr>
              <w:t>Read-only extracts from FoxPro, Excel files and digitised paper registers during migration only.</w:t>
            </w:r>
          </w:p>
        </w:tc>
      </w:tr>
      <w:tr>
        <w:trPr>
          <w:cantSplit w:val="true"/>
        </w:trPr>
        <w:tc>
          <w:tcPr>
            <w:tcW w:type="dxa" w:w="1984"/>
          </w:tcPr>
          <w:p>
            <w:pPr>
              <w:spacing w:after="20"/>
            </w:pPr>
            <w:r>
              <w:rPr>
                <w:b w:val="0"/>
                <w:sz w:val="18"/>
              </w:rPr>
              <w:t>Communications</w:t>
            </w:r>
          </w:p>
        </w:tc>
        <w:tc>
          <w:tcPr>
            <w:tcW w:type="dxa" w:w="7654"/>
          </w:tcPr>
          <w:p>
            <w:pPr>
              <w:spacing w:after="20"/>
            </w:pPr>
            <w:r>
              <w:rPr>
                <w:b w:val="0"/>
                <w:sz w:val="18"/>
              </w:rPr>
              <w:t>HTTPS over VPN, TLS 1.2 or higher; dual ISP at clinics.</w:t>
            </w:r>
          </w:p>
        </w:tc>
      </w:tr>
    </w:tbl>
    <w:p>
      <w:pPr>
        <w:spacing w:after="40"/>
      </w:pPr>
    </w:p>
    <w:p>
      <w:pPr>
        <w:pStyle w:val="Heading2"/>
      </w:pPr>
      <w:r>
        <w:t>4.4 Design constraints</w:t>
      </w:r>
    </w:p>
    <w:p>
      <w:pPr>
        <w:pStyle w:val="ListBullet"/>
        <w:spacing w:after="40"/>
      </w:pPr>
      <w:r>
        <w:rPr>
          <w:b w:val="0"/>
        </w:rPr>
        <w:t>Audit store is append-only and hash-chained; the application database account has no delete permission on clinical tables.</w:t>
      </w:r>
    </w:p>
    <w:p>
      <w:pPr>
        <w:pStyle w:val="ListBullet"/>
        <w:spacing w:after="40"/>
      </w:pPr>
      <w:r>
        <w:rPr>
          <w:b w:val="0"/>
        </w:rPr>
        <w:t>Clinical rules (interaction, dosage limits) are data, not code, so a change does not need a code release.</w:t>
      </w:r>
    </w:p>
    <w:p>
      <w:pPr>
        <w:pStyle w:val="ListBullet"/>
        <w:spacing w:after="40"/>
      </w:pPr>
      <w:r>
        <w:rPr>
          <w:b w:val="0"/>
        </w:rPr>
        <w:t>The prescribing module has no compile-time dependency on the Billing module.</w:t>
      </w:r>
    </w:p>
    <w:p>
      <w:pPr>
        <w:pStyle w:val="Heading1"/>
      </w:pPr>
      <w:r>
        <w:t>5. MoSCoW prioritisation</w:t>
      </w:r>
    </w:p>
    <w:tbl>
      <w:tblPr>
        <w:tblW w:type="auto" w:w="0"/>
        <w:jc w:val="center"/>
        <w:tblLayout w:type="fixed"/>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Pr>
      <w:tblGrid>
        <w:gridCol w:w="1814"/>
        <w:gridCol w:w="2721"/>
        <w:gridCol w:w="1984"/>
        <w:gridCol w:w="3118"/>
      </w:tblGrid>
      <w:tr>
        <w:trPr>
          <w:tblHeader w:val="true"/>
        </w:trPr>
        <w:tc>
          <w:tcPr>
            <w:tcW w:type="dxa" w:w="1814"/>
            <w:shd w:val="clear" w:color="auto" w:fill="1F3A5F"/>
          </w:tcPr>
          <w:p>
            <w:r/>
            <w:r>
              <w:rPr>
                <w:b/>
                <w:color w:val="FFFFFF"/>
                <w:sz w:val="17"/>
              </w:rPr>
              <w:t>Priority</w:t>
            </w:r>
          </w:p>
        </w:tc>
        <w:tc>
          <w:tcPr>
            <w:tcW w:type="dxa" w:w="2721"/>
            <w:shd w:val="clear" w:color="auto" w:fill="1F3A5F"/>
          </w:tcPr>
          <w:p>
            <w:r/>
            <w:r>
              <w:rPr>
                <w:b/>
                <w:color w:val="FFFFFF"/>
                <w:sz w:val="17"/>
              </w:rPr>
              <w:t>Functional requirements</w:t>
            </w:r>
          </w:p>
        </w:tc>
        <w:tc>
          <w:tcPr>
            <w:tcW w:type="dxa" w:w="1984"/>
            <w:shd w:val="clear" w:color="auto" w:fill="1F3A5F"/>
          </w:tcPr>
          <w:p>
            <w:r/>
            <w:r>
              <w:rPr>
                <w:b/>
                <w:color w:val="FFFFFF"/>
                <w:sz w:val="17"/>
              </w:rPr>
              <w:t>Non-functional requirements</w:t>
            </w:r>
          </w:p>
        </w:tc>
        <w:tc>
          <w:tcPr>
            <w:tcW w:type="dxa" w:w="3118"/>
            <w:shd w:val="clear" w:color="auto" w:fill="1F3A5F"/>
          </w:tcPr>
          <w:p>
            <w:r/>
            <w:r>
              <w:rPr>
                <w:b/>
                <w:color w:val="FFFFFF"/>
                <w:sz w:val="17"/>
              </w:rPr>
              <w:t>Reason</w:t>
            </w:r>
          </w:p>
        </w:tc>
      </w:tr>
      <w:tr>
        <w:trPr>
          <w:cantSplit w:val="true"/>
        </w:trPr>
        <w:tc>
          <w:tcPr>
            <w:tcW w:type="dxa" w:w="1814"/>
          </w:tcPr>
          <w:p>
            <w:pPr>
              <w:spacing w:after="20"/>
            </w:pPr>
            <w:r>
              <w:rPr>
                <w:b/>
                <w:sz w:val="17"/>
              </w:rPr>
              <w:t>Must</w:t>
            </w:r>
            <w:r>
              <w:rPr>
                <w:b w:val="0"/>
                <w:sz w:val="17"/>
              </w:rPr>
              <w:t xml:space="preserve"> (10 FR + 6 NFR)</w:t>
            </w:r>
          </w:p>
        </w:tc>
        <w:tc>
          <w:tcPr>
            <w:tcW w:type="dxa" w:w="2721"/>
          </w:tcPr>
          <w:p>
            <w:pPr>
              <w:spacing w:after="20"/>
            </w:pPr>
            <w:r>
              <w:rPr>
                <w:b w:val="0"/>
                <w:sz w:val="17"/>
              </w:rPr>
              <w:t>FR-01 to FR-08, FR-10, FR-12</w:t>
            </w:r>
          </w:p>
        </w:tc>
        <w:tc>
          <w:tcPr>
            <w:tcW w:type="dxa" w:w="1984"/>
          </w:tcPr>
          <w:p>
            <w:pPr>
              <w:spacing w:after="20"/>
            </w:pPr>
            <w:r>
              <w:rPr>
                <w:b w:val="0"/>
                <w:sz w:val="17"/>
              </w:rPr>
              <w:t>NFR-01 to NFR-06</w:t>
            </w:r>
          </w:p>
        </w:tc>
        <w:tc>
          <w:tcPr>
            <w:tcW w:type="dxa" w:w="3118"/>
          </w:tcPr>
          <w:p>
            <w:pPr>
              <w:spacing w:after="20"/>
            </w:pPr>
            <w:r>
              <w:rPr>
                <w:b w:val="0"/>
                <w:sz w:val="17"/>
              </w:rPr>
              <w:t>Without these the CMO’s conditions (never lose a record, no allergy blind spots, audit) are not met, or the system is unsafe to go live.</w:t>
            </w:r>
          </w:p>
        </w:tc>
      </w:tr>
      <w:tr>
        <w:trPr>
          <w:cantSplit w:val="true"/>
        </w:trPr>
        <w:tc>
          <w:tcPr>
            <w:tcW w:type="dxa" w:w="1814"/>
            <w:shd w:val="clear" w:color="auto" w:fill="F3F7F9"/>
          </w:tcPr>
          <w:p>
            <w:pPr>
              <w:spacing w:after="20"/>
            </w:pPr>
            <w:r>
              <w:rPr>
                <w:b/>
                <w:sz w:val="17"/>
              </w:rPr>
              <w:t>Should</w:t>
            </w:r>
            <w:r>
              <w:rPr>
                <w:b w:val="0"/>
                <w:sz w:val="17"/>
              </w:rPr>
              <w:t xml:space="preserve"> (2 FR + 2 NFR)</w:t>
            </w:r>
          </w:p>
        </w:tc>
        <w:tc>
          <w:tcPr>
            <w:tcW w:type="dxa" w:w="2721"/>
            <w:shd w:val="clear" w:color="auto" w:fill="F3F7F9"/>
          </w:tcPr>
          <w:p>
            <w:pPr>
              <w:spacing w:after="20"/>
            </w:pPr>
            <w:r>
              <w:rPr>
                <w:b w:val="0"/>
                <w:sz w:val="17"/>
              </w:rPr>
              <w:t>FR-09 Discharge summary, FR-11 Audit search / export</w:t>
            </w:r>
          </w:p>
        </w:tc>
        <w:tc>
          <w:tcPr>
            <w:tcW w:type="dxa" w:w="1984"/>
            <w:shd w:val="clear" w:color="auto" w:fill="F3F7F9"/>
          </w:tcPr>
          <w:p>
            <w:pPr>
              <w:spacing w:after="20"/>
            </w:pPr>
            <w:r>
              <w:rPr>
                <w:b w:val="0"/>
                <w:sz w:val="17"/>
              </w:rPr>
              <w:t>NFR-07 Scalability, NFR-08 Maintainability</w:t>
            </w:r>
          </w:p>
        </w:tc>
        <w:tc>
          <w:tcPr>
            <w:tcW w:type="dxa" w:w="3118"/>
            <w:shd w:val="clear" w:color="auto" w:fill="F3F7F9"/>
          </w:tcPr>
          <w:p>
            <w:pPr>
              <w:spacing w:after="20"/>
            </w:pPr>
            <w:r>
              <w:rPr>
                <w:b w:val="0"/>
                <w:sz w:val="17"/>
              </w:rPr>
              <w:t>Important and planned for release 1, but a manual fallback exists (paper template; direct database query by DBA under control) if the 18-month limit is threatened.</w:t>
            </w:r>
          </w:p>
        </w:tc>
      </w:tr>
      <w:tr>
        <w:trPr>
          <w:cantSplit w:val="true"/>
        </w:trPr>
        <w:tc>
          <w:tcPr>
            <w:tcW w:type="dxa" w:w="1814"/>
          </w:tcPr>
          <w:p>
            <w:pPr>
              <w:spacing w:after="20"/>
            </w:pPr>
            <w:r>
              <w:rPr>
                <w:b/>
                <w:sz w:val="17"/>
              </w:rPr>
              <w:t>Could</w:t>
            </w:r>
          </w:p>
        </w:tc>
        <w:tc>
          <w:tcPr>
            <w:tcW w:type="dxa" w:w="2721"/>
          </w:tcPr>
          <w:p>
            <w:pPr>
              <w:spacing w:after="20"/>
            </w:pPr>
            <w:r>
              <w:rPr>
                <w:b w:val="0"/>
                <w:sz w:val="17"/>
              </w:rPr>
              <w:t>C-01 management dashboards; C-02 SMS appointment reminders; C-03 voice dictation of notes</w:t>
            </w:r>
          </w:p>
        </w:tc>
        <w:tc>
          <w:tcPr>
            <w:tcW w:type="dxa" w:w="1984"/>
          </w:tcPr>
          <w:p>
            <w:pPr>
              <w:spacing w:after="20"/>
            </w:pPr>
            <w:r>
              <w:rPr>
                <w:b w:val="0"/>
                <w:sz w:val="17"/>
              </w:rPr>
              <w:t>–</w:t>
            </w:r>
          </w:p>
        </w:tc>
        <w:tc>
          <w:tcPr>
            <w:tcW w:type="dxa" w:w="3118"/>
          </w:tcPr>
          <w:p>
            <w:pPr>
              <w:spacing w:after="20"/>
            </w:pPr>
            <w:r>
              <w:rPr>
                <w:b w:val="0"/>
                <w:sz w:val="17"/>
              </w:rPr>
              <w:t>Nice to have; drop first if the schedule slips.</w:t>
            </w:r>
          </w:p>
        </w:tc>
      </w:tr>
      <w:tr>
        <w:trPr>
          <w:cantSplit w:val="true"/>
        </w:trPr>
        <w:tc>
          <w:tcPr>
            <w:tcW w:type="dxa" w:w="1814"/>
            <w:shd w:val="clear" w:color="auto" w:fill="F3F7F9"/>
          </w:tcPr>
          <w:p>
            <w:pPr>
              <w:spacing w:after="20"/>
            </w:pPr>
            <w:r>
              <w:rPr>
                <w:b/>
                <w:sz w:val="17"/>
              </w:rPr>
              <w:t>Won’t</w:t>
            </w:r>
            <w:r>
              <w:rPr>
                <w:b w:val="0"/>
                <w:sz w:val="17"/>
              </w:rPr>
              <w:t xml:space="preserve"> (this release)</w:t>
            </w:r>
          </w:p>
        </w:tc>
        <w:tc>
          <w:tcPr>
            <w:tcW w:type="dxa" w:w="2721"/>
            <w:shd w:val="clear" w:color="auto" w:fill="F3F7F9"/>
          </w:tcPr>
          <w:p>
            <w:pPr>
              <w:spacing w:after="20"/>
            </w:pPr>
            <w:r>
              <w:rPr>
                <w:b w:val="0"/>
                <w:sz w:val="17"/>
              </w:rPr>
              <w:t>W-01 patient portal; W-02 national health-ID integration; W-03 telemedicine; W-04 AI-assisted diagnosis</w:t>
            </w:r>
          </w:p>
        </w:tc>
        <w:tc>
          <w:tcPr>
            <w:tcW w:type="dxa" w:w="1984"/>
            <w:shd w:val="clear" w:color="auto" w:fill="F3F7F9"/>
          </w:tcPr>
          <w:p>
            <w:pPr>
              <w:spacing w:after="20"/>
            </w:pPr>
            <w:r>
              <w:rPr>
                <w:b w:val="0"/>
                <w:sz w:val="17"/>
              </w:rPr>
              <w:t>–</w:t>
            </w:r>
          </w:p>
        </w:tc>
        <w:tc>
          <w:tcPr>
            <w:tcW w:type="dxa" w:w="3118"/>
            <w:shd w:val="clear" w:color="auto" w:fill="F3F7F9"/>
          </w:tcPr>
          <w:p>
            <w:pPr>
              <w:spacing w:after="20"/>
            </w:pPr>
            <w:r>
              <w:rPr>
                <w:b w:val="0"/>
                <w:sz w:val="17"/>
              </w:rPr>
              <w:t>Explicitly excluded to protect the 18-month limit; documented so that nobody assumes them.</w:t>
            </w:r>
          </w:p>
        </w:tc>
      </w:tr>
    </w:tbl>
    <w:p>
      <w:pPr>
        <w:spacing w:after="40"/>
      </w:pPr>
    </w:p>
    <w:p>
      <w:r>
        <w:rPr>
          <w:b/>
          <w:sz w:val="20"/>
        </w:rPr>
        <w:t>Scope-control rule:</w:t>
      </w:r>
      <w:r>
        <w:rPr>
          <w:b w:val="0"/>
          <w:sz w:val="20"/>
        </w:rPr>
        <w:t xml:space="preserve"> if the schedule reserve is consumed, work is dropped in the order Could → Should → never a Must.</w:t>
      </w:r>
    </w:p>
    <w:p>
      <w:pPr>
        <w:pStyle w:val="Heading1"/>
      </w:pPr>
      <w:r>
        <w:t>6. Traceability matrix</w:t>
      </w:r>
    </w:p>
    <w:p>
      <w:r>
        <w:rPr>
          <w:b w:val="0"/>
        </w:rPr>
        <w:t>Every functional and non-functional requirement is linked to the UML elements that realise it and to the test cases that prove it (test cases are defined in the Test Plan &amp; Evidence document). TC-047 (the 310-incident replay pack) additionally covers FR-03, FR-05, FR-06 and FR-12.</w:t>
      </w:r>
    </w:p>
    <w:tbl>
      <w:tblPr>
        <w:tblW w:type="auto" w:w="0"/>
        <w:jc w:val="center"/>
        <w:tblLayout w:type="fixed"/>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Pr>
      <w:tblGrid>
        <w:gridCol w:w="907"/>
        <w:gridCol w:w="907"/>
        <w:gridCol w:w="4706"/>
        <w:gridCol w:w="3118"/>
      </w:tblGrid>
      <w:tr>
        <w:trPr>
          <w:tblHeader w:val="true"/>
        </w:trPr>
        <w:tc>
          <w:tcPr>
            <w:tcW w:type="dxa" w:w="907"/>
            <w:shd w:val="clear" w:color="auto" w:fill="1F3A5F"/>
          </w:tcPr>
          <w:p>
            <w:r/>
            <w:r>
              <w:rPr>
                <w:b/>
                <w:color w:val="FFFFFF"/>
                <w:sz w:val="17"/>
              </w:rPr>
              <w:t>Req.</w:t>
            </w:r>
          </w:p>
        </w:tc>
        <w:tc>
          <w:tcPr>
            <w:tcW w:type="dxa" w:w="907"/>
            <w:shd w:val="clear" w:color="auto" w:fill="1F3A5F"/>
          </w:tcPr>
          <w:p>
            <w:r/>
            <w:r>
              <w:rPr>
                <w:b/>
                <w:color w:val="FFFFFF"/>
                <w:sz w:val="17"/>
              </w:rPr>
              <w:t>Priority</w:t>
            </w:r>
          </w:p>
        </w:tc>
        <w:tc>
          <w:tcPr>
            <w:tcW w:type="dxa" w:w="4706"/>
            <w:shd w:val="clear" w:color="auto" w:fill="1F3A5F"/>
          </w:tcPr>
          <w:p>
            <w:r/>
            <w:r>
              <w:rPr>
                <w:b/>
                <w:color w:val="FFFFFF"/>
                <w:sz w:val="17"/>
              </w:rPr>
              <w:t>UML realisation</w:t>
            </w:r>
          </w:p>
        </w:tc>
        <w:tc>
          <w:tcPr>
            <w:tcW w:type="dxa" w:w="3118"/>
            <w:shd w:val="clear" w:color="auto" w:fill="1F3A5F"/>
          </w:tcPr>
          <w:p>
            <w:r/>
            <w:r>
              <w:rPr>
                <w:b/>
                <w:color w:val="FFFFFF"/>
                <w:sz w:val="17"/>
              </w:rPr>
              <w:t>Test case(s)</w:t>
            </w:r>
          </w:p>
        </w:tc>
      </w:tr>
      <w:tr>
        <w:trPr>
          <w:cantSplit w:val="true"/>
        </w:trPr>
        <w:tc>
          <w:tcPr>
            <w:tcW w:type="dxa" w:w="907"/>
          </w:tcPr>
          <w:p>
            <w:pPr>
              <w:spacing w:after="20"/>
            </w:pPr>
            <w:r>
              <w:rPr>
                <w:b w:val="0"/>
                <w:sz w:val="17"/>
              </w:rPr>
              <w:t>FR-01</w:t>
            </w:r>
          </w:p>
        </w:tc>
        <w:tc>
          <w:tcPr>
            <w:tcW w:type="dxa" w:w="907"/>
          </w:tcPr>
          <w:p>
            <w:pPr>
              <w:spacing w:after="20"/>
              <w:jc w:val="center"/>
            </w:pPr>
            <w:r>
              <w:rPr>
                <w:b w:val="0"/>
                <w:sz w:val="17"/>
              </w:rPr>
              <w:t>Must</w:t>
            </w:r>
          </w:p>
        </w:tc>
        <w:tc>
          <w:tcPr>
            <w:tcW w:type="dxa" w:w="4706"/>
          </w:tcPr>
          <w:p>
            <w:pPr>
              <w:spacing w:after="20"/>
            </w:pPr>
            <w:r>
              <w:rPr>
                <w:b w:val="0"/>
                <w:sz w:val="17"/>
              </w:rPr>
              <w:t>UC: Register Patient · Class: Patient · Fig. UML-4</w:t>
            </w:r>
          </w:p>
        </w:tc>
        <w:tc>
          <w:tcPr>
            <w:tcW w:type="dxa" w:w="3118"/>
          </w:tcPr>
          <w:p>
            <w:pPr>
              <w:spacing w:after="20"/>
            </w:pPr>
            <w:r>
              <w:rPr>
                <w:b w:val="0"/>
                <w:sz w:val="17"/>
              </w:rPr>
              <w:t>TC-001, TC-002</w:t>
            </w:r>
          </w:p>
        </w:tc>
      </w:tr>
      <w:tr>
        <w:trPr>
          <w:cantSplit w:val="true"/>
        </w:trPr>
        <w:tc>
          <w:tcPr>
            <w:tcW w:type="dxa" w:w="907"/>
            <w:shd w:val="clear" w:color="auto" w:fill="F3F7F9"/>
          </w:tcPr>
          <w:p>
            <w:pPr>
              <w:spacing w:after="20"/>
            </w:pPr>
            <w:r>
              <w:rPr>
                <w:b w:val="0"/>
                <w:sz w:val="17"/>
              </w:rPr>
              <w:t>FR-02</w:t>
            </w:r>
          </w:p>
        </w:tc>
        <w:tc>
          <w:tcPr>
            <w:tcW w:type="dxa" w:w="907"/>
            <w:shd w:val="clear" w:color="auto" w:fill="F3F7F9"/>
          </w:tcPr>
          <w:p>
            <w:pPr>
              <w:spacing w:after="20"/>
              <w:jc w:val="center"/>
            </w:pPr>
            <w:r>
              <w:rPr>
                <w:b w:val="0"/>
                <w:sz w:val="17"/>
              </w:rPr>
              <w:t>Must</w:t>
            </w:r>
          </w:p>
        </w:tc>
        <w:tc>
          <w:tcPr>
            <w:tcW w:type="dxa" w:w="4706"/>
            <w:shd w:val="clear" w:color="auto" w:fill="F3F7F9"/>
          </w:tcPr>
          <w:p>
            <w:pPr>
              <w:spacing w:after="20"/>
            </w:pPr>
            <w:r>
              <w:rPr>
                <w:b w:val="0"/>
                <w:sz w:val="17"/>
              </w:rPr>
              <w:t>UC: Search Patient Across Sites · Class: Patient, Encounter</w:t>
            </w:r>
          </w:p>
        </w:tc>
        <w:tc>
          <w:tcPr>
            <w:tcW w:type="dxa" w:w="3118"/>
            <w:shd w:val="clear" w:color="auto" w:fill="F3F7F9"/>
          </w:tcPr>
          <w:p>
            <w:pPr>
              <w:spacing w:after="20"/>
            </w:pPr>
            <w:r>
              <w:rPr>
                <w:b w:val="0"/>
                <w:sz w:val="17"/>
              </w:rPr>
              <w:t>TC-003, TC-004</w:t>
            </w:r>
          </w:p>
        </w:tc>
      </w:tr>
      <w:tr>
        <w:trPr>
          <w:cantSplit w:val="true"/>
        </w:trPr>
        <w:tc>
          <w:tcPr>
            <w:tcW w:type="dxa" w:w="907"/>
          </w:tcPr>
          <w:p>
            <w:pPr>
              <w:spacing w:after="20"/>
            </w:pPr>
            <w:r>
              <w:rPr>
                <w:b w:val="0"/>
                <w:sz w:val="17"/>
              </w:rPr>
              <w:t>FR-03</w:t>
            </w:r>
          </w:p>
        </w:tc>
        <w:tc>
          <w:tcPr>
            <w:tcW w:type="dxa" w:w="907"/>
          </w:tcPr>
          <w:p>
            <w:pPr>
              <w:spacing w:after="20"/>
              <w:jc w:val="center"/>
            </w:pPr>
            <w:r>
              <w:rPr>
                <w:b w:val="0"/>
                <w:sz w:val="17"/>
              </w:rPr>
              <w:t>Must</w:t>
            </w:r>
          </w:p>
        </w:tc>
        <w:tc>
          <w:tcPr>
            <w:tcW w:type="dxa" w:w="4706"/>
          </w:tcPr>
          <w:p>
            <w:pPr>
              <w:spacing w:after="20"/>
            </w:pPr>
            <w:r>
              <w:rPr>
                <w:b w:val="0"/>
                <w:sz w:val="17"/>
              </w:rPr>
              <w:t>UC: Record Allergies &amp; Adverse Reactions · Class: AllergyRecord, Patient.allergyStatus</w:t>
            </w:r>
          </w:p>
        </w:tc>
        <w:tc>
          <w:tcPr>
            <w:tcW w:type="dxa" w:w="3118"/>
          </w:tcPr>
          <w:p>
            <w:pPr>
              <w:spacing w:after="20"/>
            </w:pPr>
            <w:r>
              <w:rPr>
                <w:b w:val="0"/>
                <w:sz w:val="17"/>
              </w:rPr>
              <w:t>TC-004, TC-005, TC-006, TC-047</w:t>
            </w:r>
          </w:p>
        </w:tc>
      </w:tr>
      <w:tr>
        <w:trPr>
          <w:cantSplit w:val="true"/>
        </w:trPr>
        <w:tc>
          <w:tcPr>
            <w:tcW w:type="dxa" w:w="907"/>
            <w:shd w:val="clear" w:color="auto" w:fill="F3F7F9"/>
          </w:tcPr>
          <w:p>
            <w:pPr>
              <w:spacing w:after="20"/>
            </w:pPr>
            <w:r>
              <w:rPr>
                <w:b w:val="0"/>
                <w:sz w:val="17"/>
              </w:rPr>
              <w:t>FR-04</w:t>
            </w:r>
          </w:p>
        </w:tc>
        <w:tc>
          <w:tcPr>
            <w:tcW w:type="dxa" w:w="907"/>
            <w:shd w:val="clear" w:color="auto" w:fill="F3F7F9"/>
          </w:tcPr>
          <w:p>
            <w:pPr>
              <w:spacing w:after="20"/>
              <w:jc w:val="center"/>
            </w:pPr>
            <w:r>
              <w:rPr>
                <w:b w:val="0"/>
                <w:sz w:val="17"/>
              </w:rPr>
              <w:t>Must</w:t>
            </w:r>
          </w:p>
        </w:tc>
        <w:tc>
          <w:tcPr>
            <w:tcW w:type="dxa" w:w="4706"/>
            <w:shd w:val="clear" w:color="auto" w:fill="F3F7F9"/>
          </w:tcPr>
          <w:p>
            <w:pPr>
              <w:spacing w:after="20"/>
            </w:pPr>
            <w:r>
              <w:rPr>
                <w:b w:val="0"/>
                <w:sz w:val="17"/>
              </w:rPr>
              <w:t>UC: Record Clinical Notes · Class: Encounter, ClinicalNote</w:t>
            </w:r>
          </w:p>
        </w:tc>
        <w:tc>
          <w:tcPr>
            <w:tcW w:type="dxa" w:w="3118"/>
            <w:shd w:val="clear" w:color="auto" w:fill="F3F7F9"/>
          </w:tcPr>
          <w:p>
            <w:pPr>
              <w:spacing w:after="20"/>
            </w:pPr>
            <w:r>
              <w:rPr>
                <w:b w:val="0"/>
                <w:sz w:val="17"/>
              </w:rPr>
              <w:t>TC-007, TC-008</w:t>
            </w:r>
          </w:p>
        </w:tc>
      </w:tr>
      <w:tr>
        <w:trPr>
          <w:cantSplit w:val="true"/>
        </w:trPr>
        <w:tc>
          <w:tcPr>
            <w:tcW w:type="dxa" w:w="907"/>
          </w:tcPr>
          <w:p>
            <w:pPr>
              <w:spacing w:after="20"/>
            </w:pPr>
            <w:r>
              <w:rPr>
                <w:b w:val="0"/>
                <w:sz w:val="17"/>
              </w:rPr>
              <w:t>FR-05</w:t>
            </w:r>
          </w:p>
        </w:tc>
        <w:tc>
          <w:tcPr>
            <w:tcW w:type="dxa" w:w="907"/>
          </w:tcPr>
          <w:p>
            <w:pPr>
              <w:spacing w:after="20"/>
              <w:jc w:val="center"/>
            </w:pPr>
            <w:r>
              <w:rPr>
                <w:b w:val="0"/>
                <w:sz w:val="17"/>
              </w:rPr>
              <w:t>Must</w:t>
            </w:r>
          </w:p>
        </w:tc>
        <w:tc>
          <w:tcPr>
            <w:tcW w:type="dxa" w:w="4706"/>
          </w:tcPr>
          <w:p>
            <w:pPr>
              <w:spacing w:after="20"/>
            </w:pPr>
            <w:r>
              <w:rPr>
                <w:b w:val="0"/>
                <w:sz w:val="17"/>
              </w:rPr>
              <w:t>UC: Prescribe Drug · Class: Prescription, PrescriptionItem, Drug · Fig. UML-3</w:t>
            </w:r>
          </w:p>
        </w:tc>
        <w:tc>
          <w:tcPr>
            <w:tcW w:type="dxa" w:w="3118"/>
          </w:tcPr>
          <w:p>
            <w:pPr>
              <w:spacing w:after="20"/>
            </w:pPr>
            <w:r>
              <w:rPr>
                <w:b w:val="0"/>
                <w:sz w:val="17"/>
              </w:rPr>
              <w:t>TC-009, TC-010, TC-011, TC-012, TC-047</w:t>
            </w:r>
          </w:p>
        </w:tc>
      </w:tr>
      <w:tr>
        <w:trPr>
          <w:cantSplit w:val="true"/>
        </w:trPr>
        <w:tc>
          <w:tcPr>
            <w:tcW w:type="dxa" w:w="907"/>
            <w:shd w:val="clear" w:color="auto" w:fill="F3F7F9"/>
          </w:tcPr>
          <w:p>
            <w:pPr>
              <w:spacing w:after="20"/>
            </w:pPr>
            <w:r>
              <w:rPr>
                <w:b w:val="0"/>
                <w:sz w:val="17"/>
              </w:rPr>
              <w:t>FR-06</w:t>
            </w:r>
          </w:p>
        </w:tc>
        <w:tc>
          <w:tcPr>
            <w:tcW w:type="dxa" w:w="907"/>
            <w:shd w:val="clear" w:color="auto" w:fill="F3F7F9"/>
          </w:tcPr>
          <w:p>
            <w:pPr>
              <w:spacing w:after="20"/>
              <w:jc w:val="center"/>
            </w:pPr>
            <w:r>
              <w:rPr>
                <w:b w:val="0"/>
                <w:sz w:val="17"/>
              </w:rPr>
              <w:t>Must</w:t>
            </w:r>
          </w:p>
        </w:tc>
        <w:tc>
          <w:tcPr>
            <w:tcW w:type="dxa" w:w="4706"/>
            <w:shd w:val="clear" w:color="auto" w:fill="F3F7F9"/>
          </w:tcPr>
          <w:p>
            <w:pPr>
              <w:spacing w:after="20"/>
            </w:pPr>
            <w:r>
              <w:rPr>
                <w:b w:val="0"/>
                <w:sz w:val="17"/>
              </w:rPr>
              <w:t>UC: Check Allergy &amp; Interactions, Override Alert · Class: InteractionChecker, RuleBasedChecker, InteractionRule · Fig. UML-3</w:t>
            </w:r>
          </w:p>
        </w:tc>
        <w:tc>
          <w:tcPr>
            <w:tcW w:type="dxa" w:w="3118"/>
            <w:shd w:val="clear" w:color="auto" w:fill="F3F7F9"/>
          </w:tcPr>
          <w:p>
            <w:pPr>
              <w:spacing w:after="20"/>
            </w:pPr>
            <w:r>
              <w:rPr>
                <w:b w:val="0"/>
                <w:sz w:val="17"/>
              </w:rPr>
              <w:t>TC-013 to TC-020, TC-047</w:t>
            </w:r>
          </w:p>
        </w:tc>
      </w:tr>
      <w:tr>
        <w:trPr>
          <w:cantSplit w:val="true"/>
        </w:trPr>
        <w:tc>
          <w:tcPr>
            <w:tcW w:type="dxa" w:w="907"/>
          </w:tcPr>
          <w:p>
            <w:pPr>
              <w:spacing w:after="20"/>
            </w:pPr>
            <w:r>
              <w:rPr>
                <w:b w:val="0"/>
                <w:sz w:val="17"/>
              </w:rPr>
              <w:t>FR-07</w:t>
            </w:r>
          </w:p>
        </w:tc>
        <w:tc>
          <w:tcPr>
            <w:tcW w:type="dxa" w:w="907"/>
          </w:tcPr>
          <w:p>
            <w:pPr>
              <w:spacing w:after="20"/>
              <w:jc w:val="center"/>
            </w:pPr>
            <w:r>
              <w:rPr>
                <w:b w:val="0"/>
                <w:sz w:val="17"/>
              </w:rPr>
              <w:t>Must</w:t>
            </w:r>
          </w:p>
        </w:tc>
        <w:tc>
          <w:tcPr>
            <w:tcW w:type="dxa" w:w="4706"/>
          </w:tcPr>
          <w:p>
            <w:pPr>
              <w:spacing w:after="20"/>
            </w:pPr>
            <w:r>
              <w:rPr>
                <w:b w:val="0"/>
                <w:sz w:val="17"/>
              </w:rPr>
              <w:t>UC: Order Lab Test / View Results, Record Lab Result · Class: LabOrder, LabResult</w:t>
            </w:r>
          </w:p>
        </w:tc>
        <w:tc>
          <w:tcPr>
            <w:tcW w:type="dxa" w:w="3118"/>
          </w:tcPr>
          <w:p>
            <w:pPr>
              <w:spacing w:after="20"/>
            </w:pPr>
            <w:r>
              <w:rPr>
                <w:b w:val="0"/>
                <w:sz w:val="17"/>
              </w:rPr>
              <w:t>TC-021, TC-022</w:t>
            </w:r>
          </w:p>
        </w:tc>
      </w:tr>
      <w:tr>
        <w:trPr>
          <w:cantSplit w:val="true"/>
        </w:trPr>
        <w:tc>
          <w:tcPr>
            <w:tcW w:type="dxa" w:w="907"/>
            <w:shd w:val="clear" w:color="auto" w:fill="F3F7F9"/>
          </w:tcPr>
          <w:p>
            <w:pPr>
              <w:spacing w:after="20"/>
            </w:pPr>
            <w:r>
              <w:rPr>
                <w:b w:val="0"/>
                <w:sz w:val="17"/>
              </w:rPr>
              <w:t>FR-08</w:t>
            </w:r>
          </w:p>
        </w:tc>
        <w:tc>
          <w:tcPr>
            <w:tcW w:type="dxa" w:w="907"/>
            <w:shd w:val="clear" w:color="auto" w:fill="F3F7F9"/>
          </w:tcPr>
          <w:p>
            <w:pPr>
              <w:spacing w:after="20"/>
              <w:jc w:val="center"/>
            </w:pPr>
            <w:r>
              <w:rPr>
                <w:b w:val="0"/>
                <w:sz w:val="17"/>
              </w:rPr>
              <w:t>Must</w:t>
            </w:r>
          </w:p>
        </w:tc>
        <w:tc>
          <w:tcPr>
            <w:tcW w:type="dxa" w:w="4706"/>
            <w:shd w:val="clear" w:color="auto" w:fill="F3F7F9"/>
          </w:tcPr>
          <w:p>
            <w:pPr>
              <w:spacing w:after="20"/>
            </w:pPr>
            <w:r>
              <w:rPr>
                <w:b w:val="0"/>
                <w:sz w:val="17"/>
              </w:rPr>
              <w:t>UC: Dispense Medication · Class: DispenseRecord</w:t>
            </w:r>
          </w:p>
        </w:tc>
        <w:tc>
          <w:tcPr>
            <w:tcW w:type="dxa" w:w="3118"/>
            <w:shd w:val="clear" w:color="auto" w:fill="F3F7F9"/>
          </w:tcPr>
          <w:p>
            <w:pPr>
              <w:spacing w:after="20"/>
            </w:pPr>
            <w:r>
              <w:rPr>
                <w:b w:val="0"/>
                <w:sz w:val="17"/>
              </w:rPr>
              <w:t>TC-023, TC-024</w:t>
            </w:r>
          </w:p>
        </w:tc>
      </w:tr>
      <w:tr>
        <w:trPr>
          <w:cantSplit w:val="true"/>
        </w:trPr>
        <w:tc>
          <w:tcPr>
            <w:tcW w:type="dxa" w:w="907"/>
          </w:tcPr>
          <w:p>
            <w:pPr>
              <w:spacing w:after="20"/>
            </w:pPr>
            <w:r>
              <w:rPr>
                <w:b w:val="0"/>
                <w:sz w:val="17"/>
              </w:rPr>
              <w:t>FR-09</w:t>
            </w:r>
          </w:p>
        </w:tc>
        <w:tc>
          <w:tcPr>
            <w:tcW w:type="dxa" w:w="907"/>
          </w:tcPr>
          <w:p>
            <w:pPr>
              <w:spacing w:after="20"/>
              <w:jc w:val="center"/>
            </w:pPr>
            <w:r>
              <w:rPr>
                <w:b w:val="0"/>
                <w:sz w:val="17"/>
              </w:rPr>
              <w:t>Should</w:t>
            </w:r>
          </w:p>
        </w:tc>
        <w:tc>
          <w:tcPr>
            <w:tcW w:type="dxa" w:w="4706"/>
          </w:tcPr>
          <w:p>
            <w:pPr>
              <w:spacing w:after="20"/>
            </w:pPr>
            <w:r>
              <w:rPr>
                <w:b w:val="0"/>
                <w:sz w:val="17"/>
              </w:rPr>
              <w:t>UC: Generate Discharge Summary · Class: DischargeSummary · Fig. UML-4</w:t>
            </w:r>
          </w:p>
        </w:tc>
        <w:tc>
          <w:tcPr>
            <w:tcW w:type="dxa" w:w="3118"/>
          </w:tcPr>
          <w:p>
            <w:pPr>
              <w:spacing w:after="20"/>
            </w:pPr>
            <w:r>
              <w:rPr>
                <w:b w:val="0"/>
                <w:sz w:val="17"/>
              </w:rPr>
              <w:t>TC-025</w:t>
            </w:r>
          </w:p>
        </w:tc>
      </w:tr>
      <w:tr>
        <w:trPr>
          <w:cantSplit w:val="true"/>
        </w:trPr>
        <w:tc>
          <w:tcPr>
            <w:tcW w:type="dxa" w:w="907"/>
            <w:shd w:val="clear" w:color="auto" w:fill="F3F7F9"/>
          </w:tcPr>
          <w:p>
            <w:pPr>
              <w:spacing w:after="20"/>
            </w:pPr>
            <w:r>
              <w:rPr>
                <w:b w:val="0"/>
                <w:sz w:val="17"/>
              </w:rPr>
              <w:t>FR-10</w:t>
            </w:r>
          </w:p>
        </w:tc>
        <w:tc>
          <w:tcPr>
            <w:tcW w:type="dxa" w:w="907"/>
            <w:shd w:val="clear" w:color="auto" w:fill="F3F7F9"/>
          </w:tcPr>
          <w:p>
            <w:pPr>
              <w:spacing w:after="20"/>
              <w:jc w:val="center"/>
            </w:pPr>
            <w:r>
              <w:rPr>
                <w:b w:val="0"/>
                <w:sz w:val="17"/>
              </w:rPr>
              <w:t>Must</w:t>
            </w:r>
          </w:p>
        </w:tc>
        <w:tc>
          <w:tcPr>
            <w:tcW w:type="dxa" w:w="4706"/>
            <w:shd w:val="clear" w:color="auto" w:fill="F3F7F9"/>
          </w:tcPr>
          <w:p>
            <w:pPr>
              <w:spacing w:after="20"/>
            </w:pPr>
            <w:r>
              <w:rPr>
                <w:b w:val="0"/>
                <w:sz w:val="17"/>
              </w:rPr>
              <w:t>UC: Manage Users &amp; Roles · Class: StaffUser</w:t>
            </w:r>
          </w:p>
        </w:tc>
        <w:tc>
          <w:tcPr>
            <w:tcW w:type="dxa" w:w="3118"/>
            <w:shd w:val="clear" w:color="auto" w:fill="F3F7F9"/>
          </w:tcPr>
          <w:p>
            <w:pPr>
              <w:spacing w:after="20"/>
            </w:pPr>
            <w:r>
              <w:rPr>
                <w:b w:val="0"/>
                <w:sz w:val="17"/>
              </w:rPr>
              <w:t>TC-026, TC-027</w:t>
            </w:r>
          </w:p>
        </w:tc>
      </w:tr>
      <w:tr>
        <w:trPr>
          <w:cantSplit w:val="true"/>
        </w:trPr>
        <w:tc>
          <w:tcPr>
            <w:tcW w:type="dxa" w:w="907"/>
          </w:tcPr>
          <w:p>
            <w:pPr>
              <w:spacing w:after="20"/>
            </w:pPr>
            <w:r>
              <w:rPr>
                <w:b w:val="0"/>
                <w:sz w:val="17"/>
              </w:rPr>
              <w:t>FR-11</w:t>
            </w:r>
          </w:p>
        </w:tc>
        <w:tc>
          <w:tcPr>
            <w:tcW w:type="dxa" w:w="907"/>
          </w:tcPr>
          <w:p>
            <w:pPr>
              <w:spacing w:after="20"/>
              <w:jc w:val="center"/>
            </w:pPr>
            <w:r>
              <w:rPr>
                <w:b w:val="0"/>
                <w:sz w:val="17"/>
              </w:rPr>
              <w:t>Should</w:t>
            </w:r>
          </w:p>
        </w:tc>
        <w:tc>
          <w:tcPr>
            <w:tcW w:type="dxa" w:w="4706"/>
          </w:tcPr>
          <w:p>
            <w:pPr>
              <w:spacing w:after="20"/>
            </w:pPr>
            <w:r>
              <w:rPr>
                <w:b w:val="0"/>
                <w:sz w:val="17"/>
              </w:rPr>
              <w:t>UC: View / Export Audit Trail · Class: AuditEntry</w:t>
            </w:r>
          </w:p>
        </w:tc>
        <w:tc>
          <w:tcPr>
            <w:tcW w:type="dxa" w:w="3118"/>
          </w:tcPr>
          <w:p>
            <w:pPr>
              <w:spacing w:after="20"/>
            </w:pPr>
            <w:r>
              <w:rPr>
                <w:b w:val="0"/>
                <w:sz w:val="17"/>
              </w:rPr>
              <w:t>TC-028, TC-029</w:t>
            </w:r>
          </w:p>
        </w:tc>
      </w:tr>
      <w:tr>
        <w:trPr>
          <w:cantSplit w:val="true"/>
        </w:trPr>
        <w:tc>
          <w:tcPr>
            <w:tcW w:type="dxa" w:w="907"/>
            <w:shd w:val="clear" w:color="auto" w:fill="F3F7F9"/>
          </w:tcPr>
          <w:p>
            <w:pPr>
              <w:spacing w:after="20"/>
            </w:pPr>
            <w:r>
              <w:rPr>
                <w:b w:val="0"/>
                <w:sz w:val="17"/>
              </w:rPr>
              <w:t>FR-12</w:t>
            </w:r>
          </w:p>
        </w:tc>
        <w:tc>
          <w:tcPr>
            <w:tcW w:type="dxa" w:w="907"/>
            <w:shd w:val="clear" w:color="auto" w:fill="F3F7F9"/>
          </w:tcPr>
          <w:p>
            <w:pPr>
              <w:spacing w:after="20"/>
              <w:jc w:val="center"/>
            </w:pPr>
            <w:r>
              <w:rPr>
                <w:b w:val="0"/>
                <w:sz w:val="17"/>
              </w:rPr>
              <w:t>Must</w:t>
            </w:r>
          </w:p>
        </w:tc>
        <w:tc>
          <w:tcPr>
            <w:tcW w:type="dxa" w:w="4706"/>
            <w:shd w:val="clear" w:color="auto" w:fill="F3F7F9"/>
          </w:tcPr>
          <w:p>
            <w:pPr>
              <w:spacing w:after="20"/>
            </w:pPr>
            <w:r>
              <w:rPr>
                <w:b w:val="0"/>
                <w:sz w:val="17"/>
              </w:rPr>
              <w:t>UC: Migrate Legacy Records, Resolve Duplicate / Malformed Records · Fig. UML-5 (migration zone)</w:t>
            </w:r>
          </w:p>
        </w:tc>
        <w:tc>
          <w:tcPr>
            <w:tcW w:type="dxa" w:w="3118"/>
            <w:shd w:val="clear" w:color="auto" w:fill="F3F7F9"/>
          </w:tcPr>
          <w:p>
            <w:pPr>
              <w:spacing w:after="20"/>
            </w:pPr>
            <w:r>
              <w:rPr>
                <w:b w:val="0"/>
                <w:sz w:val="17"/>
              </w:rPr>
              <w:t>TC-030 to TC-039, TC-047</w:t>
            </w:r>
          </w:p>
        </w:tc>
      </w:tr>
      <w:tr>
        <w:trPr>
          <w:cantSplit w:val="true"/>
        </w:trPr>
        <w:tc>
          <w:tcPr>
            <w:tcW w:type="dxa" w:w="907"/>
          </w:tcPr>
          <w:p>
            <w:pPr>
              <w:spacing w:after="20"/>
            </w:pPr>
            <w:r>
              <w:rPr>
                <w:b w:val="0"/>
                <w:sz w:val="17"/>
              </w:rPr>
              <w:t>NFR-01</w:t>
            </w:r>
          </w:p>
        </w:tc>
        <w:tc>
          <w:tcPr>
            <w:tcW w:type="dxa" w:w="907"/>
          </w:tcPr>
          <w:p>
            <w:pPr>
              <w:spacing w:after="20"/>
              <w:jc w:val="center"/>
            </w:pPr>
            <w:r>
              <w:rPr>
                <w:b w:val="0"/>
                <w:sz w:val="17"/>
              </w:rPr>
              <w:t>Must</w:t>
            </w:r>
          </w:p>
        </w:tc>
        <w:tc>
          <w:tcPr>
            <w:tcW w:type="dxa" w:w="4706"/>
          </w:tcPr>
          <w:p>
            <w:pPr>
              <w:spacing w:after="20"/>
            </w:pPr>
            <w:r>
              <w:rPr>
                <w:b w:val="0"/>
                <w:sz w:val="17"/>
              </w:rPr>
              <w:t>Fig. UML-5 – load balancer / WAF, API gateway; StaffUser</w:t>
            </w:r>
          </w:p>
        </w:tc>
        <w:tc>
          <w:tcPr>
            <w:tcW w:type="dxa" w:w="3118"/>
          </w:tcPr>
          <w:p>
            <w:pPr>
              <w:spacing w:after="20"/>
            </w:pPr>
            <w:r>
              <w:rPr>
                <w:b w:val="0"/>
                <w:sz w:val="17"/>
              </w:rPr>
              <w:t>TC-042</w:t>
            </w:r>
          </w:p>
        </w:tc>
      </w:tr>
      <w:tr>
        <w:trPr>
          <w:cantSplit w:val="true"/>
        </w:trPr>
        <w:tc>
          <w:tcPr>
            <w:tcW w:type="dxa" w:w="907"/>
            <w:shd w:val="clear" w:color="auto" w:fill="F3F7F9"/>
          </w:tcPr>
          <w:p>
            <w:pPr>
              <w:spacing w:after="20"/>
            </w:pPr>
            <w:r>
              <w:rPr>
                <w:b w:val="0"/>
                <w:sz w:val="17"/>
              </w:rPr>
              <w:t>NFR-02</w:t>
            </w:r>
          </w:p>
        </w:tc>
        <w:tc>
          <w:tcPr>
            <w:tcW w:type="dxa" w:w="907"/>
            <w:shd w:val="clear" w:color="auto" w:fill="F3F7F9"/>
          </w:tcPr>
          <w:p>
            <w:pPr>
              <w:spacing w:after="20"/>
              <w:jc w:val="center"/>
            </w:pPr>
            <w:r>
              <w:rPr>
                <w:b w:val="0"/>
                <w:sz w:val="17"/>
              </w:rPr>
              <w:t>Must</w:t>
            </w:r>
          </w:p>
        </w:tc>
        <w:tc>
          <w:tcPr>
            <w:tcW w:type="dxa" w:w="4706"/>
            <w:shd w:val="clear" w:color="auto" w:fill="F3F7F9"/>
          </w:tcPr>
          <w:p>
            <w:pPr>
              <w:spacing w:after="20"/>
            </w:pPr>
            <w:r>
              <w:rPr>
                <w:b w:val="0"/>
                <w:sz w:val="17"/>
              </w:rPr>
              <w:t>Class AuditEntry; Fig. UML-5 audit store (WORM); Fig. UML-3 steps 15–16</w:t>
            </w:r>
          </w:p>
        </w:tc>
        <w:tc>
          <w:tcPr>
            <w:tcW w:type="dxa" w:w="3118"/>
            <w:shd w:val="clear" w:color="auto" w:fill="F3F7F9"/>
          </w:tcPr>
          <w:p>
            <w:pPr>
              <w:spacing w:after="20"/>
            </w:pPr>
            <w:r>
              <w:rPr>
                <w:b w:val="0"/>
                <w:sz w:val="17"/>
              </w:rPr>
              <w:t>TC-028, TC-029</w:t>
            </w:r>
          </w:p>
        </w:tc>
      </w:tr>
      <w:tr>
        <w:trPr>
          <w:cantSplit w:val="true"/>
        </w:trPr>
        <w:tc>
          <w:tcPr>
            <w:tcW w:type="dxa" w:w="907"/>
          </w:tcPr>
          <w:p>
            <w:pPr>
              <w:spacing w:after="20"/>
            </w:pPr>
            <w:r>
              <w:rPr>
                <w:b w:val="0"/>
                <w:sz w:val="17"/>
              </w:rPr>
              <w:t>NFR-03</w:t>
            </w:r>
          </w:p>
        </w:tc>
        <w:tc>
          <w:tcPr>
            <w:tcW w:type="dxa" w:w="907"/>
          </w:tcPr>
          <w:p>
            <w:pPr>
              <w:spacing w:after="20"/>
              <w:jc w:val="center"/>
            </w:pPr>
            <w:r>
              <w:rPr>
                <w:b w:val="0"/>
                <w:sz w:val="17"/>
              </w:rPr>
              <w:t>Must</w:t>
            </w:r>
          </w:p>
        </w:tc>
        <w:tc>
          <w:tcPr>
            <w:tcW w:type="dxa" w:w="4706"/>
          </w:tcPr>
          <w:p>
            <w:pPr>
              <w:spacing w:after="20"/>
            </w:pPr>
            <w:r>
              <w:rPr>
                <w:b w:val="0"/>
                <w:sz w:val="17"/>
              </w:rPr>
              <w:t>Fig. UML-5 – DR data centre, standby DB, two app servers</w:t>
            </w:r>
          </w:p>
        </w:tc>
        <w:tc>
          <w:tcPr>
            <w:tcW w:type="dxa" w:w="3118"/>
          </w:tcPr>
          <w:p>
            <w:pPr>
              <w:spacing w:after="20"/>
            </w:pPr>
            <w:r>
              <w:rPr>
                <w:b w:val="0"/>
                <w:sz w:val="17"/>
              </w:rPr>
              <w:t>TC-040</w:t>
            </w:r>
          </w:p>
        </w:tc>
      </w:tr>
      <w:tr>
        <w:trPr>
          <w:cantSplit w:val="true"/>
        </w:trPr>
        <w:tc>
          <w:tcPr>
            <w:tcW w:type="dxa" w:w="907"/>
            <w:shd w:val="clear" w:color="auto" w:fill="F3F7F9"/>
          </w:tcPr>
          <w:p>
            <w:pPr>
              <w:spacing w:after="20"/>
            </w:pPr>
            <w:r>
              <w:rPr>
                <w:b w:val="0"/>
                <w:sz w:val="17"/>
              </w:rPr>
              <w:t>NFR-04</w:t>
            </w:r>
          </w:p>
        </w:tc>
        <w:tc>
          <w:tcPr>
            <w:tcW w:type="dxa" w:w="907"/>
            <w:shd w:val="clear" w:color="auto" w:fill="F3F7F9"/>
          </w:tcPr>
          <w:p>
            <w:pPr>
              <w:spacing w:after="20"/>
              <w:jc w:val="center"/>
            </w:pPr>
            <w:r>
              <w:rPr>
                <w:b w:val="0"/>
                <w:sz w:val="17"/>
              </w:rPr>
              <w:t>Must</w:t>
            </w:r>
          </w:p>
        </w:tc>
        <w:tc>
          <w:tcPr>
            <w:tcW w:type="dxa" w:w="4706"/>
            <w:shd w:val="clear" w:color="auto" w:fill="F3F7F9"/>
          </w:tcPr>
          <w:p>
            <w:pPr>
              <w:spacing w:after="20"/>
            </w:pPr>
            <w:r>
              <w:rPr>
                <w:b w:val="0"/>
                <w:sz w:val="17"/>
              </w:rPr>
              <w:t>Fig. UML-1 (nurse use cases); Fig. UML-4 (short, linear flow)</w:t>
            </w:r>
          </w:p>
        </w:tc>
        <w:tc>
          <w:tcPr>
            <w:tcW w:type="dxa" w:w="3118"/>
            <w:shd w:val="clear" w:color="auto" w:fill="F3F7F9"/>
          </w:tcPr>
          <w:p>
            <w:pPr>
              <w:spacing w:after="20"/>
            </w:pPr>
            <w:r>
              <w:rPr>
                <w:b w:val="0"/>
                <w:sz w:val="17"/>
              </w:rPr>
              <w:t>TC-041</w:t>
            </w:r>
          </w:p>
        </w:tc>
      </w:tr>
      <w:tr>
        <w:trPr>
          <w:cantSplit w:val="true"/>
        </w:trPr>
        <w:tc>
          <w:tcPr>
            <w:tcW w:type="dxa" w:w="907"/>
          </w:tcPr>
          <w:p>
            <w:pPr>
              <w:spacing w:after="20"/>
            </w:pPr>
            <w:r>
              <w:rPr>
                <w:b w:val="0"/>
                <w:sz w:val="17"/>
              </w:rPr>
              <w:t>NFR-05</w:t>
            </w:r>
          </w:p>
        </w:tc>
        <w:tc>
          <w:tcPr>
            <w:tcW w:type="dxa" w:w="907"/>
          </w:tcPr>
          <w:p>
            <w:pPr>
              <w:spacing w:after="20"/>
              <w:jc w:val="center"/>
            </w:pPr>
            <w:r>
              <w:rPr>
                <w:b w:val="0"/>
                <w:sz w:val="17"/>
              </w:rPr>
              <w:t>Must</w:t>
            </w:r>
          </w:p>
        </w:tc>
        <w:tc>
          <w:tcPr>
            <w:tcW w:type="dxa" w:w="4706"/>
          </w:tcPr>
          <w:p>
            <w:pPr>
              <w:spacing w:after="20"/>
            </w:pPr>
            <w:r>
              <w:rPr>
                <w:b w:val="0"/>
                <w:sz w:val="17"/>
              </w:rPr>
              <w:t>Fig. UML-5 – two app servers behind load balancer</w:t>
            </w:r>
          </w:p>
        </w:tc>
        <w:tc>
          <w:tcPr>
            <w:tcW w:type="dxa" w:w="3118"/>
          </w:tcPr>
          <w:p>
            <w:pPr>
              <w:spacing w:after="20"/>
            </w:pPr>
            <w:r>
              <w:rPr>
                <w:b w:val="0"/>
                <w:sz w:val="17"/>
              </w:rPr>
              <w:t>TC-043</w:t>
            </w:r>
          </w:p>
        </w:tc>
      </w:tr>
      <w:tr>
        <w:trPr>
          <w:cantSplit w:val="true"/>
        </w:trPr>
        <w:tc>
          <w:tcPr>
            <w:tcW w:type="dxa" w:w="907"/>
            <w:shd w:val="clear" w:color="auto" w:fill="F3F7F9"/>
          </w:tcPr>
          <w:p>
            <w:pPr>
              <w:spacing w:after="20"/>
            </w:pPr>
            <w:r>
              <w:rPr>
                <w:b w:val="0"/>
                <w:sz w:val="17"/>
              </w:rPr>
              <w:t>NFR-06</w:t>
            </w:r>
          </w:p>
        </w:tc>
        <w:tc>
          <w:tcPr>
            <w:tcW w:type="dxa" w:w="907"/>
            <w:shd w:val="clear" w:color="auto" w:fill="F3F7F9"/>
          </w:tcPr>
          <w:p>
            <w:pPr>
              <w:spacing w:after="20"/>
              <w:jc w:val="center"/>
            </w:pPr>
            <w:r>
              <w:rPr>
                <w:b w:val="0"/>
                <w:sz w:val="17"/>
              </w:rPr>
              <w:t>Must</w:t>
            </w:r>
          </w:p>
        </w:tc>
        <w:tc>
          <w:tcPr>
            <w:tcW w:type="dxa" w:w="4706"/>
            <w:shd w:val="clear" w:color="auto" w:fill="F3F7F9"/>
          </w:tcPr>
          <w:p>
            <w:pPr>
              <w:spacing w:after="20"/>
            </w:pPr>
            <w:r>
              <w:rPr>
                <w:b w:val="0"/>
                <w:sz w:val="17"/>
              </w:rPr>
              <w:t>Fig. UML-5 – synchronous replica, immutable backup vault; Class Prescription / Note versioning</w:t>
            </w:r>
          </w:p>
        </w:tc>
        <w:tc>
          <w:tcPr>
            <w:tcW w:type="dxa" w:w="3118"/>
            <w:shd w:val="clear" w:color="auto" w:fill="F3F7F9"/>
          </w:tcPr>
          <w:p>
            <w:pPr>
              <w:spacing w:after="20"/>
            </w:pPr>
            <w:r>
              <w:rPr>
                <w:b w:val="0"/>
                <w:sz w:val="17"/>
              </w:rPr>
              <w:t>TC-044</w:t>
            </w:r>
          </w:p>
        </w:tc>
      </w:tr>
      <w:tr>
        <w:trPr>
          <w:cantSplit w:val="true"/>
        </w:trPr>
        <w:tc>
          <w:tcPr>
            <w:tcW w:type="dxa" w:w="907"/>
          </w:tcPr>
          <w:p>
            <w:pPr>
              <w:spacing w:after="20"/>
            </w:pPr>
            <w:r>
              <w:rPr>
                <w:b w:val="0"/>
                <w:sz w:val="17"/>
              </w:rPr>
              <w:t>NFR-07</w:t>
            </w:r>
          </w:p>
        </w:tc>
        <w:tc>
          <w:tcPr>
            <w:tcW w:type="dxa" w:w="907"/>
          </w:tcPr>
          <w:p>
            <w:pPr>
              <w:spacing w:after="20"/>
              <w:jc w:val="center"/>
            </w:pPr>
            <w:r>
              <w:rPr>
                <w:b w:val="0"/>
                <w:sz w:val="17"/>
              </w:rPr>
              <w:t>Should</w:t>
            </w:r>
          </w:p>
        </w:tc>
        <w:tc>
          <w:tcPr>
            <w:tcW w:type="dxa" w:w="4706"/>
          </w:tcPr>
          <w:p>
            <w:pPr>
              <w:spacing w:after="20"/>
            </w:pPr>
            <w:r>
              <w:rPr>
                <w:b w:val="0"/>
                <w:sz w:val="17"/>
              </w:rPr>
              <w:t>Fig. UML-5 – horizontally scalable application tier</w:t>
            </w:r>
          </w:p>
        </w:tc>
        <w:tc>
          <w:tcPr>
            <w:tcW w:type="dxa" w:w="3118"/>
          </w:tcPr>
          <w:p>
            <w:pPr>
              <w:spacing w:after="20"/>
            </w:pPr>
            <w:r>
              <w:rPr>
                <w:b w:val="0"/>
                <w:sz w:val="17"/>
              </w:rPr>
              <w:t>TC-045</w:t>
            </w:r>
          </w:p>
        </w:tc>
      </w:tr>
      <w:tr>
        <w:trPr>
          <w:cantSplit w:val="true"/>
        </w:trPr>
        <w:tc>
          <w:tcPr>
            <w:tcW w:type="dxa" w:w="907"/>
            <w:shd w:val="clear" w:color="auto" w:fill="F3F7F9"/>
          </w:tcPr>
          <w:p>
            <w:pPr>
              <w:spacing w:after="20"/>
            </w:pPr>
            <w:r>
              <w:rPr>
                <w:b w:val="0"/>
                <w:sz w:val="17"/>
              </w:rPr>
              <w:t>NFR-08</w:t>
            </w:r>
          </w:p>
        </w:tc>
        <w:tc>
          <w:tcPr>
            <w:tcW w:type="dxa" w:w="907"/>
            <w:shd w:val="clear" w:color="auto" w:fill="F3F7F9"/>
          </w:tcPr>
          <w:p>
            <w:pPr>
              <w:spacing w:after="20"/>
              <w:jc w:val="center"/>
            </w:pPr>
            <w:r>
              <w:rPr>
                <w:b w:val="0"/>
                <w:sz w:val="17"/>
              </w:rPr>
              <w:t>Should</w:t>
            </w:r>
          </w:p>
        </w:tc>
        <w:tc>
          <w:tcPr>
            <w:tcW w:type="dxa" w:w="4706"/>
            <w:shd w:val="clear" w:color="auto" w:fill="F3F7F9"/>
          </w:tcPr>
          <w:p>
            <w:pPr>
              <w:spacing w:after="20"/>
            </w:pPr>
            <w:r>
              <w:rPr>
                <w:b w:val="0"/>
                <w:sz w:val="17"/>
              </w:rPr>
              <w:t>Class InteractionRule, RuleBasedChecker (data-driven rules)</w:t>
            </w:r>
          </w:p>
        </w:tc>
        <w:tc>
          <w:tcPr>
            <w:tcW w:type="dxa" w:w="3118"/>
            <w:shd w:val="clear" w:color="auto" w:fill="F3F7F9"/>
          </w:tcPr>
          <w:p>
            <w:pPr>
              <w:spacing w:after="20"/>
            </w:pPr>
            <w:r>
              <w:rPr>
                <w:b w:val="0"/>
                <w:sz w:val="17"/>
              </w:rPr>
              <w:t>TC-046</w:t>
            </w:r>
          </w:p>
        </w:tc>
      </w:tr>
    </w:tbl>
    <w:p>
      <w:pPr>
        <w:spacing w:after="40"/>
      </w:pPr>
    </w:p>
    <w:p>
      <w:pPr>
        <w:pStyle w:val="Heading1"/>
      </w:pPr>
      <w:r>
        <w:t>Appendix A – Requirement quality checklist</w:t>
      </w:r>
    </w:p>
    <w:tbl>
      <w:tblPr>
        <w:tblW w:type="auto" w:w="0"/>
        <w:jc w:val="center"/>
        <w:tblLayout w:type="fixed"/>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Pr>
      <w:tblGrid>
        <w:gridCol w:w="4535"/>
        <w:gridCol w:w="5102"/>
      </w:tblGrid>
      <w:tr>
        <w:trPr>
          <w:tblHeader w:val="true"/>
        </w:trPr>
        <w:tc>
          <w:tcPr>
            <w:tcW w:type="dxa" w:w="4535"/>
            <w:shd w:val="clear" w:color="auto" w:fill="1F3A5F"/>
          </w:tcPr>
          <w:p>
            <w:r/>
            <w:r>
              <w:rPr>
                <w:b/>
                <w:color w:val="FFFFFF"/>
                <w:sz w:val="18"/>
              </w:rPr>
              <w:t>Check</w:t>
            </w:r>
          </w:p>
        </w:tc>
        <w:tc>
          <w:tcPr>
            <w:tcW w:type="dxa" w:w="5102"/>
            <w:shd w:val="clear" w:color="auto" w:fill="1F3A5F"/>
          </w:tcPr>
          <w:p>
            <w:r/>
            <w:r>
              <w:rPr>
                <w:b/>
                <w:color w:val="FFFFFF"/>
                <w:sz w:val="18"/>
              </w:rPr>
              <w:t>Result</w:t>
            </w:r>
          </w:p>
        </w:tc>
      </w:tr>
      <w:tr>
        <w:trPr>
          <w:cantSplit w:val="true"/>
        </w:trPr>
        <w:tc>
          <w:tcPr>
            <w:tcW w:type="dxa" w:w="4535"/>
          </w:tcPr>
          <w:p>
            <w:pPr>
              <w:spacing w:after="20"/>
            </w:pPr>
            <w:r>
              <w:rPr>
                <w:b w:val="0"/>
                <w:sz w:val="18"/>
              </w:rPr>
              <w:t>Each requirement has a unique ID and one ‘shall’</w:t>
            </w:r>
          </w:p>
        </w:tc>
        <w:tc>
          <w:tcPr>
            <w:tcW w:type="dxa" w:w="5102"/>
          </w:tcPr>
          <w:p>
            <w:pPr>
              <w:spacing w:after="20"/>
            </w:pPr>
            <w:r>
              <w:rPr>
                <w:b w:val="0"/>
                <w:sz w:val="18"/>
              </w:rPr>
              <w:t>Yes – FR-01 to FR-12, NFR-01 to NFR-08</w:t>
            </w:r>
          </w:p>
        </w:tc>
      </w:tr>
      <w:tr>
        <w:trPr>
          <w:cantSplit w:val="true"/>
        </w:trPr>
        <w:tc>
          <w:tcPr>
            <w:tcW w:type="dxa" w:w="4535"/>
            <w:shd w:val="clear" w:color="auto" w:fill="F3F7F9"/>
          </w:tcPr>
          <w:p>
            <w:pPr>
              <w:spacing w:after="20"/>
            </w:pPr>
            <w:r>
              <w:rPr>
                <w:b w:val="0"/>
                <w:sz w:val="18"/>
              </w:rPr>
              <w:t>Each requirement is measurable / testable</w:t>
            </w:r>
          </w:p>
        </w:tc>
        <w:tc>
          <w:tcPr>
            <w:tcW w:type="dxa" w:w="5102"/>
            <w:shd w:val="clear" w:color="auto" w:fill="F3F7F9"/>
          </w:tcPr>
          <w:p>
            <w:pPr>
              <w:spacing w:after="20"/>
            </w:pPr>
            <w:r>
              <w:rPr>
                <w:b w:val="0"/>
                <w:sz w:val="18"/>
              </w:rPr>
              <w:t>Yes – acceptance criterion or metric given; see section 4</w:t>
            </w:r>
          </w:p>
        </w:tc>
      </w:tr>
      <w:tr>
        <w:trPr>
          <w:cantSplit w:val="true"/>
        </w:trPr>
        <w:tc>
          <w:tcPr>
            <w:tcW w:type="dxa" w:w="4535"/>
          </w:tcPr>
          <w:p>
            <w:pPr>
              <w:spacing w:after="20"/>
            </w:pPr>
            <w:r>
              <w:rPr>
                <w:b w:val="0"/>
                <w:sz w:val="18"/>
              </w:rPr>
              <w:t>No vague words (‘fast’, ‘user-friendly’, ‘secure’) without a number</w:t>
            </w:r>
          </w:p>
        </w:tc>
        <w:tc>
          <w:tcPr>
            <w:tcW w:type="dxa" w:w="5102"/>
          </w:tcPr>
          <w:p>
            <w:pPr>
              <w:spacing w:after="20"/>
            </w:pPr>
            <w:r>
              <w:rPr>
                <w:b w:val="0"/>
                <w:sz w:val="18"/>
              </w:rPr>
              <w:t>Yes – e.g., ≤ 2 s p95, ≥ 90 % first-attempt success, TLS 1.2+, AES-256</w:t>
            </w:r>
          </w:p>
        </w:tc>
      </w:tr>
      <w:tr>
        <w:trPr>
          <w:cantSplit w:val="true"/>
        </w:trPr>
        <w:tc>
          <w:tcPr>
            <w:tcW w:type="dxa" w:w="4535"/>
            <w:shd w:val="clear" w:color="auto" w:fill="F3F7F9"/>
          </w:tcPr>
          <w:p>
            <w:pPr>
              <w:spacing w:after="20"/>
            </w:pPr>
            <w:r>
              <w:rPr>
                <w:b w:val="0"/>
                <w:sz w:val="18"/>
              </w:rPr>
              <w:t>Each requirement traced to a source and to a test</w:t>
            </w:r>
          </w:p>
        </w:tc>
        <w:tc>
          <w:tcPr>
            <w:tcW w:type="dxa" w:w="5102"/>
            <w:shd w:val="clear" w:color="auto" w:fill="F3F7F9"/>
          </w:tcPr>
          <w:p>
            <w:pPr>
              <w:spacing w:after="20"/>
            </w:pPr>
            <w:r>
              <w:rPr>
                <w:b w:val="0"/>
                <w:sz w:val="18"/>
              </w:rPr>
              <w:t>Yes – sections 3 and 6</w:t>
            </w:r>
          </w:p>
        </w:tc>
      </w:tr>
      <w:tr>
        <w:trPr>
          <w:cantSplit w:val="true"/>
        </w:trPr>
        <w:tc>
          <w:tcPr>
            <w:tcW w:type="dxa" w:w="4535"/>
          </w:tcPr>
          <w:p>
            <w:pPr>
              <w:spacing w:after="20"/>
            </w:pPr>
            <w:r>
              <w:rPr>
                <w:b w:val="0"/>
                <w:sz w:val="18"/>
              </w:rPr>
              <w:t>Conflicts resolved</w:t>
            </w:r>
          </w:p>
        </w:tc>
        <w:tc>
          <w:tcPr>
            <w:tcW w:type="dxa" w:w="5102"/>
          </w:tcPr>
          <w:p>
            <w:pPr>
              <w:spacing w:after="20"/>
            </w:pPr>
            <w:r>
              <w:rPr>
                <w:b w:val="0"/>
                <w:sz w:val="18"/>
              </w:rPr>
              <w:t>CMO (safety) vs CFO (cost / time): MoSCoW and the 6-week reserve (see Project Plan) – no Must is traded for time</w:t>
            </w:r>
          </w:p>
        </w:tc>
      </w:tr>
    </w:tbl>
    <w:p>
      <w:pPr>
        <w:spacing w:after="40"/>
      </w:pPr>
    </w:p>
    <w:sectPr w:rsidR="00FC693F" w:rsidRPr="0006063C" w:rsidSect="00034616">
      <w:headerReference w:type="default" r:id="rId9"/>
      <w:footerReference w:type="default" r:id="rId10"/>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Page </w:t>
    </w:r>
    <w:r>
      <w:rPr>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color w:val="555555"/>
        <w:sz w:val="17"/>
      </w:rPr>
      <w:t>MediTrack EMR – Software Requirements Specification   |   Software Engineering &amp; Project Management · B.Tech CSE 2025-29 · Sem III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B7F8C"/>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