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1F3A5F"/>
          <w:sz w:val="68"/>
        </w:rPr>
        <w:t>MediTrack</w:t>
      </w:r>
    </w:p>
    <w:p>
      <w:r>
        <w:rPr>
          <w:color w:val="1B7F8C"/>
          <w:sz w:val="26"/>
        </w:rPr>
        <w:t>Electronic Medical Record for a Multi-Speciality Hospital Group</w:t>
      </w:r>
    </w:p>
    <w:p>
      <w:pPr>
        <w:pBdr>
          <w:bottom w:val="single" w:sz="18" w:color="1B7F8C" w:space="1"/>
        </w:pBdr>
      </w:pPr>
    </w:p>
    <w:p>
      <w:r>
        <w:rPr>
          <w:b/>
          <w:color w:val="1F3A5F"/>
          <w:sz w:val="48"/>
        </w:rPr>
        <w:t>UML Package</w:t>
      </w:r>
    </w:p>
    <w:p>
      <w:r>
        <w:rPr>
          <w:color w:val="555555"/>
          <w:sz w:val="23"/>
        </w:rPr>
        <w:t>Use case · class · sequence · activity · deployment diagrams – internally consistent, with the prescription module loosely coupled from billing</w:t>
      </w:r>
    </w:p>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2551"/>
        <w:gridCol w:w="7087"/>
      </w:tblGrid>
      <w:tr>
        <w:tc>
          <w:tcPr>
            <w:tcW w:type="dxa" w:w="2551"/>
            <w:shd w:val="clear" w:color="auto" w:fill="E8F3F5"/>
          </w:tcPr>
          <w:p>
            <w:r/>
            <w:r>
              <w:rPr>
                <w:b/>
                <w:sz w:val="20"/>
              </w:rPr>
              <w:t>Case study</w:t>
            </w:r>
          </w:p>
        </w:tc>
        <w:tc>
          <w:tcPr>
            <w:tcW w:type="dxa" w:w="7087"/>
          </w:tcPr>
          <w:p>
            <w:r/>
            <w:r>
              <w:rPr>
                <w:b w:val="0"/>
                <w:sz w:val="20"/>
              </w:rPr>
              <w:t>Case Study no. 1 – MediTrack (Aarogya Healthcare)</w:t>
            </w:r>
          </w:p>
        </w:tc>
      </w:tr>
      <w:tr>
        <w:tc>
          <w:tcPr>
            <w:tcW w:type="dxa" w:w="2551"/>
            <w:shd w:val="clear" w:color="auto" w:fill="E8F3F5"/>
          </w:tcPr>
          <w:p>
            <w:r/>
            <w:r>
              <w:rPr>
                <w:b/>
                <w:sz w:val="20"/>
              </w:rPr>
              <w:t>Course</w:t>
            </w:r>
          </w:p>
        </w:tc>
        <w:tc>
          <w:tcPr>
            <w:tcW w:type="dxa" w:w="7087"/>
          </w:tcPr>
          <w:p>
            <w:r/>
            <w:r>
              <w:rPr>
                <w:b w:val="0"/>
                <w:sz w:val="20"/>
              </w:rPr>
              <w:t>Software Engineering &amp; Project Management – B.Tech CSE 2025-29, Semester III</w:t>
            </w:r>
          </w:p>
        </w:tc>
      </w:tr>
      <w:tr>
        <w:tc>
          <w:tcPr>
            <w:tcW w:type="dxa" w:w="2551"/>
            <w:shd w:val="clear" w:color="auto" w:fill="E8F3F5"/>
          </w:tcPr>
          <w:p>
            <w:r/>
            <w:r>
              <w:rPr>
                <w:b/>
                <w:sz w:val="20"/>
              </w:rPr>
              <w:t>Institution</w:t>
            </w:r>
          </w:p>
        </w:tc>
        <w:tc>
          <w:tcPr>
            <w:tcW w:type="dxa" w:w="7087"/>
          </w:tcPr>
          <w:p>
            <w:r/>
            <w:r>
              <w:rPr>
                <w:b w:val="0"/>
                <w:sz w:val="20"/>
              </w:rPr>
              <w:t>School of Future Tech, ITM Skills University</w:t>
            </w:r>
          </w:p>
        </w:tc>
      </w:tr>
      <w:tr>
        <w:tc>
          <w:tcPr>
            <w:tcW w:type="dxa" w:w="2551"/>
            <w:shd w:val="clear" w:color="auto" w:fill="E8F3F5"/>
          </w:tcPr>
          <w:p>
            <w:r/>
            <w:r>
              <w:rPr>
                <w:b/>
                <w:sz w:val="20"/>
              </w:rPr>
              <w:t>Team / roll numbers</w:t>
            </w:r>
          </w:p>
        </w:tc>
        <w:tc>
          <w:tcPr>
            <w:tcW w:type="dxa" w:w="7087"/>
          </w:tcPr>
          <w:p>
            <w:r/>
            <w:r>
              <w:rPr>
                <w:b w:val="0"/>
                <w:sz w:val="20"/>
              </w:rPr>
              <w:t>[ to be filled in by the team ]</w:t>
            </w:r>
          </w:p>
        </w:tc>
      </w:tr>
      <w:tr>
        <w:tc>
          <w:tcPr>
            <w:tcW w:type="dxa" w:w="2551"/>
            <w:shd w:val="clear" w:color="auto" w:fill="E8F3F5"/>
          </w:tcPr>
          <w:p>
            <w:r/>
            <w:r>
              <w:rPr>
                <w:b/>
                <w:sz w:val="20"/>
              </w:rPr>
              <w:t>Version / date</w:t>
            </w:r>
          </w:p>
        </w:tc>
        <w:tc>
          <w:tcPr>
            <w:tcW w:type="dxa" w:w="7087"/>
          </w:tcPr>
          <w:p>
            <w:r/>
            <w:r>
              <w:rPr>
                <w:b w:val="0"/>
                <w:sz w:val="20"/>
              </w:rPr>
              <w:t>1.0 – October 2026</w:t>
            </w:r>
          </w:p>
        </w:tc>
      </w:tr>
    </w:tbl>
    <w:p>
      <w:pPr>
        <w:spacing w:after="40"/>
      </w:pPr>
    </w:p>
    <w:p>
      <w:r>
        <w:br w:type="page"/>
      </w:r>
    </w:p>
    <w:p>
      <w:pPr>
        <w:pStyle w:val="Heading1"/>
      </w:pPr>
      <w:r>
        <w:t>1. Overview and modelling approach</w:t>
      </w:r>
    </w:p>
    <w:p>
      <w:r>
        <w:rPr>
          <w:b w:val="0"/>
        </w:rPr>
        <w:t>This package contains the five diagrams required by the case study. They model the same system from five viewpoints and use the same names for the same things (for example the class *PrescriptionService* is the participant in the sequence diagram and is deployed on the application servers in the deployment diagram). Section 8 proves this with a cross-reference matrix.</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1134"/>
        <w:gridCol w:w="2835"/>
        <w:gridCol w:w="6803"/>
        <w:gridCol w:w="3969"/>
      </w:tblGrid>
      <w:tr>
        <w:trPr>
          <w:tblHeader w:val="true"/>
        </w:trPr>
        <w:tc>
          <w:tcPr>
            <w:tcW w:type="dxa" w:w="1134"/>
            <w:shd w:val="clear" w:color="auto" w:fill="1F3A5F"/>
          </w:tcPr>
          <w:p>
            <w:r/>
            <w:r>
              <w:rPr>
                <w:b/>
                <w:color w:val="FFFFFF"/>
                <w:sz w:val="18"/>
              </w:rPr>
              <w:t>Figure</w:t>
            </w:r>
          </w:p>
        </w:tc>
        <w:tc>
          <w:tcPr>
            <w:tcW w:type="dxa" w:w="2835"/>
            <w:shd w:val="clear" w:color="auto" w:fill="1F3A5F"/>
          </w:tcPr>
          <w:p>
            <w:r/>
            <w:r>
              <w:rPr>
                <w:b/>
                <w:color w:val="FFFFFF"/>
                <w:sz w:val="18"/>
              </w:rPr>
              <w:t>Diagram</w:t>
            </w:r>
          </w:p>
        </w:tc>
        <w:tc>
          <w:tcPr>
            <w:tcW w:type="dxa" w:w="6803"/>
            <w:shd w:val="clear" w:color="auto" w:fill="1F3A5F"/>
          </w:tcPr>
          <w:p>
            <w:r/>
            <w:r>
              <w:rPr>
                <w:b/>
                <w:color w:val="FFFFFF"/>
                <w:sz w:val="18"/>
              </w:rPr>
              <w:t>Question it answers</w:t>
            </w:r>
          </w:p>
        </w:tc>
        <w:tc>
          <w:tcPr>
            <w:tcW w:type="dxa" w:w="3969"/>
            <w:shd w:val="clear" w:color="auto" w:fill="1F3A5F"/>
          </w:tcPr>
          <w:p>
            <w:r/>
            <w:r>
              <w:rPr>
                <w:b/>
                <w:color w:val="FFFFFF"/>
                <w:sz w:val="18"/>
              </w:rPr>
              <w:t>Main requirements covered</w:t>
            </w:r>
          </w:p>
        </w:tc>
      </w:tr>
      <w:tr>
        <w:trPr>
          <w:cantSplit w:val="true"/>
        </w:trPr>
        <w:tc>
          <w:tcPr>
            <w:tcW w:type="dxa" w:w="1134"/>
          </w:tcPr>
          <w:p>
            <w:pPr>
              <w:spacing w:after="20"/>
            </w:pPr>
            <w:r>
              <w:rPr>
                <w:b w:val="0"/>
                <w:sz w:val="18"/>
              </w:rPr>
              <w:t>UML-1</w:t>
            </w:r>
          </w:p>
        </w:tc>
        <w:tc>
          <w:tcPr>
            <w:tcW w:type="dxa" w:w="2835"/>
          </w:tcPr>
          <w:p>
            <w:pPr>
              <w:spacing w:after="20"/>
            </w:pPr>
            <w:r>
              <w:rPr>
                <w:b w:val="0"/>
                <w:sz w:val="18"/>
              </w:rPr>
              <w:t>Use case</w:t>
            </w:r>
          </w:p>
        </w:tc>
        <w:tc>
          <w:tcPr>
            <w:tcW w:type="dxa" w:w="6803"/>
          </w:tcPr>
          <w:p>
            <w:pPr>
              <w:spacing w:after="20"/>
            </w:pPr>
            <w:r>
              <w:rPr>
                <w:b w:val="0"/>
                <w:sz w:val="18"/>
              </w:rPr>
              <w:t>Who uses the system and for what?</w:t>
            </w:r>
          </w:p>
        </w:tc>
        <w:tc>
          <w:tcPr>
            <w:tcW w:type="dxa" w:w="3969"/>
          </w:tcPr>
          <w:p>
            <w:pPr>
              <w:spacing w:after="20"/>
            </w:pPr>
            <w:r>
              <w:rPr>
                <w:b w:val="0"/>
                <w:sz w:val="18"/>
              </w:rPr>
              <w:t>FR-01 to FR-12</w:t>
            </w:r>
          </w:p>
        </w:tc>
      </w:tr>
      <w:tr>
        <w:trPr>
          <w:cantSplit w:val="true"/>
        </w:trPr>
        <w:tc>
          <w:tcPr>
            <w:tcW w:type="dxa" w:w="1134"/>
            <w:shd w:val="clear" w:color="auto" w:fill="F3F7F9"/>
          </w:tcPr>
          <w:p>
            <w:pPr>
              <w:spacing w:after="20"/>
            </w:pPr>
            <w:r>
              <w:rPr>
                <w:b w:val="0"/>
                <w:sz w:val="18"/>
              </w:rPr>
              <w:t>UML-2</w:t>
            </w:r>
          </w:p>
        </w:tc>
        <w:tc>
          <w:tcPr>
            <w:tcW w:type="dxa" w:w="2835"/>
            <w:shd w:val="clear" w:color="auto" w:fill="F3F7F9"/>
          </w:tcPr>
          <w:p>
            <w:pPr>
              <w:spacing w:after="20"/>
            </w:pPr>
            <w:r>
              <w:rPr>
                <w:b w:val="0"/>
                <w:sz w:val="18"/>
              </w:rPr>
              <w:t>Class</w:t>
            </w:r>
          </w:p>
        </w:tc>
        <w:tc>
          <w:tcPr>
            <w:tcW w:type="dxa" w:w="6803"/>
            <w:shd w:val="clear" w:color="auto" w:fill="F3F7F9"/>
          </w:tcPr>
          <w:p>
            <w:pPr>
              <w:spacing w:after="20"/>
            </w:pPr>
            <w:r>
              <w:rPr>
                <w:b w:val="0"/>
                <w:sz w:val="18"/>
              </w:rPr>
              <w:t>What are the main concepts and how are they related? How are prescribing and billing decoupled?</w:t>
            </w:r>
          </w:p>
        </w:tc>
        <w:tc>
          <w:tcPr>
            <w:tcW w:type="dxa" w:w="3969"/>
            <w:shd w:val="clear" w:color="auto" w:fill="F3F7F9"/>
          </w:tcPr>
          <w:p>
            <w:pPr>
              <w:spacing w:after="20"/>
            </w:pPr>
            <w:r>
              <w:rPr>
                <w:b w:val="0"/>
                <w:sz w:val="18"/>
              </w:rPr>
              <w:t>FR-01 to FR-09, FR-11, NFR-02, NFR-08</w:t>
            </w:r>
          </w:p>
        </w:tc>
      </w:tr>
      <w:tr>
        <w:trPr>
          <w:cantSplit w:val="true"/>
        </w:trPr>
        <w:tc>
          <w:tcPr>
            <w:tcW w:type="dxa" w:w="1134"/>
          </w:tcPr>
          <w:p>
            <w:pPr>
              <w:spacing w:after="20"/>
            </w:pPr>
            <w:r>
              <w:rPr>
                <w:b w:val="0"/>
                <w:sz w:val="18"/>
              </w:rPr>
              <w:t>UML-3</w:t>
            </w:r>
          </w:p>
        </w:tc>
        <w:tc>
          <w:tcPr>
            <w:tcW w:type="dxa" w:w="2835"/>
          </w:tcPr>
          <w:p>
            <w:pPr>
              <w:spacing w:after="20"/>
            </w:pPr>
            <w:r>
              <w:rPr>
                <w:b w:val="0"/>
                <w:sz w:val="18"/>
              </w:rPr>
              <w:t>Sequence – prescribe drug with allergy check</w:t>
            </w:r>
          </w:p>
        </w:tc>
        <w:tc>
          <w:tcPr>
            <w:tcW w:type="dxa" w:w="6803"/>
          </w:tcPr>
          <w:p>
            <w:pPr>
              <w:spacing w:after="20"/>
            </w:pPr>
            <w:r>
              <w:rPr>
                <w:b w:val="0"/>
                <w:sz w:val="18"/>
              </w:rPr>
              <w:t>In what order do objects collaborate to prescribe safely?</w:t>
            </w:r>
          </w:p>
        </w:tc>
        <w:tc>
          <w:tcPr>
            <w:tcW w:type="dxa" w:w="3969"/>
          </w:tcPr>
          <w:p>
            <w:pPr>
              <w:spacing w:after="20"/>
            </w:pPr>
            <w:r>
              <w:rPr>
                <w:b w:val="0"/>
                <w:sz w:val="18"/>
              </w:rPr>
              <w:t>FR-03, FR-05, FR-06, NFR-02</w:t>
            </w:r>
          </w:p>
        </w:tc>
      </w:tr>
      <w:tr>
        <w:trPr>
          <w:cantSplit w:val="true"/>
        </w:trPr>
        <w:tc>
          <w:tcPr>
            <w:tcW w:type="dxa" w:w="1134"/>
            <w:shd w:val="clear" w:color="auto" w:fill="F3F7F9"/>
          </w:tcPr>
          <w:p>
            <w:pPr>
              <w:spacing w:after="20"/>
            </w:pPr>
            <w:r>
              <w:rPr>
                <w:b w:val="0"/>
                <w:sz w:val="18"/>
              </w:rPr>
              <w:t>UML-4</w:t>
            </w:r>
          </w:p>
        </w:tc>
        <w:tc>
          <w:tcPr>
            <w:tcW w:type="dxa" w:w="2835"/>
            <w:shd w:val="clear" w:color="auto" w:fill="F3F7F9"/>
          </w:tcPr>
          <w:p>
            <w:pPr>
              <w:spacing w:after="20"/>
            </w:pPr>
            <w:r>
              <w:rPr>
                <w:b w:val="0"/>
                <w:sz w:val="18"/>
              </w:rPr>
              <w:t>Activity (swim-lanes)</w:t>
            </w:r>
          </w:p>
        </w:tc>
        <w:tc>
          <w:tcPr>
            <w:tcW w:type="dxa" w:w="6803"/>
            <w:shd w:val="clear" w:color="auto" w:fill="F3F7F9"/>
          </w:tcPr>
          <w:p>
            <w:pPr>
              <w:spacing w:after="20"/>
            </w:pPr>
            <w:r>
              <w:rPr>
                <w:b w:val="0"/>
                <w:sz w:val="18"/>
              </w:rPr>
              <w:t>What is the end-to-end workflow and who does each step?</w:t>
            </w:r>
          </w:p>
        </w:tc>
        <w:tc>
          <w:tcPr>
            <w:tcW w:type="dxa" w:w="3969"/>
            <w:shd w:val="clear" w:color="auto" w:fill="F3F7F9"/>
          </w:tcPr>
          <w:p>
            <w:pPr>
              <w:spacing w:after="20"/>
            </w:pPr>
            <w:r>
              <w:rPr>
                <w:b w:val="0"/>
                <w:sz w:val="18"/>
              </w:rPr>
              <w:t>FR-01 to FR-09</w:t>
            </w:r>
          </w:p>
        </w:tc>
      </w:tr>
      <w:tr>
        <w:trPr>
          <w:cantSplit w:val="true"/>
        </w:trPr>
        <w:tc>
          <w:tcPr>
            <w:tcW w:type="dxa" w:w="1134"/>
          </w:tcPr>
          <w:p>
            <w:pPr>
              <w:spacing w:after="20"/>
            </w:pPr>
            <w:r>
              <w:rPr>
                <w:b w:val="0"/>
                <w:sz w:val="18"/>
              </w:rPr>
              <w:t>UML-5</w:t>
            </w:r>
          </w:p>
        </w:tc>
        <w:tc>
          <w:tcPr>
            <w:tcW w:type="dxa" w:w="2835"/>
          </w:tcPr>
          <w:p>
            <w:pPr>
              <w:spacing w:after="20"/>
            </w:pPr>
            <w:r>
              <w:rPr>
                <w:b w:val="0"/>
                <w:sz w:val="18"/>
              </w:rPr>
              <w:t>Deployment</w:t>
            </w:r>
          </w:p>
        </w:tc>
        <w:tc>
          <w:tcPr>
            <w:tcW w:type="dxa" w:w="6803"/>
          </w:tcPr>
          <w:p>
            <w:pPr>
              <w:spacing w:after="20"/>
            </w:pPr>
            <w:r>
              <w:rPr>
                <w:b w:val="0"/>
                <w:sz w:val="18"/>
              </w:rPr>
              <w:t>Where does each part run, and how is it kept available and safe?</w:t>
            </w:r>
          </w:p>
        </w:tc>
        <w:tc>
          <w:tcPr>
            <w:tcW w:type="dxa" w:w="3969"/>
          </w:tcPr>
          <w:p>
            <w:pPr>
              <w:spacing w:after="20"/>
            </w:pPr>
            <w:r>
              <w:rPr>
                <w:b w:val="0"/>
                <w:sz w:val="18"/>
              </w:rPr>
              <w:t>FR-12, NFR-01, NFR-03, NFR-05, NFR-06</w:t>
            </w:r>
          </w:p>
        </w:tc>
      </w:tr>
    </w:tbl>
    <w:p>
      <w:pPr>
        <w:spacing w:after="40"/>
      </w:pPr>
    </w:p>
    <w:p>
      <w:r>
        <w:rPr>
          <w:b w:val="0"/>
          <w:i/>
          <w:sz w:val="19"/>
        </w:rPr>
        <w:t>The user interface is already built, so no screens are drawn. Boundary behaviour is captured by use cases and by the API calls shown in the sequence diagram.</w:t>
      </w:r>
    </w:p>
    <w:p>
      <w:r>
        <w:br w:type="page"/>
      </w:r>
    </w:p>
    <w:p>
      <w:pPr>
        <w:pStyle w:val="Heading1"/>
      </w:pPr>
      <w:r>
        <w:t>2. Use case diagram</w:t>
      </w:r>
    </w:p>
    <w:p>
      <w:pPr>
        <w:keepNext/>
        <w:jc w:val="center"/>
      </w:pPr>
      <w:r>
        <w:drawing>
          <wp:inline xmlns:a="http://schemas.openxmlformats.org/drawingml/2006/main" xmlns:pic="http://schemas.openxmlformats.org/drawingml/2006/picture">
            <wp:extent cx="6660000" cy="4794898"/>
            <wp:docPr id="1" name="Picture 1"/>
            <wp:cNvGraphicFramePr>
              <a:graphicFrameLocks noChangeAspect="1"/>
            </wp:cNvGraphicFramePr>
            <a:graphic>
              <a:graphicData uri="http://schemas.openxmlformats.org/drawingml/2006/picture">
                <pic:pic>
                  <pic:nvPicPr>
                    <pic:cNvPr id="0" name="uml1_usecase.png"/>
                    <pic:cNvPicPr/>
                  </pic:nvPicPr>
                  <pic:blipFill>
                    <a:blip r:embed="rId11"/>
                    <a:stretch>
                      <a:fillRect/>
                    </a:stretch>
                  </pic:blipFill>
                  <pic:spPr>
                    <a:xfrm>
                      <a:off x="0" y="0"/>
                      <a:ext cx="6660000" cy="4794898"/>
                    </a:xfrm>
                    <a:prstGeom prst="rect"/>
                  </pic:spPr>
                </pic:pic>
              </a:graphicData>
            </a:graphic>
          </wp:inline>
        </w:drawing>
      </w:r>
    </w:p>
    <w:p>
      <w:pPr>
        <w:jc w:val="center"/>
      </w:pPr>
      <w:r>
        <w:rPr>
          <w:i/>
          <w:color w:val="555555"/>
          <w:sz w:val="18"/>
        </w:rPr>
        <w:t>Figure UML-1  Use case diagram</w:t>
      </w:r>
    </w:p>
    <w:p>
      <w:r>
        <w:rPr>
          <w:b w:val="0"/>
        </w:rPr>
        <w:t>Seven human actors and two external systems interact with the system boundary. «include» shows mandatory behaviour (every prescription is checked); «extend» shows optional behaviour (an alert may be overridden; a malformed record may be resolved). Billing receives an event; it does not call back into the prescribing use case.</w:t>
      </w:r>
    </w:p>
    <w:p>
      <w:pPr>
        <w:pStyle w:val="Heading3"/>
      </w:pPr>
      <w:r>
        <w:t>Use case specification – Prescribe Drug</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2268"/>
        <w:gridCol w:w="12472"/>
      </w:tblGrid>
      <w:tr>
        <w:trPr>
          <w:tblHeader w:val="true"/>
        </w:trPr>
        <w:tc>
          <w:tcPr>
            <w:tcW w:type="dxa" w:w="2268"/>
            <w:shd w:val="clear" w:color="auto" w:fill="1F3A5F"/>
          </w:tcPr>
          <w:p>
            <w:r/>
            <w:r>
              <w:rPr>
                <w:b/>
                <w:color w:val="FFFFFF"/>
                <w:sz w:val="18"/>
              </w:rPr>
              <w:t>Item</w:t>
            </w:r>
          </w:p>
        </w:tc>
        <w:tc>
          <w:tcPr>
            <w:tcW w:type="dxa" w:w="12472"/>
            <w:shd w:val="clear" w:color="auto" w:fill="1F3A5F"/>
          </w:tcPr>
          <w:p>
            <w:r/>
            <w:r>
              <w:rPr>
                <w:b/>
                <w:color w:val="FFFFFF"/>
                <w:sz w:val="18"/>
              </w:rPr>
              <w:t>Description</w:t>
            </w:r>
          </w:p>
        </w:tc>
      </w:tr>
      <w:tr>
        <w:trPr>
          <w:cantSplit w:val="true"/>
        </w:trPr>
        <w:tc>
          <w:tcPr>
            <w:tcW w:type="dxa" w:w="2268"/>
          </w:tcPr>
          <w:p>
            <w:pPr>
              <w:spacing w:after="20"/>
            </w:pPr>
            <w:r>
              <w:rPr>
                <w:b w:val="0"/>
                <w:sz w:val="18"/>
              </w:rPr>
              <w:t>Primary actor</w:t>
            </w:r>
          </w:p>
        </w:tc>
        <w:tc>
          <w:tcPr>
            <w:tcW w:type="dxa" w:w="12472"/>
          </w:tcPr>
          <w:p>
            <w:pPr>
              <w:spacing w:after="20"/>
            </w:pPr>
            <w:r>
              <w:rPr>
                <w:b w:val="0"/>
                <w:sz w:val="18"/>
              </w:rPr>
              <w:t>Doctor</w:t>
            </w:r>
          </w:p>
        </w:tc>
      </w:tr>
      <w:tr>
        <w:trPr>
          <w:cantSplit w:val="true"/>
        </w:trPr>
        <w:tc>
          <w:tcPr>
            <w:tcW w:type="dxa" w:w="2268"/>
            <w:shd w:val="clear" w:color="auto" w:fill="F3F7F9"/>
          </w:tcPr>
          <w:p>
            <w:pPr>
              <w:spacing w:after="20"/>
            </w:pPr>
            <w:r>
              <w:rPr>
                <w:b w:val="0"/>
                <w:sz w:val="18"/>
              </w:rPr>
              <w:t>Preconditions</w:t>
            </w:r>
          </w:p>
        </w:tc>
        <w:tc>
          <w:tcPr>
            <w:tcW w:type="dxa" w:w="12472"/>
            <w:shd w:val="clear" w:color="auto" w:fill="F3F7F9"/>
          </w:tcPr>
          <w:p>
            <w:pPr>
              <w:spacing w:after="20"/>
            </w:pPr>
            <w:r>
              <w:rPr>
                <w:b w:val="0"/>
                <w:sz w:val="18"/>
              </w:rPr>
              <w:t>Doctor is authenticated with the DOCTOR role; patient found; allergy status of the patient is KNOWN or NKDA (otherwise the use case first routes to ‘Record Allergies’).</w:t>
            </w:r>
          </w:p>
        </w:tc>
      </w:tr>
      <w:tr>
        <w:trPr>
          <w:cantSplit w:val="true"/>
        </w:trPr>
        <w:tc>
          <w:tcPr>
            <w:tcW w:type="dxa" w:w="2268"/>
          </w:tcPr>
          <w:p>
            <w:pPr>
              <w:spacing w:after="20"/>
            </w:pPr>
            <w:r>
              <w:rPr>
                <w:b w:val="0"/>
                <w:sz w:val="18"/>
              </w:rPr>
              <w:t>Main flow</w:t>
            </w:r>
          </w:p>
        </w:tc>
        <w:tc>
          <w:tcPr>
            <w:tcW w:type="dxa" w:w="12472"/>
          </w:tcPr>
          <w:p>
            <w:pPr>
              <w:spacing w:after="20"/>
            </w:pPr>
            <w:r>
              <w:rPr>
                <w:b w:val="0"/>
                <w:sz w:val="18"/>
              </w:rPr>
              <w:t>1 Doctor selects patient. 2 System shows allergies and active medications. 3 Doctor enters drug, dose, route, frequency, duration. 4 System validates every numeric field against formulary limits (BVA, TC-009 to TC-012). 5 System runs ‘Check Allergy &amp; Interactions’ (included). 6 Result is OK. 7 Doctor signs; system writes an audit entry, queues the prescription for the pharmacy and publishes *PrescriptionIssued*.</w:t>
            </w:r>
          </w:p>
        </w:tc>
      </w:tr>
      <w:tr>
        <w:trPr>
          <w:cantSplit w:val="true"/>
        </w:trPr>
        <w:tc>
          <w:tcPr>
            <w:tcW w:type="dxa" w:w="2268"/>
            <w:shd w:val="clear" w:color="auto" w:fill="F3F7F9"/>
          </w:tcPr>
          <w:p>
            <w:pPr>
              <w:spacing w:after="20"/>
            </w:pPr>
            <w:r>
              <w:rPr>
                <w:b w:val="0"/>
                <w:sz w:val="18"/>
              </w:rPr>
              <w:t>Alternative flows</w:t>
            </w:r>
          </w:p>
        </w:tc>
        <w:tc>
          <w:tcPr>
            <w:tcW w:type="dxa" w:w="12472"/>
            <w:shd w:val="clear" w:color="auto" w:fill="F3F7F9"/>
          </w:tcPr>
          <w:p>
            <w:pPr>
              <w:spacing w:after="20"/>
            </w:pPr>
            <w:r>
              <w:rPr>
                <w:b w:val="0"/>
                <w:sz w:val="18"/>
              </w:rPr>
              <w:t>5a Result WARN: system shows reason; doctor changes the drug or overrides with a reason (extend). 5b Result BLOCK: system shows reason; doctor changes the drug or overrides with a reason and a second clinician’s co-sign. 4a Field outside range: entry rejected with message.</w:t>
            </w:r>
          </w:p>
        </w:tc>
      </w:tr>
      <w:tr>
        <w:trPr>
          <w:cantSplit w:val="true"/>
        </w:trPr>
        <w:tc>
          <w:tcPr>
            <w:tcW w:type="dxa" w:w="2268"/>
          </w:tcPr>
          <w:p>
            <w:pPr>
              <w:spacing w:after="20"/>
            </w:pPr>
            <w:r>
              <w:rPr>
                <w:b w:val="0"/>
                <w:sz w:val="18"/>
              </w:rPr>
              <w:t>Postconditions</w:t>
            </w:r>
          </w:p>
        </w:tc>
        <w:tc>
          <w:tcPr>
            <w:tcW w:type="dxa" w:w="12472"/>
          </w:tcPr>
          <w:p>
            <w:pPr>
              <w:spacing w:after="20"/>
            </w:pPr>
            <w:r>
              <w:rPr>
                <w:b w:val="0"/>
                <w:sz w:val="18"/>
              </w:rPr>
              <w:t>Prescription is SIGNED and immutable; audit entry exists; Pharmacy can see it; Billing is notified asynchronously.</w:t>
            </w:r>
          </w:p>
        </w:tc>
      </w:tr>
      <w:tr>
        <w:trPr>
          <w:cantSplit w:val="true"/>
        </w:trPr>
        <w:tc>
          <w:tcPr>
            <w:tcW w:type="dxa" w:w="2268"/>
            <w:shd w:val="clear" w:color="auto" w:fill="F3F7F9"/>
          </w:tcPr>
          <w:p>
            <w:pPr>
              <w:spacing w:after="20"/>
            </w:pPr>
            <w:r>
              <w:rPr>
                <w:b w:val="0"/>
                <w:sz w:val="18"/>
              </w:rPr>
              <w:t>Requirements</w:t>
            </w:r>
          </w:p>
        </w:tc>
        <w:tc>
          <w:tcPr>
            <w:tcW w:type="dxa" w:w="12472"/>
            <w:shd w:val="clear" w:color="auto" w:fill="F3F7F9"/>
          </w:tcPr>
          <w:p>
            <w:pPr>
              <w:spacing w:after="20"/>
            </w:pPr>
            <w:r>
              <w:rPr>
                <w:b w:val="0"/>
                <w:sz w:val="18"/>
              </w:rPr>
              <w:t>FR-03, FR-05, FR-06, NFR-02</w:t>
            </w:r>
          </w:p>
        </w:tc>
      </w:tr>
    </w:tbl>
    <w:p>
      <w:pPr>
        <w:spacing w:after="40"/>
      </w:pPr>
    </w:p>
    <w:p>
      <w:r>
        <w:br w:type="page"/>
      </w:r>
    </w:p>
    <w:p>
      <w:pPr>
        <w:pStyle w:val="Heading1"/>
      </w:pPr>
      <w:r>
        <w:t>3. Class diagram</w:t>
      </w:r>
    </w:p>
    <w:p>
      <w:pPr>
        <w:keepNext/>
        <w:jc w:val="center"/>
      </w:pPr>
      <w:r>
        <w:drawing>
          <wp:inline xmlns:a="http://schemas.openxmlformats.org/drawingml/2006/main" xmlns:pic="http://schemas.openxmlformats.org/drawingml/2006/picture">
            <wp:extent cx="9360000" cy="5395268"/>
            <wp:docPr id="2" name="Picture 2"/>
            <wp:cNvGraphicFramePr>
              <a:graphicFrameLocks noChangeAspect="1"/>
            </wp:cNvGraphicFramePr>
            <a:graphic>
              <a:graphicData uri="http://schemas.openxmlformats.org/drawingml/2006/picture">
                <pic:pic>
                  <pic:nvPicPr>
                    <pic:cNvPr id="0" name="uml2_class.png"/>
                    <pic:cNvPicPr/>
                  </pic:nvPicPr>
                  <pic:blipFill>
                    <a:blip r:embed="rId12"/>
                    <a:stretch>
                      <a:fillRect/>
                    </a:stretch>
                  </pic:blipFill>
                  <pic:spPr>
                    <a:xfrm>
                      <a:off x="0" y="0"/>
                      <a:ext cx="9360000" cy="5395268"/>
                    </a:xfrm>
                    <a:prstGeom prst="rect"/>
                  </pic:spPr>
                </pic:pic>
              </a:graphicData>
            </a:graphic>
          </wp:inline>
        </w:drawing>
      </w:r>
    </w:p>
    <w:p>
      <w:pPr>
        <w:jc w:val="center"/>
      </w:pPr>
      <w:r>
        <w:rPr>
          <w:i/>
          <w:color w:val="555555"/>
          <w:sz w:val="18"/>
        </w:rPr>
        <w:t>Figure UML-2  Class diagram (blue = clinical domain, yellow = prescribing / safety module, green = billing module, purple = audit)</w:t>
      </w:r>
    </w:p>
    <w:p>
      <w:pPr>
        <w:pStyle w:val="Heading3"/>
      </w:pPr>
      <w:r>
        <w:t>Key design decisions</w:t>
      </w:r>
    </w:p>
    <w:p>
      <w:pPr>
        <w:pStyle w:val="ListBullet"/>
        <w:spacing w:after="40"/>
      </w:pPr>
      <w:r>
        <w:rPr>
          <w:b/>
        </w:rPr>
        <w:t>Versioning, not overwriting:</w:t>
      </w:r>
      <w:r>
        <w:rPr>
          <w:b w:val="0"/>
        </w:rPr>
        <w:t xml:space="preserve"> *AllergyRecord* and *ClinicalNote* are amended by creating a new version, so nothing is silently edited (FR-04, NFR-02).</w:t>
      </w:r>
    </w:p>
    <w:p>
      <w:pPr>
        <w:pStyle w:val="ListBullet"/>
        <w:spacing w:after="40"/>
      </w:pPr>
      <w:r>
        <w:rPr>
          <w:b/>
        </w:rPr>
        <w:t>Allergy status on the patient:</w:t>
      </w:r>
      <w:r>
        <w:rPr>
          <w:b w:val="0"/>
        </w:rPr>
        <w:t xml:space="preserve"> *Patient.allergyStatus* (KNOWN / NKDA / UNKNOWN) makes ‘we do not know’ an explicit, blockable state – the root cause of the 310 incidents.</w:t>
      </w:r>
    </w:p>
    <w:p>
      <w:pPr>
        <w:pStyle w:val="ListBullet"/>
        <w:spacing w:after="40"/>
      </w:pPr>
      <w:r>
        <w:rPr>
          <w:b/>
        </w:rPr>
        <w:t>Strategy pattern for safety rules:</w:t>
      </w:r>
      <w:r>
        <w:rPr>
          <w:b w:val="0"/>
        </w:rPr>
        <w:t xml:space="preserve"> *PrescriptionService* depends on the interface *InteractionChecker*; *RuleBasedChecker* implements it using data-driven *InteractionRule* objects, so rules change without code changes (NFR-08).</w:t>
      </w:r>
    </w:p>
    <w:p>
      <w:pPr>
        <w:pStyle w:val="ListBullet"/>
        <w:spacing w:after="40"/>
      </w:pPr>
      <w:r>
        <w:rPr>
          <w:b/>
        </w:rPr>
        <w:t>Append-only audit:</w:t>
      </w:r>
      <w:r>
        <w:rPr>
          <w:b w:val="0"/>
        </w:rPr>
        <w:t xml:space="preserve"> *AuditEntry* holds hashes of the previous entry and of before / after state, making tampering detectable.</w:t>
      </w:r>
    </w:p>
    <w:p>
      <w:pPr>
        <w:pStyle w:val="ListBullet"/>
        <w:spacing w:after="40"/>
      </w:pPr>
      <w:r>
        <w:rPr>
          <w:b/>
        </w:rPr>
        <w:t>Loose coupling to Billing:</w:t>
      </w:r>
      <w:r>
        <w:rPr>
          <w:b w:val="0"/>
        </w:rPr>
        <w:t xml:space="preserve"> see section 7.</w:t>
      </w:r>
    </w:p>
    <w:p>
      <w:r>
        <w:br w:type="page"/>
      </w:r>
    </w:p>
    <w:p>
      <w:pPr>
        <w:pStyle w:val="Heading1"/>
      </w:pPr>
      <w:r>
        <w:t>4. Sequence diagram – prescribe drug with allergy check</w:t>
      </w:r>
    </w:p>
    <w:p>
      <w:pPr>
        <w:keepNext/>
        <w:jc w:val="center"/>
      </w:pPr>
      <w:r>
        <w:drawing>
          <wp:inline xmlns:a="http://schemas.openxmlformats.org/drawingml/2006/main" xmlns:pic="http://schemas.openxmlformats.org/drawingml/2006/picture">
            <wp:extent cx="7560000" cy="5377096"/>
            <wp:docPr id="3" name="Picture 3"/>
            <wp:cNvGraphicFramePr>
              <a:graphicFrameLocks noChangeAspect="1"/>
            </wp:cNvGraphicFramePr>
            <a:graphic>
              <a:graphicData uri="http://schemas.openxmlformats.org/drawingml/2006/picture">
                <pic:pic>
                  <pic:nvPicPr>
                    <pic:cNvPr id="0" name="uml3_sequence.png"/>
                    <pic:cNvPicPr/>
                  </pic:nvPicPr>
                  <pic:blipFill>
                    <a:blip r:embed="rId13"/>
                    <a:stretch>
                      <a:fillRect/>
                    </a:stretch>
                  </pic:blipFill>
                  <pic:spPr>
                    <a:xfrm>
                      <a:off x="0" y="0"/>
                      <a:ext cx="7560000" cy="5377096"/>
                    </a:xfrm>
                    <a:prstGeom prst="rect"/>
                  </pic:spPr>
                </pic:pic>
              </a:graphicData>
            </a:graphic>
          </wp:inline>
        </w:drawing>
      </w:r>
    </w:p>
    <w:p>
      <w:pPr>
        <w:jc w:val="center"/>
      </w:pPr>
      <w:r>
        <w:rPr>
          <w:i/>
          <w:color w:val="555555"/>
          <w:sz w:val="18"/>
        </w:rPr>
        <w:t>Figure UML-3  Sequence diagram</w:t>
      </w:r>
    </w:p>
    <w:p>
      <w:r>
        <w:rPr>
          <w:b w:val="0"/>
        </w:rPr>
        <w:t xml:space="preserve">Messages 1–5 gather the patient’s allergy profile and the prescription. Message 6 validates numeric fields. Messages 7–10 fetch allergies and active medications and ask the *InteractionEngine* for OK, WARN or BLOCK. The </w:t>
      </w:r>
      <w:r>
        <w:rPr>
          <w:b/>
        </w:rPr>
        <w:t>alt</w:t>
      </w:r>
      <w:r>
        <w:rPr>
          <w:b w:val="0"/>
        </w:rPr>
        <w:t xml:space="preserve"> fragment handles WARN / BLOCK: the doctor must change the drug or override with a reason (and a co-signer for BLOCK), and the override is audited (message 15). Messages 16–21 sign, audit, queue for the pharmacy and publish the event. Messages 18–19 are </w:t>
      </w:r>
      <w:r>
        <w:rPr>
          <w:b/>
        </w:rPr>
        <w:t>asynchronous</w:t>
      </w:r>
      <w:r>
        <w:rPr>
          <w:b w:val="0"/>
        </w:rPr>
        <w:t>: the prescribing service only talks to the event bus, never to Billing.</w:t>
      </w:r>
    </w:p>
    <w:p>
      <w:r>
        <w:br w:type="page"/>
      </w:r>
    </w:p>
    <w:p>
      <w:pPr>
        <w:pStyle w:val="Heading1"/>
      </w:pPr>
      <w:r>
        <w:t>5. Activity diagram – encounter from registration to discharge</w:t>
      </w:r>
    </w:p>
    <w:p>
      <w:pPr>
        <w:keepNext/>
        <w:jc w:val="center"/>
      </w:pPr>
      <w:r>
        <w:drawing>
          <wp:inline xmlns:a="http://schemas.openxmlformats.org/drawingml/2006/main" xmlns:pic="http://schemas.openxmlformats.org/drawingml/2006/picture">
            <wp:extent cx="6300000" cy="5673077"/>
            <wp:docPr id="4" name="Picture 4"/>
            <wp:cNvGraphicFramePr>
              <a:graphicFrameLocks noChangeAspect="1"/>
            </wp:cNvGraphicFramePr>
            <a:graphic>
              <a:graphicData uri="http://schemas.openxmlformats.org/drawingml/2006/picture">
                <pic:pic>
                  <pic:nvPicPr>
                    <pic:cNvPr id="0" name="uml4_activity.png"/>
                    <pic:cNvPicPr/>
                  </pic:nvPicPr>
                  <pic:blipFill>
                    <a:blip r:embed="rId14"/>
                    <a:stretch>
                      <a:fillRect/>
                    </a:stretch>
                  </pic:blipFill>
                  <pic:spPr>
                    <a:xfrm>
                      <a:off x="0" y="0"/>
                      <a:ext cx="6300000" cy="5673077"/>
                    </a:xfrm>
                    <a:prstGeom prst="rect"/>
                  </pic:spPr>
                </pic:pic>
              </a:graphicData>
            </a:graphic>
          </wp:inline>
        </w:drawing>
      </w:r>
    </w:p>
    <w:p>
      <w:pPr>
        <w:jc w:val="center"/>
      </w:pPr>
      <w:r>
        <w:rPr>
          <w:i/>
          <w:color w:val="555555"/>
          <w:sz w:val="18"/>
        </w:rPr>
        <w:t>Figure UML-4  Activity diagram with swim-lanes</w:t>
      </w:r>
    </w:p>
    <w:p>
      <w:r>
        <w:rPr>
          <w:b w:val="0"/>
        </w:rPr>
        <w:t xml:space="preserve">The allergy-status decision (‘recorded?’) is a </w:t>
      </w:r>
      <w:r>
        <w:rPr>
          <w:b/>
        </w:rPr>
        <w:t>gate before any prescribing</w:t>
      </w:r>
      <w:r>
        <w:rPr>
          <w:b w:val="0"/>
        </w:rPr>
        <w:t>: if the status is UNKNOWN the flow loops back to the doctor to ask the patient or read the referral papers. The fork after dispensing shows that billing notification and pharmacy stock update are independent and parallel.</w:t>
      </w:r>
    </w:p>
    <w:p>
      <w:r>
        <w:br w:type="page"/>
      </w:r>
    </w:p>
    <w:p>
      <w:pPr>
        <w:pStyle w:val="Heading1"/>
      </w:pPr>
      <w:r>
        <w:t>6. Deployment diagram</w:t>
      </w:r>
    </w:p>
    <w:p>
      <w:pPr>
        <w:keepNext/>
        <w:jc w:val="center"/>
      </w:pPr>
      <w:r>
        <w:drawing>
          <wp:inline xmlns:a="http://schemas.openxmlformats.org/drawingml/2006/main" xmlns:pic="http://schemas.openxmlformats.org/drawingml/2006/picture">
            <wp:extent cx="8640000" cy="4597160"/>
            <wp:docPr id="5" name="Picture 5"/>
            <wp:cNvGraphicFramePr>
              <a:graphicFrameLocks noChangeAspect="1"/>
            </wp:cNvGraphicFramePr>
            <a:graphic>
              <a:graphicData uri="http://schemas.openxmlformats.org/drawingml/2006/picture">
                <pic:pic>
                  <pic:nvPicPr>
                    <pic:cNvPr id="0" name="uml5_deployment.png"/>
                    <pic:cNvPicPr/>
                  </pic:nvPicPr>
                  <pic:blipFill>
                    <a:blip r:embed="rId15"/>
                    <a:stretch>
                      <a:fillRect/>
                    </a:stretch>
                  </pic:blipFill>
                  <pic:spPr>
                    <a:xfrm>
                      <a:off x="0" y="0"/>
                      <a:ext cx="8640000" cy="4597160"/>
                    </a:xfrm>
                    <a:prstGeom prst="rect"/>
                  </pic:spPr>
                </pic:pic>
              </a:graphicData>
            </a:graphic>
          </wp:inline>
        </w:drawing>
      </w:r>
    </w:p>
    <w:p>
      <w:pPr>
        <w:jc w:val="center"/>
      </w:pPr>
      <w:r>
        <w:rPr>
          <w:i/>
          <w:color w:val="555555"/>
          <w:sz w:val="18"/>
        </w:rPr>
        <w:t>Figure UML-5  Deployment diagram</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7937"/>
        <w:gridCol w:w="6803"/>
      </w:tblGrid>
      <w:tr>
        <w:trPr>
          <w:tblHeader w:val="true"/>
        </w:trPr>
        <w:tc>
          <w:tcPr>
            <w:tcW w:type="dxa" w:w="7937"/>
            <w:shd w:val="clear" w:color="auto" w:fill="1F3A5F"/>
          </w:tcPr>
          <w:p>
            <w:r/>
            <w:r>
              <w:rPr>
                <w:b/>
                <w:color w:val="FFFFFF"/>
                <w:sz w:val="18"/>
              </w:rPr>
              <w:t>Design element</w:t>
            </w:r>
          </w:p>
        </w:tc>
        <w:tc>
          <w:tcPr>
            <w:tcW w:type="dxa" w:w="6803"/>
            <w:shd w:val="clear" w:color="auto" w:fill="1F3A5F"/>
          </w:tcPr>
          <w:p>
            <w:r/>
            <w:r>
              <w:rPr>
                <w:b/>
                <w:color w:val="FFFFFF"/>
                <w:sz w:val="18"/>
              </w:rPr>
              <w:t>Requirement it supports</w:t>
            </w:r>
          </w:p>
        </w:tc>
      </w:tr>
      <w:tr>
        <w:trPr>
          <w:cantSplit w:val="true"/>
        </w:trPr>
        <w:tc>
          <w:tcPr>
            <w:tcW w:type="dxa" w:w="7937"/>
          </w:tcPr>
          <w:p>
            <w:pPr>
              <w:spacing w:after="20"/>
            </w:pPr>
            <w:r>
              <w:rPr>
                <w:b w:val="0"/>
                <w:sz w:val="18"/>
              </w:rPr>
              <w:t>Load balancer / WAF, TLS termination, API gateway with RBAC</w:t>
            </w:r>
          </w:p>
        </w:tc>
        <w:tc>
          <w:tcPr>
            <w:tcW w:type="dxa" w:w="6803"/>
          </w:tcPr>
          <w:p>
            <w:pPr>
              <w:spacing w:after="20"/>
            </w:pPr>
            <w:r>
              <w:rPr>
                <w:b w:val="0"/>
                <w:sz w:val="18"/>
              </w:rPr>
              <w:t>NFR-01 Security; FR-10</w:t>
            </w:r>
          </w:p>
        </w:tc>
      </w:tr>
      <w:tr>
        <w:trPr>
          <w:cantSplit w:val="true"/>
        </w:trPr>
        <w:tc>
          <w:tcPr>
            <w:tcW w:type="dxa" w:w="7937"/>
            <w:shd w:val="clear" w:color="auto" w:fill="F3F7F9"/>
          </w:tcPr>
          <w:p>
            <w:pPr>
              <w:spacing w:after="20"/>
            </w:pPr>
            <w:r>
              <w:rPr>
                <w:b w:val="0"/>
                <w:sz w:val="18"/>
              </w:rPr>
              <w:t>Two active/active application servers</w:t>
            </w:r>
          </w:p>
        </w:tc>
        <w:tc>
          <w:tcPr>
            <w:tcW w:type="dxa" w:w="6803"/>
            <w:shd w:val="clear" w:color="auto" w:fill="F3F7F9"/>
          </w:tcPr>
          <w:p>
            <w:pPr>
              <w:spacing w:after="20"/>
            </w:pPr>
            <w:r>
              <w:rPr>
                <w:b w:val="0"/>
                <w:sz w:val="18"/>
              </w:rPr>
              <w:t>NFR-03 Availability (MTTR ≤ 2 h), NFR-05 Performance, NFR-07 Scalability</w:t>
            </w:r>
          </w:p>
        </w:tc>
      </w:tr>
      <w:tr>
        <w:trPr>
          <w:cantSplit w:val="true"/>
        </w:trPr>
        <w:tc>
          <w:tcPr>
            <w:tcW w:type="dxa" w:w="7937"/>
          </w:tcPr>
          <w:p>
            <w:pPr>
              <w:spacing w:after="20"/>
            </w:pPr>
            <w:r>
              <w:rPr>
                <w:b w:val="0"/>
                <w:sz w:val="18"/>
              </w:rPr>
              <w:t>Synchronous standby database in a second state; immutable backup vault</w:t>
            </w:r>
          </w:p>
        </w:tc>
        <w:tc>
          <w:tcPr>
            <w:tcW w:type="dxa" w:w="6803"/>
          </w:tcPr>
          <w:p>
            <w:pPr>
              <w:spacing w:after="20"/>
            </w:pPr>
            <w:r>
              <w:rPr>
                <w:b w:val="0"/>
                <w:sz w:val="18"/>
              </w:rPr>
              <w:t>NFR-06 Durability (RPO = 0), NFR-03 (RTO ≤ 2 h), CMO’s ‘never lose a record’</w:t>
            </w:r>
          </w:p>
        </w:tc>
      </w:tr>
      <w:tr>
        <w:trPr>
          <w:cantSplit w:val="true"/>
        </w:trPr>
        <w:tc>
          <w:tcPr>
            <w:tcW w:type="dxa" w:w="7937"/>
            <w:shd w:val="clear" w:color="auto" w:fill="F3F7F9"/>
          </w:tcPr>
          <w:p>
            <w:pPr>
              <w:spacing w:after="20"/>
            </w:pPr>
            <w:r>
              <w:rPr>
                <w:b w:val="0"/>
                <w:sz w:val="18"/>
              </w:rPr>
              <w:t>WORM audit store with hash chain</w:t>
            </w:r>
          </w:p>
        </w:tc>
        <w:tc>
          <w:tcPr>
            <w:tcW w:type="dxa" w:w="6803"/>
            <w:shd w:val="clear" w:color="auto" w:fill="F3F7F9"/>
          </w:tcPr>
          <w:p>
            <w:pPr>
              <w:spacing w:after="20"/>
            </w:pPr>
            <w:r>
              <w:rPr>
                <w:b w:val="0"/>
                <w:sz w:val="18"/>
              </w:rPr>
              <w:t>NFR-02 Auditability</w:t>
            </w:r>
          </w:p>
        </w:tc>
      </w:tr>
      <w:tr>
        <w:trPr>
          <w:cantSplit w:val="true"/>
        </w:trPr>
        <w:tc>
          <w:tcPr>
            <w:tcW w:type="dxa" w:w="7937"/>
          </w:tcPr>
          <w:p>
            <w:pPr>
              <w:spacing w:after="20"/>
            </w:pPr>
            <w:r>
              <w:rPr>
                <w:b w:val="0"/>
                <w:sz w:val="18"/>
              </w:rPr>
              <w:t>Temporary migration zone with ETL, quarantine store, read-only legacy extract</w:t>
            </w:r>
          </w:p>
        </w:tc>
        <w:tc>
          <w:tcPr>
            <w:tcW w:type="dxa" w:w="6803"/>
          </w:tcPr>
          <w:p>
            <w:pPr>
              <w:spacing w:after="20"/>
            </w:pPr>
            <w:r>
              <w:rPr>
                <w:b w:val="0"/>
                <w:sz w:val="18"/>
              </w:rPr>
              <w:t>FR-12; risk R1 (migration) – decommissioned after cut-over</w:t>
            </w:r>
          </w:p>
        </w:tc>
      </w:tr>
      <w:tr>
        <w:trPr>
          <w:cantSplit w:val="true"/>
        </w:trPr>
        <w:tc>
          <w:tcPr>
            <w:tcW w:type="dxa" w:w="7937"/>
            <w:shd w:val="clear" w:color="auto" w:fill="F3F7F9"/>
          </w:tcPr>
          <w:p>
            <w:pPr>
              <w:spacing w:after="20"/>
            </w:pPr>
            <w:r>
              <w:rPr>
                <w:b w:val="0"/>
                <w:sz w:val="18"/>
              </w:rPr>
              <w:t>Billing service deployed separately and fed by a message broker</w:t>
            </w:r>
          </w:p>
        </w:tc>
        <w:tc>
          <w:tcPr>
            <w:tcW w:type="dxa" w:w="6803"/>
            <w:shd w:val="clear" w:color="auto" w:fill="F3F7F9"/>
          </w:tcPr>
          <w:p>
            <w:pPr>
              <w:spacing w:after="20"/>
            </w:pPr>
            <w:r>
              <w:rPr>
                <w:b w:val="0"/>
                <w:sz w:val="18"/>
              </w:rPr>
              <w:t>Loose coupling; a Billing outage cannot stop prescribing</w:t>
            </w:r>
          </w:p>
        </w:tc>
      </w:tr>
    </w:tbl>
    <w:p>
      <w:pPr>
        <w:spacing w:after="40"/>
      </w:pPr>
    </w:p>
    <w:p>
      <w:r>
        <w:br w:type="page"/>
      </w:r>
    </w:p>
    <w:p>
      <w:pPr>
        <w:pStyle w:val="Heading1"/>
      </w:pPr>
      <w:r>
        <w:t>7. How the prescription module is kept loosely coupled from billing</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2835"/>
        <w:gridCol w:w="7370"/>
        <w:gridCol w:w="4535"/>
      </w:tblGrid>
      <w:tr>
        <w:trPr>
          <w:tblHeader w:val="true"/>
        </w:trPr>
        <w:tc>
          <w:tcPr>
            <w:tcW w:type="dxa" w:w="2835"/>
            <w:shd w:val="clear" w:color="auto" w:fill="1F3A5F"/>
          </w:tcPr>
          <w:p>
            <w:r/>
            <w:r>
              <w:rPr>
                <w:b/>
                <w:color w:val="FFFFFF"/>
                <w:sz w:val="18"/>
              </w:rPr>
              <w:t>Mechanism</w:t>
            </w:r>
          </w:p>
        </w:tc>
        <w:tc>
          <w:tcPr>
            <w:tcW w:type="dxa" w:w="7370"/>
            <w:shd w:val="clear" w:color="auto" w:fill="1F3A5F"/>
          </w:tcPr>
          <w:p>
            <w:r/>
            <w:r>
              <w:rPr>
                <w:b/>
                <w:color w:val="FFFFFF"/>
                <w:sz w:val="18"/>
              </w:rPr>
              <w:t>What it means</w:t>
            </w:r>
          </w:p>
        </w:tc>
        <w:tc>
          <w:tcPr>
            <w:tcW w:type="dxa" w:w="4535"/>
            <w:shd w:val="clear" w:color="auto" w:fill="1F3A5F"/>
          </w:tcPr>
          <w:p>
            <w:r/>
            <w:r>
              <w:rPr>
                <w:b/>
                <w:color w:val="FFFFFF"/>
                <w:sz w:val="18"/>
              </w:rPr>
              <w:t>Where it is visible</w:t>
            </w:r>
          </w:p>
        </w:tc>
      </w:tr>
      <w:tr>
        <w:trPr>
          <w:cantSplit w:val="true"/>
        </w:trPr>
        <w:tc>
          <w:tcPr>
            <w:tcW w:type="dxa" w:w="2835"/>
          </w:tcPr>
          <w:p>
            <w:pPr>
              <w:spacing w:after="20"/>
            </w:pPr>
            <w:r>
              <w:rPr>
                <w:b w:val="0"/>
                <w:sz w:val="18"/>
              </w:rPr>
              <w:t>Event-driven integration</w:t>
            </w:r>
          </w:p>
        </w:tc>
        <w:tc>
          <w:tcPr>
            <w:tcW w:type="dxa" w:w="7370"/>
          </w:tcPr>
          <w:p>
            <w:pPr>
              <w:spacing w:after="20"/>
            </w:pPr>
            <w:r>
              <w:rPr>
                <w:b w:val="0"/>
                <w:sz w:val="18"/>
              </w:rPr>
              <w:t>*PrescriptionService* publishes a *PrescriptionIssued* event; it does not know who listens.</w:t>
            </w:r>
          </w:p>
        </w:tc>
        <w:tc>
          <w:tcPr>
            <w:tcW w:type="dxa" w:w="4535"/>
          </w:tcPr>
          <w:p>
            <w:pPr>
              <w:spacing w:after="20"/>
            </w:pPr>
            <w:r>
              <w:rPr>
                <w:b w:val="0"/>
                <w:sz w:val="18"/>
              </w:rPr>
              <w:t>UML-2 (EventPublisher, PrescriptionIssued); UML-3 messages 18–19; UML-4 fork</w:t>
            </w:r>
          </w:p>
        </w:tc>
      </w:tr>
      <w:tr>
        <w:trPr>
          <w:cantSplit w:val="true"/>
        </w:trPr>
        <w:tc>
          <w:tcPr>
            <w:tcW w:type="dxa" w:w="2835"/>
            <w:shd w:val="clear" w:color="auto" w:fill="F3F7F9"/>
          </w:tcPr>
          <w:p>
            <w:pPr>
              <w:spacing w:after="20"/>
            </w:pPr>
            <w:r>
              <w:rPr>
                <w:b w:val="0"/>
                <w:sz w:val="18"/>
              </w:rPr>
              <w:t>Dependency inversion</w:t>
            </w:r>
          </w:p>
        </w:tc>
        <w:tc>
          <w:tcPr>
            <w:tcW w:type="dxa" w:w="7370"/>
            <w:shd w:val="clear" w:color="auto" w:fill="F3F7F9"/>
          </w:tcPr>
          <w:p>
            <w:pPr>
              <w:spacing w:after="20"/>
            </w:pPr>
            <w:r>
              <w:rPr>
                <w:b w:val="0"/>
                <w:sz w:val="18"/>
              </w:rPr>
              <w:t xml:space="preserve">The prescribing module depends on the abstraction *EventPublisher*, never on *BillingService*. Compile-time dependencies from Prescription → Billing: </w:t>
            </w:r>
            <w:r>
              <w:rPr>
                <w:b/>
                <w:sz w:val="18"/>
              </w:rPr>
              <w:t>zero</w:t>
            </w:r>
            <w:r>
              <w:rPr>
                <w:b w:val="0"/>
                <w:sz w:val="18"/>
              </w:rPr>
              <w:t>.</w:t>
            </w:r>
          </w:p>
        </w:tc>
        <w:tc>
          <w:tcPr>
            <w:tcW w:type="dxa" w:w="4535"/>
            <w:shd w:val="clear" w:color="auto" w:fill="F3F7F9"/>
          </w:tcPr>
          <w:p>
            <w:pPr>
              <w:spacing w:after="20"/>
            </w:pPr>
            <w:r>
              <w:rPr>
                <w:b w:val="0"/>
                <w:sz w:val="18"/>
              </w:rPr>
              <w:t>UML-2</w:t>
            </w:r>
          </w:p>
        </w:tc>
      </w:tr>
      <w:tr>
        <w:trPr>
          <w:cantSplit w:val="true"/>
        </w:trPr>
        <w:tc>
          <w:tcPr>
            <w:tcW w:type="dxa" w:w="2835"/>
          </w:tcPr>
          <w:p>
            <w:pPr>
              <w:spacing w:after="20"/>
            </w:pPr>
            <w:r>
              <w:rPr>
                <w:b w:val="0"/>
                <w:sz w:val="18"/>
              </w:rPr>
              <w:t>Reference by ID only</w:t>
            </w:r>
          </w:p>
        </w:tc>
        <w:tc>
          <w:tcPr>
            <w:tcW w:type="dxa" w:w="7370"/>
          </w:tcPr>
          <w:p>
            <w:pPr>
              <w:spacing w:after="20"/>
            </w:pPr>
            <w:r>
              <w:rPr>
                <w:b w:val="0"/>
                <w:sz w:val="18"/>
              </w:rPr>
              <w:t>*Invoice* stores *prescriptionId* but holds no object link to *Prescription*; no shared tables.</w:t>
            </w:r>
          </w:p>
        </w:tc>
        <w:tc>
          <w:tcPr>
            <w:tcW w:type="dxa" w:w="4535"/>
          </w:tcPr>
          <w:p>
            <w:pPr>
              <w:spacing w:after="20"/>
            </w:pPr>
            <w:r>
              <w:rPr>
                <w:b w:val="0"/>
                <w:sz w:val="18"/>
              </w:rPr>
              <w:t>UML-2 (red dotted line)</w:t>
            </w:r>
          </w:p>
        </w:tc>
      </w:tr>
      <w:tr>
        <w:trPr>
          <w:cantSplit w:val="true"/>
        </w:trPr>
        <w:tc>
          <w:tcPr>
            <w:tcW w:type="dxa" w:w="2835"/>
            <w:shd w:val="clear" w:color="auto" w:fill="F3F7F9"/>
          </w:tcPr>
          <w:p>
            <w:pPr>
              <w:spacing w:after="20"/>
            </w:pPr>
            <w:r>
              <w:rPr>
                <w:b w:val="0"/>
                <w:sz w:val="18"/>
              </w:rPr>
              <w:t>Separate deployable and queue</w:t>
            </w:r>
          </w:p>
        </w:tc>
        <w:tc>
          <w:tcPr>
            <w:tcW w:type="dxa" w:w="7370"/>
            <w:shd w:val="clear" w:color="auto" w:fill="F3F7F9"/>
          </w:tcPr>
          <w:p>
            <w:pPr>
              <w:spacing w:after="20"/>
            </w:pPr>
            <w:r>
              <w:rPr>
                <w:b w:val="0"/>
                <w:sz w:val="18"/>
              </w:rPr>
              <w:t>Billing runs as its own service behind a broker; if it is down, events wait in the queue and prescribing continues.</w:t>
            </w:r>
          </w:p>
        </w:tc>
        <w:tc>
          <w:tcPr>
            <w:tcW w:type="dxa" w:w="4535"/>
            <w:shd w:val="clear" w:color="auto" w:fill="F3F7F9"/>
          </w:tcPr>
          <w:p>
            <w:pPr>
              <w:spacing w:after="20"/>
            </w:pPr>
            <w:r>
              <w:rPr>
                <w:b w:val="0"/>
                <w:sz w:val="18"/>
              </w:rPr>
              <w:t>UML-5</w:t>
            </w:r>
          </w:p>
        </w:tc>
      </w:tr>
      <w:tr>
        <w:trPr>
          <w:cantSplit w:val="true"/>
        </w:trPr>
        <w:tc>
          <w:tcPr>
            <w:tcW w:type="dxa" w:w="2835"/>
          </w:tcPr>
          <w:p>
            <w:pPr>
              <w:spacing w:after="20"/>
            </w:pPr>
            <w:r>
              <w:rPr>
                <w:b w:val="0"/>
                <w:sz w:val="18"/>
              </w:rPr>
              <w:t>Independent testing and release</w:t>
            </w:r>
          </w:p>
        </w:tc>
        <w:tc>
          <w:tcPr>
            <w:tcW w:type="dxa" w:w="7370"/>
          </w:tcPr>
          <w:p>
            <w:pPr>
              <w:spacing w:after="20"/>
            </w:pPr>
            <w:r>
              <w:rPr>
                <w:b w:val="0"/>
                <w:sz w:val="18"/>
              </w:rPr>
              <w:t>Prescribing tests use a stub *EventPublisher*; Billing can be released without re-testing the allergy engine – important for the regulated safety gate.</w:t>
            </w:r>
          </w:p>
        </w:tc>
        <w:tc>
          <w:tcPr>
            <w:tcW w:type="dxa" w:w="4535"/>
          </w:tcPr>
          <w:p>
            <w:pPr>
              <w:spacing w:after="20"/>
            </w:pPr>
            <w:r>
              <w:rPr>
                <w:b w:val="0"/>
                <w:sz w:val="18"/>
              </w:rPr>
              <w:t>Test Plan; CI/CD pipeline in the Project Plan</w:t>
            </w:r>
          </w:p>
        </w:tc>
      </w:tr>
    </w:tbl>
    <w:p>
      <w:pPr>
        <w:spacing w:after="40"/>
      </w:pPr>
    </w:p>
    <w:p>
      <w:r>
        <w:rPr>
          <w:b/>
        </w:rPr>
        <w:t>Result:</w:t>
      </w:r>
      <w:r>
        <w:rPr>
          <w:b w:val="0"/>
        </w:rPr>
        <w:t xml:space="preserve"> a change in billing rules, a billing bug or a billing outage cannot alter, delay or block the safety-critical prescribing path, and the safety-critical code can be verified without Billing.</w:t>
      </w:r>
    </w:p>
    <w:p>
      <w:pPr>
        <w:pStyle w:val="Heading1"/>
      </w:pPr>
      <w:r>
        <w:t>8. Internal consistency check</w:t>
      </w:r>
    </w:p>
    <w:tbl>
      <w:tblPr>
        <w:tblW w:type="auto" w:w="0"/>
        <w:jc w:val="center"/>
        <w:tblLayout w:type="fixed"/>
        <w:tblLook w:firstColumn="1" w:firstRow="1" w:lastColumn="0" w:lastRow="0" w:noHBand="0" w:noVBand="1" w:val="04A0"/>
        <w:tblBorders>
          <w:top w:val="single" w:sz="4" w:space="0" w:color="9AA5B1"/>
          <w:left w:val="single" w:sz="4" w:space="0" w:color="9AA5B1"/>
          <w:bottom w:val="single" w:sz="4" w:space="0" w:color="9AA5B1"/>
          <w:right w:val="single" w:sz="4" w:space="0" w:color="9AA5B1"/>
          <w:insideH w:val="single" w:sz="4" w:space="0" w:color="9AA5B1"/>
          <w:insideV w:val="single" w:sz="4" w:space="0" w:color="9AA5B1"/>
        </w:tblBorders>
        <w:tblLayout w:type="fixed"/>
      </w:tblPr>
      <w:tblGrid>
        <w:gridCol w:w="2608"/>
        <w:gridCol w:w="2948"/>
        <w:gridCol w:w="3628"/>
        <w:gridCol w:w="3628"/>
        <w:gridCol w:w="1020"/>
      </w:tblGrid>
      <w:tr>
        <w:trPr>
          <w:tblHeader w:val="true"/>
        </w:trPr>
        <w:tc>
          <w:tcPr>
            <w:tcW w:type="dxa" w:w="2608"/>
            <w:shd w:val="clear" w:color="auto" w:fill="1F3A5F"/>
          </w:tcPr>
          <w:p>
            <w:r/>
            <w:r>
              <w:rPr>
                <w:b/>
                <w:color w:val="FFFFFF"/>
                <w:sz w:val="17"/>
              </w:rPr>
              <w:t>Use case (UML-1)</w:t>
            </w:r>
          </w:p>
        </w:tc>
        <w:tc>
          <w:tcPr>
            <w:tcW w:type="dxa" w:w="2948"/>
            <w:shd w:val="clear" w:color="auto" w:fill="1F3A5F"/>
          </w:tcPr>
          <w:p>
            <w:r/>
            <w:r>
              <w:rPr>
                <w:b/>
                <w:color w:val="FFFFFF"/>
                <w:sz w:val="17"/>
              </w:rPr>
              <w:t>Class(es) (UML-2)</w:t>
            </w:r>
          </w:p>
        </w:tc>
        <w:tc>
          <w:tcPr>
            <w:tcW w:type="dxa" w:w="3628"/>
            <w:shd w:val="clear" w:color="auto" w:fill="1F3A5F"/>
          </w:tcPr>
          <w:p>
            <w:r/>
            <w:r>
              <w:rPr>
                <w:b/>
                <w:color w:val="FFFFFF"/>
                <w:sz w:val="17"/>
              </w:rPr>
              <w:t>Sequence / activity (UML-3, UML-4)</w:t>
            </w:r>
          </w:p>
        </w:tc>
        <w:tc>
          <w:tcPr>
            <w:tcW w:type="dxa" w:w="3628"/>
            <w:shd w:val="clear" w:color="auto" w:fill="1F3A5F"/>
          </w:tcPr>
          <w:p>
            <w:r/>
            <w:r>
              <w:rPr>
                <w:b/>
                <w:color w:val="FFFFFF"/>
                <w:sz w:val="17"/>
              </w:rPr>
              <w:t>Deployed on (UML-5)</w:t>
            </w:r>
          </w:p>
        </w:tc>
        <w:tc>
          <w:tcPr>
            <w:tcW w:type="dxa" w:w="1020"/>
            <w:shd w:val="clear" w:color="auto" w:fill="1F3A5F"/>
          </w:tcPr>
          <w:p>
            <w:r/>
            <w:r>
              <w:rPr>
                <w:b/>
                <w:color w:val="FFFFFF"/>
                <w:sz w:val="17"/>
              </w:rPr>
              <w:t>Req.</w:t>
            </w:r>
          </w:p>
        </w:tc>
      </w:tr>
      <w:tr>
        <w:trPr>
          <w:cantSplit w:val="true"/>
        </w:trPr>
        <w:tc>
          <w:tcPr>
            <w:tcW w:type="dxa" w:w="2608"/>
          </w:tcPr>
          <w:p>
            <w:pPr>
              <w:spacing w:after="20"/>
            </w:pPr>
            <w:r>
              <w:rPr>
                <w:b w:val="0"/>
                <w:sz w:val="17"/>
              </w:rPr>
              <w:t>Register Patient</w:t>
            </w:r>
          </w:p>
        </w:tc>
        <w:tc>
          <w:tcPr>
            <w:tcW w:type="dxa" w:w="2948"/>
          </w:tcPr>
          <w:p>
            <w:pPr>
              <w:spacing w:after="20"/>
            </w:pPr>
            <w:r>
              <w:rPr>
                <w:b w:val="0"/>
                <w:sz w:val="17"/>
              </w:rPr>
              <w:t>Patient</w:t>
            </w:r>
          </w:p>
        </w:tc>
        <w:tc>
          <w:tcPr>
            <w:tcW w:type="dxa" w:w="3628"/>
          </w:tcPr>
          <w:p>
            <w:pPr>
              <w:spacing w:after="20"/>
            </w:pPr>
            <w:r>
              <w:rPr>
                <w:b w:val="0"/>
                <w:sz w:val="17"/>
              </w:rPr>
              <w:t>UML-4: ‘Register new patient’</w:t>
            </w:r>
          </w:p>
        </w:tc>
        <w:tc>
          <w:tcPr>
            <w:tcW w:type="dxa" w:w="3628"/>
          </w:tcPr>
          <w:p>
            <w:pPr>
              <w:spacing w:after="20"/>
            </w:pPr>
            <w:r>
              <w:rPr>
                <w:b w:val="0"/>
                <w:sz w:val="17"/>
              </w:rPr>
              <w:t>App server – Patient service; Primary DB</w:t>
            </w:r>
          </w:p>
        </w:tc>
        <w:tc>
          <w:tcPr>
            <w:tcW w:type="dxa" w:w="1020"/>
          </w:tcPr>
          <w:p>
            <w:pPr>
              <w:spacing w:after="20"/>
            </w:pPr>
            <w:r>
              <w:rPr>
                <w:b w:val="0"/>
                <w:sz w:val="17"/>
              </w:rPr>
              <w:t>FR-01</w:t>
            </w:r>
          </w:p>
        </w:tc>
      </w:tr>
      <w:tr>
        <w:trPr>
          <w:cantSplit w:val="true"/>
        </w:trPr>
        <w:tc>
          <w:tcPr>
            <w:tcW w:type="dxa" w:w="2608"/>
            <w:shd w:val="clear" w:color="auto" w:fill="F3F7F9"/>
          </w:tcPr>
          <w:p>
            <w:pPr>
              <w:spacing w:after="20"/>
            </w:pPr>
            <w:r>
              <w:rPr>
                <w:b w:val="0"/>
                <w:sz w:val="17"/>
              </w:rPr>
              <w:t>Search Patient Across Sites</w:t>
            </w:r>
          </w:p>
        </w:tc>
        <w:tc>
          <w:tcPr>
            <w:tcW w:type="dxa" w:w="2948"/>
            <w:shd w:val="clear" w:color="auto" w:fill="F3F7F9"/>
          </w:tcPr>
          <w:p>
            <w:pPr>
              <w:spacing w:after="20"/>
            </w:pPr>
            <w:r>
              <w:rPr>
                <w:b w:val="0"/>
                <w:sz w:val="17"/>
              </w:rPr>
              <w:t>Patient, Encounter</w:t>
            </w:r>
          </w:p>
        </w:tc>
        <w:tc>
          <w:tcPr>
            <w:tcW w:type="dxa" w:w="3628"/>
            <w:shd w:val="clear" w:color="auto" w:fill="F3F7F9"/>
          </w:tcPr>
          <w:p>
            <w:pPr>
              <w:spacing w:after="20"/>
            </w:pPr>
            <w:r>
              <w:rPr>
                <w:b w:val="0"/>
                <w:sz w:val="17"/>
              </w:rPr>
              <w:t>UML-4: ‘Search patient’, ‘Load unified record’</w:t>
            </w:r>
          </w:p>
        </w:tc>
        <w:tc>
          <w:tcPr>
            <w:tcW w:type="dxa" w:w="3628"/>
            <w:shd w:val="clear" w:color="auto" w:fill="F3F7F9"/>
          </w:tcPr>
          <w:p>
            <w:pPr>
              <w:spacing w:after="20"/>
            </w:pPr>
            <w:r>
              <w:rPr>
                <w:b w:val="0"/>
                <w:sz w:val="17"/>
              </w:rPr>
              <w:t>App server; API gateway</w:t>
            </w:r>
          </w:p>
        </w:tc>
        <w:tc>
          <w:tcPr>
            <w:tcW w:type="dxa" w:w="1020"/>
            <w:shd w:val="clear" w:color="auto" w:fill="F3F7F9"/>
          </w:tcPr>
          <w:p>
            <w:pPr>
              <w:spacing w:after="20"/>
            </w:pPr>
            <w:r>
              <w:rPr>
                <w:b w:val="0"/>
                <w:sz w:val="17"/>
              </w:rPr>
              <w:t>FR-02</w:t>
            </w:r>
          </w:p>
        </w:tc>
      </w:tr>
      <w:tr>
        <w:trPr>
          <w:cantSplit w:val="true"/>
        </w:trPr>
        <w:tc>
          <w:tcPr>
            <w:tcW w:type="dxa" w:w="2608"/>
          </w:tcPr>
          <w:p>
            <w:pPr>
              <w:spacing w:after="20"/>
            </w:pPr>
            <w:r>
              <w:rPr>
                <w:b w:val="0"/>
                <w:sz w:val="17"/>
              </w:rPr>
              <w:t>Record Allergies</w:t>
            </w:r>
          </w:p>
        </w:tc>
        <w:tc>
          <w:tcPr>
            <w:tcW w:type="dxa" w:w="2948"/>
          </w:tcPr>
          <w:p>
            <w:pPr>
              <w:spacing w:after="20"/>
            </w:pPr>
            <w:r>
              <w:rPr>
                <w:b w:val="0"/>
                <w:sz w:val="17"/>
              </w:rPr>
              <w:t>AllergyRecord, Patient.allergyStatus</w:t>
            </w:r>
          </w:p>
        </w:tc>
        <w:tc>
          <w:tcPr>
            <w:tcW w:type="dxa" w:w="3628"/>
          </w:tcPr>
          <w:p>
            <w:pPr>
              <w:spacing w:after="20"/>
            </w:pPr>
            <w:r>
              <w:rPr>
                <w:b w:val="0"/>
                <w:sz w:val="17"/>
              </w:rPr>
              <w:t>UML-3 msgs 2–3, 8; UML-4 allergy-status gate</w:t>
            </w:r>
          </w:p>
        </w:tc>
        <w:tc>
          <w:tcPr>
            <w:tcW w:type="dxa" w:w="3628"/>
          </w:tcPr>
          <w:p>
            <w:pPr>
              <w:spacing w:after="20"/>
            </w:pPr>
            <w:r>
              <w:rPr>
                <w:b w:val="0"/>
                <w:sz w:val="17"/>
              </w:rPr>
              <w:t>App server – Record service</w:t>
            </w:r>
          </w:p>
        </w:tc>
        <w:tc>
          <w:tcPr>
            <w:tcW w:type="dxa" w:w="1020"/>
          </w:tcPr>
          <w:p>
            <w:pPr>
              <w:spacing w:after="20"/>
            </w:pPr>
            <w:r>
              <w:rPr>
                <w:b w:val="0"/>
                <w:sz w:val="17"/>
              </w:rPr>
              <w:t>FR-03</w:t>
            </w:r>
          </w:p>
        </w:tc>
      </w:tr>
      <w:tr>
        <w:trPr>
          <w:cantSplit w:val="true"/>
        </w:trPr>
        <w:tc>
          <w:tcPr>
            <w:tcW w:type="dxa" w:w="2608"/>
            <w:shd w:val="clear" w:color="auto" w:fill="F3F7F9"/>
          </w:tcPr>
          <w:p>
            <w:pPr>
              <w:spacing w:after="20"/>
            </w:pPr>
            <w:r>
              <w:rPr>
                <w:b w:val="0"/>
                <w:sz w:val="17"/>
              </w:rPr>
              <w:t>Record Clinical Notes</w:t>
            </w:r>
          </w:p>
        </w:tc>
        <w:tc>
          <w:tcPr>
            <w:tcW w:type="dxa" w:w="2948"/>
            <w:shd w:val="clear" w:color="auto" w:fill="F3F7F9"/>
          </w:tcPr>
          <w:p>
            <w:pPr>
              <w:spacing w:after="20"/>
            </w:pPr>
            <w:r>
              <w:rPr>
                <w:b w:val="0"/>
                <w:sz w:val="17"/>
              </w:rPr>
              <w:t>Encounter, ClinicalNote</w:t>
            </w:r>
          </w:p>
        </w:tc>
        <w:tc>
          <w:tcPr>
            <w:tcW w:type="dxa" w:w="3628"/>
            <w:shd w:val="clear" w:color="auto" w:fill="F3F7F9"/>
          </w:tcPr>
          <w:p>
            <w:pPr>
              <w:spacing w:after="20"/>
            </w:pPr>
            <w:r>
              <w:rPr>
                <w:b w:val="0"/>
                <w:sz w:val="17"/>
              </w:rPr>
              <w:t>UML-4: ‘Review history &amp; record notes’</w:t>
            </w:r>
          </w:p>
        </w:tc>
        <w:tc>
          <w:tcPr>
            <w:tcW w:type="dxa" w:w="3628"/>
            <w:shd w:val="clear" w:color="auto" w:fill="F3F7F9"/>
          </w:tcPr>
          <w:p>
            <w:pPr>
              <w:spacing w:after="20"/>
            </w:pPr>
            <w:r>
              <w:rPr>
                <w:b w:val="0"/>
                <w:sz w:val="17"/>
              </w:rPr>
              <w:t>App server; Primary DB</w:t>
            </w:r>
          </w:p>
        </w:tc>
        <w:tc>
          <w:tcPr>
            <w:tcW w:type="dxa" w:w="1020"/>
            <w:shd w:val="clear" w:color="auto" w:fill="F3F7F9"/>
          </w:tcPr>
          <w:p>
            <w:pPr>
              <w:spacing w:after="20"/>
            </w:pPr>
            <w:r>
              <w:rPr>
                <w:b w:val="0"/>
                <w:sz w:val="17"/>
              </w:rPr>
              <w:t>FR-04</w:t>
            </w:r>
          </w:p>
        </w:tc>
      </w:tr>
      <w:tr>
        <w:trPr>
          <w:cantSplit w:val="true"/>
        </w:trPr>
        <w:tc>
          <w:tcPr>
            <w:tcW w:type="dxa" w:w="2608"/>
          </w:tcPr>
          <w:p>
            <w:pPr>
              <w:spacing w:after="20"/>
            </w:pPr>
            <w:r>
              <w:rPr>
                <w:b w:val="0"/>
                <w:sz w:val="17"/>
              </w:rPr>
              <w:t>Prescribe Drug</w:t>
            </w:r>
          </w:p>
        </w:tc>
        <w:tc>
          <w:tcPr>
            <w:tcW w:type="dxa" w:w="2948"/>
          </w:tcPr>
          <w:p>
            <w:pPr>
              <w:spacing w:after="20"/>
            </w:pPr>
            <w:r>
              <w:rPr>
                <w:b w:val="0"/>
                <w:sz w:val="17"/>
              </w:rPr>
              <w:t>Prescription, PrescriptionItem, Drug, PrescriptionService</w:t>
            </w:r>
          </w:p>
        </w:tc>
        <w:tc>
          <w:tcPr>
            <w:tcW w:type="dxa" w:w="3628"/>
          </w:tcPr>
          <w:p>
            <w:pPr>
              <w:spacing w:after="20"/>
            </w:pPr>
            <w:r>
              <w:rPr>
                <w:b w:val="0"/>
                <w:sz w:val="17"/>
              </w:rPr>
              <w:t>UML-3 msgs 4–6, 16–21</w:t>
            </w:r>
          </w:p>
        </w:tc>
        <w:tc>
          <w:tcPr>
            <w:tcW w:type="dxa" w:w="3628"/>
          </w:tcPr>
          <w:p>
            <w:pPr>
              <w:spacing w:after="20"/>
            </w:pPr>
            <w:r>
              <w:rPr>
                <w:b w:val="0"/>
                <w:sz w:val="17"/>
              </w:rPr>
              <w:t>App server – Prescription service</w:t>
            </w:r>
          </w:p>
        </w:tc>
        <w:tc>
          <w:tcPr>
            <w:tcW w:type="dxa" w:w="1020"/>
          </w:tcPr>
          <w:p>
            <w:pPr>
              <w:spacing w:after="20"/>
            </w:pPr>
            <w:r>
              <w:rPr>
                <w:b w:val="0"/>
                <w:sz w:val="17"/>
              </w:rPr>
              <w:t>FR-05</w:t>
            </w:r>
          </w:p>
        </w:tc>
      </w:tr>
      <w:tr>
        <w:trPr>
          <w:cantSplit w:val="true"/>
        </w:trPr>
        <w:tc>
          <w:tcPr>
            <w:tcW w:type="dxa" w:w="2608"/>
            <w:shd w:val="clear" w:color="auto" w:fill="F3F7F9"/>
          </w:tcPr>
          <w:p>
            <w:pPr>
              <w:spacing w:after="20"/>
            </w:pPr>
            <w:r>
              <w:rPr>
                <w:b w:val="0"/>
                <w:sz w:val="17"/>
              </w:rPr>
              <w:t>Check Allergy &amp; Interactions / Override</w:t>
            </w:r>
          </w:p>
        </w:tc>
        <w:tc>
          <w:tcPr>
            <w:tcW w:type="dxa" w:w="2948"/>
            <w:shd w:val="clear" w:color="auto" w:fill="F3F7F9"/>
          </w:tcPr>
          <w:p>
            <w:pPr>
              <w:spacing w:after="20"/>
            </w:pPr>
            <w:r>
              <w:rPr>
                <w:b w:val="0"/>
                <w:sz w:val="17"/>
              </w:rPr>
              <w:t>InteractionChecker, RuleBasedChecker, InteractionRule</w:t>
            </w:r>
          </w:p>
        </w:tc>
        <w:tc>
          <w:tcPr>
            <w:tcW w:type="dxa" w:w="3628"/>
            <w:shd w:val="clear" w:color="auto" w:fill="F3F7F9"/>
          </w:tcPr>
          <w:p>
            <w:pPr>
              <w:spacing w:after="20"/>
            </w:pPr>
            <w:r>
              <w:rPr>
                <w:b w:val="0"/>
                <w:sz w:val="17"/>
              </w:rPr>
              <w:t>UML-3 msgs 7–15; UML-4 ‘Check allergy &amp; interactions’</w:t>
            </w:r>
          </w:p>
        </w:tc>
        <w:tc>
          <w:tcPr>
            <w:tcW w:type="dxa" w:w="3628"/>
            <w:shd w:val="clear" w:color="auto" w:fill="F3F7F9"/>
          </w:tcPr>
          <w:p>
            <w:pPr>
              <w:spacing w:after="20"/>
            </w:pPr>
            <w:r>
              <w:rPr>
                <w:b w:val="0"/>
                <w:sz w:val="17"/>
              </w:rPr>
              <w:t>App server – Interaction engine</w:t>
            </w:r>
          </w:p>
        </w:tc>
        <w:tc>
          <w:tcPr>
            <w:tcW w:type="dxa" w:w="1020"/>
            <w:shd w:val="clear" w:color="auto" w:fill="F3F7F9"/>
          </w:tcPr>
          <w:p>
            <w:pPr>
              <w:spacing w:after="20"/>
            </w:pPr>
            <w:r>
              <w:rPr>
                <w:b w:val="0"/>
                <w:sz w:val="17"/>
              </w:rPr>
              <w:t>FR-06</w:t>
            </w:r>
          </w:p>
        </w:tc>
      </w:tr>
      <w:tr>
        <w:trPr>
          <w:cantSplit w:val="true"/>
        </w:trPr>
        <w:tc>
          <w:tcPr>
            <w:tcW w:type="dxa" w:w="2608"/>
          </w:tcPr>
          <w:p>
            <w:pPr>
              <w:spacing w:after="20"/>
            </w:pPr>
            <w:r>
              <w:rPr>
                <w:b w:val="0"/>
                <w:sz w:val="17"/>
              </w:rPr>
              <w:t>Order Lab Test / Record Lab Result</w:t>
            </w:r>
          </w:p>
        </w:tc>
        <w:tc>
          <w:tcPr>
            <w:tcW w:type="dxa" w:w="2948"/>
          </w:tcPr>
          <w:p>
            <w:pPr>
              <w:spacing w:after="20"/>
            </w:pPr>
            <w:r>
              <w:rPr>
                <w:b w:val="0"/>
                <w:sz w:val="17"/>
              </w:rPr>
              <w:t>LabOrder, LabResult</w:t>
            </w:r>
          </w:p>
        </w:tc>
        <w:tc>
          <w:tcPr>
            <w:tcW w:type="dxa" w:w="3628"/>
          </w:tcPr>
          <w:p>
            <w:pPr>
              <w:spacing w:after="20"/>
            </w:pPr>
            <w:r>
              <w:rPr>
                <w:b w:val="0"/>
                <w:sz w:val="17"/>
              </w:rPr>
              <w:t>(lab flow – same Record service pattern)</w:t>
            </w:r>
          </w:p>
        </w:tc>
        <w:tc>
          <w:tcPr>
            <w:tcW w:type="dxa" w:w="3628"/>
          </w:tcPr>
          <w:p>
            <w:pPr>
              <w:spacing w:after="20"/>
            </w:pPr>
            <w:r>
              <w:rPr>
                <w:b w:val="0"/>
                <w:sz w:val="17"/>
              </w:rPr>
              <w:t>App server – Lab service; lab terminals</w:t>
            </w:r>
          </w:p>
        </w:tc>
        <w:tc>
          <w:tcPr>
            <w:tcW w:type="dxa" w:w="1020"/>
          </w:tcPr>
          <w:p>
            <w:pPr>
              <w:spacing w:after="20"/>
            </w:pPr>
            <w:r>
              <w:rPr>
                <w:b w:val="0"/>
                <w:sz w:val="17"/>
              </w:rPr>
              <w:t>FR-07</w:t>
            </w:r>
          </w:p>
        </w:tc>
      </w:tr>
      <w:tr>
        <w:trPr>
          <w:cantSplit w:val="true"/>
        </w:trPr>
        <w:tc>
          <w:tcPr>
            <w:tcW w:type="dxa" w:w="2608"/>
            <w:shd w:val="clear" w:color="auto" w:fill="F3F7F9"/>
          </w:tcPr>
          <w:p>
            <w:pPr>
              <w:spacing w:after="20"/>
            </w:pPr>
            <w:r>
              <w:rPr>
                <w:b w:val="0"/>
                <w:sz w:val="17"/>
              </w:rPr>
              <w:t>Dispense Medication</w:t>
            </w:r>
          </w:p>
        </w:tc>
        <w:tc>
          <w:tcPr>
            <w:tcW w:type="dxa" w:w="2948"/>
            <w:shd w:val="clear" w:color="auto" w:fill="F3F7F9"/>
          </w:tcPr>
          <w:p>
            <w:pPr>
              <w:spacing w:after="20"/>
            </w:pPr>
            <w:r>
              <w:rPr>
                <w:b w:val="0"/>
                <w:sz w:val="17"/>
              </w:rPr>
              <w:t>DispenseRecord</w:t>
            </w:r>
          </w:p>
        </w:tc>
        <w:tc>
          <w:tcPr>
            <w:tcW w:type="dxa" w:w="3628"/>
            <w:shd w:val="clear" w:color="auto" w:fill="F3F7F9"/>
          </w:tcPr>
          <w:p>
            <w:pPr>
              <w:spacing w:after="20"/>
            </w:pPr>
            <w:r>
              <w:rPr>
                <w:b w:val="0"/>
                <w:sz w:val="17"/>
              </w:rPr>
              <w:t>UML-3 msg 17; UML-4 pharmacist lane</w:t>
            </w:r>
          </w:p>
        </w:tc>
        <w:tc>
          <w:tcPr>
            <w:tcW w:type="dxa" w:w="3628"/>
            <w:shd w:val="clear" w:color="auto" w:fill="F3F7F9"/>
          </w:tcPr>
          <w:p>
            <w:pPr>
              <w:spacing w:after="20"/>
            </w:pPr>
            <w:r>
              <w:rPr>
                <w:b w:val="0"/>
                <w:sz w:val="17"/>
              </w:rPr>
              <w:t>App server – Pharmacy service; pharmacy terminals</w:t>
            </w:r>
          </w:p>
        </w:tc>
        <w:tc>
          <w:tcPr>
            <w:tcW w:type="dxa" w:w="1020"/>
            <w:shd w:val="clear" w:color="auto" w:fill="F3F7F9"/>
          </w:tcPr>
          <w:p>
            <w:pPr>
              <w:spacing w:after="20"/>
            </w:pPr>
            <w:r>
              <w:rPr>
                <w:b w:val="0"/>
                <w:sz w:val="17"/>
              </w:rPr>
              <w:t>FR-08</w:t>
            </w:r>
          </w:p>
        </w:tc>
      </w:tr>
      <w:tr>
        <w:trPr>
          <w:cantSplit w:val="true"/>
        </w:trPr>
        <w:tc>
          <w:tcPr>
            <w:tcW w:type="dxa" w:w="2608"/>
          </w:tcPr>
          <w:p>
            <w:pPr>
              <w:spacing w:after="20"/>
            </w:pPr>
            <w:r>
              <w:rPr>
                <w:b w:val="0"/>
                <w:sz w:val="17"/>
              </w:rPr>
              <w:t>Generate Discharge Summary</w:t>
            </w:r>
          </w:p>
        </w:tc>
        <w:tc>
          <w:tcPr>
            <w:tcW w:type="dxa" w:w="2948"/>
          </w:tcPr>
          <w:p>
            <w:pPr>
              <w:spacing w:after="20"/>
            </w:pPr>
            <w:r>
              <w:rPr>
                <w:b w:val="0"/>
                <w:sz w:val="17"/>
              </w:rPr>
              <w:t>DischargeSummary</w:t>
            </w:r>
          </w:p>
        </w:tc>
        <w:tc>
          <w:tcPr>
            <w:tcW w:type="dxa" w:w="3628"/>
          </w:tcPr>
          <w:p>
            <w:pPr>
              <w:spacing w:after="20"/>
            </w:pPr>
            <w:r>
              <w:rPr>
                <w:b w:val="0"/>
                <w:sz w:val="17"/>
              </w:rPr>
              <w:t>UML-4 final activities</w:t>
            </w:r>
          </w:p>
        </w:tc>
        <w:tc>
          <w:tcPr>
            <w:tcW w:type="dxa" w:w="3628"/>
          </w:tcPr>
          <w:p>
            <w:pPr>
              <w:spacing w:after="20"/>
            </w:pPr>
            <w:r>
              <w:rPr>
                <w:b w:val="0"/>
                <w:sz w:val="17"/>
              </w:rPr>
              <w:t>App server</w:t>
            </w:r>
          </w:p>
        </w:tc>
        <w:tc>
          <w:tcPr>
            <w:tcW w:type="dxa" w:w="1020"/>
          </w:tcPr>
          <w:p>
            <w:pPr>
              <w:spacing w:after="20"/>
            </w:pPr>
            <w:r>
              <w:rPr>
                <w:b w:val="0"/>
                <w:sz w:val="17"/>
              </w:rPr>
              <w:t>FR-09</w:t>
            </w:r>
          </w:p>
        </w:tc>
      </w:tr>
      <w:tr>
        <w:trPr>
          <w:cantSplit w:val="true"/>
        </w:trPr>
        <w:tc>
          <w:tcPr>
            <w:tcW w:type="dxa" w:w="2608"/>
            <w:shd w:val="clear" w:color="auto" w:fill="F3F7F9"/>
          </w:tcPr>
          <w:p>
            <w:pPr>
              <w:spacing w:after="20"/>
            </w:pPr>
            <w:r>
              <w:rPr>
                <w:b w:val="0"/>
                <w:sz w:val="17"/>
              </w:rPr>
              <w:t>Manage Users &amp; Roles</w:t>
            </w:r>
          </w:p>
        </w:tc>
        <w:tc>
          <w:tcPr>
            <w:tcW w:type="dxa" w:w="2948"/>
            <w:shd w:val="clear" w:color="auto" w:fill="F3F7F9"/>
          </w:tcPr>
          <w:p>
            <w:pPr>
              <w:spacing w:after="20"/>
            </w:pPr>
            <w:r>
              <w:rPr>
                <w:b w:val="0"/>
                <w:sz w:val="17"/>
              </w:rPr>
              <w:t>StaffUser</w:t>
            </w:r>
          </w:p>
        </w:tc>
        <w:tc>
          <w:tcPr>
            <w:tcW w:type="dxa" w:w="3628"/>
            <w:shd w:val="clear" w:color="auto" w:fill="F3F7F9"/>
          </w:tcPr>
          <w:p>
            <w:pPr>
              <w:spacing w:after="20"/>
            </w:pPr>
            <w:r>
              <w:rPr>
                <w:b w:val="0"/>
                <w:sz w:val="17"/>
              </w:rPr>
              <w:t>UML-3 (authorisation of every call)</w:t>
            </w:r>
          </w:p>
        </w:tc>
        <w:tc>
          <w:tcPr>
            <w:tcW w:type="dxa" w:w="3628"/>
            <w:shd w:val="clear" w:color="auto" w:fill="F3F7F9"/>
          </w:tcPr>
          <w:p>
            <w:pPr>
              <w:spacing w:after="20"/>
            </w:pPr>
            <w:r>
              <w:rPr>
                <w:b w:val="0"/>
                <w:sz w:val="17"/>
              </w:rPr>
              <w:t>API gateway; App server</w:t>
            </w:r>
          </w:p>
        </w:tc>
        <w:tc>
          <w:tcPr>
            <w:tcW w:type="dxa" w:w="1020"/>
            <w:shd w:val="clear" w:color="auto" w:fill="F3F7F9"/>
          </w:tcPr>
          <w:p>
            <w:pPr>
              <w:spacing w:after="20"/>
            </w:pPr>
            <w:r>
              <w:rPr>
                <w:b w:val="0"/>
                <w:sz w:val="17"/>
              </w:rPr>
              <w:t>FR-10</w:t>
            </w:r>
          </w:p>
        </w:tc>
      </w:tr>
      <w:tr>
        <w:trPr>
          <w:cantSplit w:val="true"/>
        </w:trPr>
        <w:tc>
          <w:tcPr>
            <w:tcW w:type="dxa" w:w="2608"/>
          </w:tcPr>
          <w:p>
            <w:pPr>
              <w:spacing w:after="20"/>
            </w:pPr>
            <w:r>
              <w:rPr>
                <w:b w:val="0"/>
                <w:sz w:val="17"/>
              </w:rPr>
              <w:t>View / Export Audit Trail</w:t>
            </w:r>
          </w:p>
        </w:tc>
        <w:tc>
          <w:tcPr>
            <w:tcW w:type="dxa" w:w="2948"/>
          </w:tcPr>
          <w:p>
            <w:pPr>
              <w:spacing w:after="20"/>
            </w:pPr>
            <w:r>
              <w:rPr>
                <w:b w:val="0"/>
                <w:sz w:val="17"/>
              </w:rPr>
              <w:t>AuditEntry</w:t>
            </w:r>
          </w:p>
        </w:tc>
        <w:tc>
          <w:tcPr>
            <w:tcW w:type="dxa" w:w="3628"/>
          </w:tcPr>
          <w:p>
            <w:pPr>
              <w:spacing w:after="20"/>
            </w:pPr>
            <w:r>
              <w:rPr>
                <w:b w:val="0"/>
                <w:sz w:val="17"/>
              </w:rPr>
              <w:t>UML-3 msgs 15–16 write entries</w:t>
            </w:r>
          </w:p>
        </w:tc>
        <w:tc>
          <w:tcPr>
            <w:tcW w:type="dxa" w:w="3628"/>
          </w:tcPr>
          <w:p>
            <w:pPr>
              <w:spacing w:after="20"/>
            </w:pPr>
            <w:r>
              <w:rPr>
                <w:b w:val="0"/>
                <w:sz w:val="17"/>
              </w:rPr>
              <w:t>Audit store (WORM)</w:t>
            </w:r>
          </w:p>
        </w:tc>
        <w:tc>
          <w:tcPr>
            <w:tcW w:type="dxa" w:w="1020"/>
          </w:tcPr>
          <w:p>
            <w:pPr>
              <w:spacing w:after="20"/>
            </w:pPr>
            <w:r>
              <w:rPr>
                <w:b w:val="0"/>
                <w:sz w:val="17"/>
              </w:rPr>
              <w:t>FR-11</w:t>
            </w:r>
          </w:p>
        </w:tc>
      </w:tr>
      <w:tr>
        <w:trPr>
          <w:cantSplit w:val="true"/>
        </w:trPr>
        <w:tc>
          <w:tcPr>
            <w:tcW w:type="dxa" w:w="2608"/>
            <w:shd w:val="clear" w:color="auto" w:fill="F3F7F9"/>
          </w:tcPr>
          <w:p>
            <w:pPr>
              <w:spacing w:after="20"/>
            </w:pPr>
            <w:r>
              <w:rPr>
                <w:b w:val="0"/>
                <w:sz w:val="17"/>
              </w:rPr>
              <w:t>Migrate Legacy Records / Resolve Duplicates</w:t>
            </w:r>
          </w:p>
        </w:tc>
        <w:tc>
          <w:tcPr>
            <w:tcW w:type="dxa" w:w="2948"/>
            <w:shd w:val="clear" w:color="auto" w:fill="F3F7F9"/>
          </w:tcPr>
          <w:p>
            <w:pPr>
              <w:spacing w:after="20"/>
            </w:pPr>
            <w:r>
              <w:rPr>
                <w:b w:val="0"/>
                <w:sz w:val="17"/>
              </w:rPr>
              <w:t>Patient (alias, mergedInto)</w:t>
            </w:r>
          </w:p>
        </w:tc>
        <w:tc>
          <w:tcPr>
            <w:tcW w:type="dxa" w:w="3628"/>
            <w:shd w:val="clear" w:color="auto" w:fill="F3F7F9"/>
          </w:tcPr>
          <w:p>
            <w:pPr>
              <w:spacing w:after="20"/>
            </w:pPr>
            <w:r>
              <w:rPr>
                <w:b w:val="0"/>
                <w:sz w:val="17"/>
              </w:rPr>
              <w:t>–</w:t>
            </w:r>
          </w:p>
        </w:tc>
        <w:tc>
          <w:tcPr>
            <w:tcW w:type="dxa" w:w="3628"/>
            <w:shd w:val="clear" w:color="auto" w:fill="F3F7F9"/>
          </w:tcPr>
          <w:p>
            <w:pPr>
              <w:spacing w:after="20"/>
            </w:pPr>
            <w:r>
              <w:rPr>
                <w:b w:val="0"/>
                <w:sz w:val="17"/>
              </w:rPr>
              <w:t>Migration zone: ETL, quarantine store</w:t>
            </w:r>
          </w:p>
        </w:tc>
        <w:tc>
          <w:tcPr>
            <w:tcW w:type="dxa" w:w="1020"/>
            <w:shd w:val="clear" w:color="auto" w:fill="F3F7F9"/>
          </w:tcPr>
          <w:p>
            <w:pPr>
              <w:spacing w:after="20"/>
            </w:pPr>
            <w:r>
              <w:rPr>
                <w:b w:val="0"/>
                <w:sz w:val="17"/>
              </w:rPr>
              <w:t>FR-12</w:t>
            </w:r>
          </w:p>
        </w:tc>
      </w:tr>
      <w:tr>
        <w:trPr>
          <w:cantSplit w:val="true"/>
        </w:trPr>
        <w:tc>
          <w:tcPr>
            <w:tcW w:type="dxa" w:w="2608"/>
          </w:tcPr>
          <w:p>
            <w:pPr>
              <w:spacing w:after="20"/>
            </w:pPr>
            <w:r>
              <w:rPr>
                <w:b w:val="0"/>
                <w:sz w:val="17"/>
              </w:rPr>
              <w:t>Send Charges to Billing</w:t>
            </w:r>
          </w:p>
        </w:tc>
        <w:tc>
          <w:tcPr>
            <w:tcW w:type="dxa" w:w="2948"/>
          </w:tcPr>
          <w:p>
            <w:pPr>
              <w:spacing w:after="20"/>
            </w:pPr>
            <w:r>
              <w:rPr>
                <w:b w:val="0"/>
                <w:sz w:val="17"/>
              </w:rPr>
              <w:t>BillingService, Invoice, PrescriptionIssued</w:t>
            </w:r>
          </w:p>
        </w:tc>
        <w:tc>
          <w:tcPr>
            <w:tcW w:type="dxa" w:w="3628"/>
          </w:tcPr>
          <w:p>
            <w:pPr>
              <w:spacing w:after="20"/>
            </w:pPr>
            <w:r>
              <w:rPr>
                <w:b w:val="0"/>
                <w:sz w:val="17"/>
              </w:rPr>
              <w:t>UML-3 msgs 18–19; UML-4 fork</w:t>
            </w:r>
          </w:p>
        </w:tc>
        <w:tc>
          <w:tcPr>
            <w:tcW w:type="dxa" w:w="3628"/>
          </w:tcPr>
          <w:p>
            <w:pPr>
              <w:spacing w:after="20"/>
            </w:pPr>
            <w:r>
              <w:rPr>
                <w:b w:val="0"/>
                <w:sz w:val="17"/>
              </w:rPr>
              <w:t>Billing service; message broker</w:t>
            </w:r>
          </w:p>
        </w:tc>
        <w:tc>
          <w:tcPr>
            <w:tcW w:type="dxa" w:w="1020"/>
          </w:tcPr>
          <w:p>
            <w:pPr>
              <w:spacing w:after="20"/>
            </w:pPr>
            <w:r>
              <w:rPr>
                <w:b w:val="0"/>
                <w:sz w:val="17"/>
              </w:rPr>
              <w:t>(interface)</w:t>
            </w:r>
          </w:p>
        </w:tc>
      </w:tr>
    </w:tbl>
    <w:p>
      <w:pPr>
        <w:spacing w:after="40"/>
      </w:pPr>
    </w:p>
    <w:p>
      <w:pPr>
        <w:pStyle w:val="Heading3"/>
      </w:pPr>
      <w:r>
        <w:t>Consistency rules checked</w:t>
      </w:r>
    </w:p>
    <w:p>
      <w:pPr>
        <w:pStyle w:val="ListBullet"/>
        <w:spacing w:after="40"/>
      </w:pPr>
      <w:r>
        <w:rPr>
          <w:b w:val="0"/>
        </w:rPr>
        <w:t>Every use case in UML-1 appears in the matrix above and has at least one class, one flow and one deployment node.</w:t>
      </w:r>
    </w:p>
    <w:p>
      <w:pPr>
        <w:pStyle w:val="ListBullet"/>
        <w:spacing w:after="40"/>
      </w:pPr>
      <w:r>
        <w:rPr>
          <w:b w:val="0"/>
        </w:rPr>
        <w:t>Every class used in the sequence diagram exists in UML-2 or is a service that maps to a deployed component in UML-5.</w:t>
      </w:r>
    </w:p>
    <w:p>
      <w:pPr>
        <w:pStyle w:val="ListBullet"/>
        <w:spacing w:after="40"/>
      </w:pPr>
      <w:r>
        <w:rPr>
          <w:b w:val="0"/>
        </w:rPr>
        <w:t>Names are identical across diagrams (PrescriptionService, InteractionEngine / InteractionChecker, AuditService / AuditEntry, EventBus / EventPublisher).</w:t>
      </w:r>
    </w:p>
    <w:p>
      <w:pPr>
        <w:pStyle w:val="ListBullet"/>
        <w:spacing w:after="40"/>
      </w:pPr>
      <w:r>
        <w:rPr>
          <w:b w:val="0"/>
        </w:rPr>
        <w:t>The allergy-status gate (UML-4) corresponds to rules DT-01 to DT-04 of the decision table and to message 8 of UML-3.</w:t>
      </w:r>
    </w:p>
    <w:p>
      <w:pPr>
        <w:pStyle w:val="ListBullet"/>
        <w:spacing w:after="40"/>
      </w:pPr>
      <w:r>
        <w:rPr>
          <w:b w:val="0"/>
        </w:rPr>
        <w:t>The decoupling shown in UML-2 (ID-only reference) is the same decoupling shown in UML-3 (async event) and UML-5 (separate deployable).</w:t>
      </w:r>
    </w:p>
    <w:sectPr w:rsidR="00FC693F" w:rsidRPr="0006063C" w:rsidSect="00034616">
      <w:headerReference w:type="default" r:id="rId9"/>
      <w:footerReference w:type="default" r:id="rId10"/>
      <w:pgSz w:w="16838" w:h="11906" w:orient="landscape"/>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Page </w:t>
    </w: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555555"/>
        <w:sz w:val="17"/>
      </w:rPr>
      <w:t>MediTrack EMR – UML Package   |   Software Engineering &amp; Project Management · B.Tech CSE 2025-29 · Sem III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7F8C"/>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