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pPr>
      <w:r>
        <w:rPr>
          <w:rFonts w:ascii="Calibri" w:cs="Calibri" w:eastAsia="Calibri" w:hAnsi="Calibri"/>
          <w:b/>
          <w:bCs/>
          <w:color w:val="1F3A5F"/>
          <w:sz w:val="64"/>
          <w:szCs w:val="64"/>
        </w:rPr>
        <w:t xml:space="preserve">MediTrack</w:t>
      </w:r>
    </w:p>
    <w:p>
      <w:pPr>
        <w:spacing w:after="360"/>
      </w:pPr>
      <w:r>
        <w:rPr>
          <w:rFonts w:ascii="Calibri" w:cs="Calibri" w:eastAsia="Calibri" w:hAnsi="Calibri"/>
          <w:color w:val="4A5B6C"/>
          <w:sz w:val="28"/>
          <w:szCs w:val="28"/>
        </w:rPr>
        <w:t xml:space="preserve">Electronic Medical Record for a Multi-Speciality Hospital Group</w:t>
      </w:r>
    </w:p>
    <w:p>
      <w:pPr>
        <w:spacing w:after="100"/>
      </w:pPr>
      <w:r>
        <w:rPr>
          <w:rFonts w:ascii="Calibri" w:cs="Calibri" w:eastAsia="Calibri" w:hAnsi="Calibri"/>
          <w:b/>
          <w:bCs/>
          <w:color w:val="1F3A5F"/>
          <w:sz w:val="44"/>
          <w:szCs w:val="44"/>
        </w:rPr>
        <w:t xml:space="preserve">Business Requirements Document (BRD)</w:t>
      </w:r>
    </w:p>
    <w:p>
      <w:pPr>
        <w:pBdr>
          <w:bottom w:val="single" w:color="1F3A5F" w:sz="12" w:space="8"/>
        </w:pBdr>
        <w:spacing w:after="480"/>
      </w:pPr>
      <w:r>
        <w:rPr>
          <w:rFonts w:ascii="Calibri" w:cs="Calibri" w:eastAsia="Calibri" w:hAnsi="Calibri"/>
          <w:i/>
          <w:iCs/>
          <w:color w:val="4A5B6C"/>
          <w:sz w:val="22"/>
          <w:szCs w:val="22"/>
        </w:rPr>
        <w:t xml:space="preserve">Business case · objectives · stakeholders · scope · business requirements · success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Case study</w:t>
            </w:r>
          </w:p>
        </w:tc>
        <w:tc>
          <w:tcPr>
            <w:tcW w:type="dxa" w:w="72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sz w:val="18"/>
                <w:szCs w:val="18"/>
              </w:rPr>
              <w:t xml:space="preserve">Case Study no. 1 – MediTrack (Aarogya Healthcare)</w:t>
            </w:r>
          </w:p>
        </w:tc>
      </w:tr>
      <w:tr>
        <w:trPr>
          <w:cantSplit/>
        </w:trPr>
        <w:tc>
          <w:tcPr>
            <w:tcW w:type="dxa" w:w="24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Course</w:t>
            </w:r>
          </w:p>
        </w:tc>
        <w:tc>
          <w:tcPr>
            <w:tcW w:type="dxa" w:w="72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sz w:val="18"/>
                <w:szCs w:val="18"/>
              </w:rPr>
              <w:t xml:space="preserve">Software Engineering &amp; Project Management – B.Tech CSE 2025-29, Semester III</w:t>
            </w:r>
          </w:p>
        </w:tc>
      </w:tr>
      <w:tr>
        <w:trPr>
          <w:cantSpli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Institution</w:t>
            </w:r>
          </w:p>
        </w:tc>
        <w:tc>
          <w:tcPr>
            <w:tcW w:type="dxa" w:w="72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sz w:val="18"/>
                <w:szCs w:val="18"/>
              </w:rPr>
              <w:t xml:space="preserve">School of Future Tech, ITM Skills University</w:t>
            </w:r>
          </w:p>
        </w:tc>
      </w:tr>
      <w:tr>
        <w:trPr>
          <w:cantSplit/>
        </w:trPr>
        <w:tc>
          <w:tcPr>
            <w:tcW w:type="dxa" w:w="24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Team / roll numbers</w:t>
            </w:r>
          </w:p>
        </w:tc>
        <w:tc>
          <w:tcPr>
            <w:tcW w:type="dxa" w:w="72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sz w:val="18"/>
                <w:szCs w:val="18"/>
              </w:rPr>
              <w:t xml:space="preserve">[ to be filled in by the team ]</w:t>
            </w:r>
          </w:p>
        </w:tc>
      </w:tr>
      <w:tr>
        <w:trPr>
          <w:cantSpli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Version / date</w:t>
            </w:r>
          </w:p>
        </w:tc>
        <w:tc>
          <w:tcPr>
            <w:tcW w:type="dxa" w:w="72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sz w:val="18"/>
                <w:szCs w:val="18"/>
              </w:rPr>
              <w:t xml:space="preserve">1.0 – October 2026</w:t>
            </w:r>
          </w:p>
        </w:tc>
      </w:tr>
      <w:tr>
        <w:trPr>
          <w:cantSplit/>
        </w:trPr>
        <w:tc>
          <w:tcPr>
            <w:tcW w:type="dxa" w:w="24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Companion documents</w:t>
            </w:r>
          </w:p>
        </w:tc>
        <w:tc>
          <w:tcPr>
            <w:tcW w:type="dxa" w:w="72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sz w:val="18"/>
                <w:szCs w:val="18"/>
              </w:rPr>
              <w:t xml:space="preserve">SRS · UML Package · UI Screens · Estimation Report · Project Plan · Test Plan &amp; Evidence · Risk Register &amp; Closure Note</w:t>
            </w:r>
          </w:p>
        </w:tc>
      </w:tr>
    </w:tbl>
    <w:p>
      <w:r>
        <w:br w:type="page"/>
      </w:r>
    </w:p>
    <w:p>
      <w:pPr>
        <w:pStyle w:val="Heading1"/>
        <w:keepNext/>
        <w:spacing w:after="140" w:before="320"/>
      </w:pPr>
      <w:r>
        <w:rPr>
          <w:rFonts w:ascii="Calibri" w:cs="Calibri" w:eastAsia="Calibri" w:hAnsi="Calibri"/>
          <w:b/>
          <w:bCs/>
          <w:color w:val="1F3A5F"/>
          <w:sz w:val="30"/>
          <w:szCs w:val="30"/>
        </w:rPr>
        <w:t xml:space="preserve">Contents</w:t>
      </w:r>
    </w:p>
    <w:p>
      <w:pPr>
        <w:spacing w:after="90" w:line="276"/>
      </w:pPr>
      <w:r>
        <w:rPr>
          <w:rFonts w:ascii="Calibri" w:cs="Calibri" w:eastAsia="Calibri" w:hAnsi="Calibri"/>
          <w:sz w:val="20"/>
          <w:szCs w:val="20"/>
        </w:rPr>
        <w:t xml:space="preserve">1. Document control and purpose</w:t>
      </w:r>
    </w:p>
    <w:p>
      <w:pPr>
        <w:spacing w:after="90" w:line="276"/>
      </w:pPr>
      <w:r>
        <w:rPr>
          <w:rFonts w:ascii="Calibri" w:cs="Calibri" w:eastAsia="Calibri" w:hAnsi="Calibri"/>
          <w:sz w:val="20"/>
          <w:szCs w:val="20"/>
        </w:rPr>
        <w:t xml:space="preserve">2. Executive summary</w:t>
      </w:r>
    </w:p>
    <w:p>
      <w:pPr>
        <w:spacing w:after="90" w:line="276"/>
      </w:pPr>
      <w:r>
        <w:rPr>
          <w:rFonts w:ascii="Calibri" w:cs="Calibri" w:eastAsia="Calibri" w:hAnsi="Calibri"/>
          <w:sz w:val="20"/>
          <w:szCs w:val="20"/>
        </w:rPr>
        <w:t xml:space="preserve">3. Business background and problem statement</w:t>
      </w:r>
    </w:p>
    <w:p>
      <w:pPr>
        <w:spacing w:after="90" w:line="276"/>
      </w:pPr>
      <w:r>
        <w:rPr>
          <w:rFonts w:ascii="Calibri" w:cs="Calibri" w:eastAsia="Calibri" w:hAnsi="Calibri"/>
          <w:sz w:val="20"/>
          <w:szCs w:val="20"/>
        </w:rPr>
        <w:t xml:space="preserve">4. Business objectives</w:t>
      </w:r>
    </w:p>
    <w:p>
      <w:pPr>
        <w:spacing w:after="90" w:line="276"/>
      </w:pPr>
      <w:r>
        <w:rPr>
          <w:rFonts w:ascii="Calibri" w:cs="Calibri" w:eastAsia="Calibri" w:hAnsi="Calibri"/>
          <w:sz w:val="20"/>
          <w:szCs w:val="20"/>
        </w:rPr>
        <w:t xml:space="preserve">5. Scope</w:t>
      </w:r>
    </w:p>
    <w:p>
      <w:pPr>
        <w:spacing w:after="90" w:line="276"/>
      </w:pPr>
      <w:r>
        <w:rPr>
          <w:rFonts w:ascii="Calibri" w:cs="Calibri" w:eastAsia="Calibri" w:hAnsi="Calibri"/>
          <w:sz w:val="20"/>
          <w:szCs w:val="20"/>
        </w:rPr>
        <w:t xml:space="preserve">6. Stakeholders</w:t>
      </w:r>
    </w:p>
    <w:p>
      <w:pPr>
        <w:spacing w:after="90" w:line="276"/>
      </w:pPr>
      <w:r>
        <w:rPr>
          <w:rFonts w:ascii="Calibri" w:cs="Calibri" w:eastAsia="Calibri" w:hAnsi="Calibri"/>
          <w:sz w:val="20"/>
          <w:szCs w:val="20"/>
        </w:rPr>
        <w:t xml:space="preserve">7. Business case</w:t>
      </w:r>
    </w:p>
    <w:p>
      <w:pPr>
        <w:spacing w:after="90" w:line="276"/>
      </w:pPr>
      <w:r>
        <w:rPr>
          <w:rFonts w:ascii="Calibri" w:cs="Calibri" w:eastAsia="Calibri" w:hAnsi="Calibri"/>
          <w:sz w:val="20"/>
          <w:szCs w:val="20"/>
        </w:rPr>
        <w:t xml:space="preserve">8. Business requirements</w:t>
      </w:r>
    </w:p>
    <w:p>
      <w:pPr>
        <w:spacing w:after="90" w:line="276"/>
      </w:pPr>
      <w:r>
        <w:rPr>
          <w:rFonts w:ascii="Calibri" w:cs="Calibri" w:eastAsia="Calibri" w:hAnsi="Calibri"/>
          <w:sz w:val="20"/>
          <w:szCs w:val="20"/>
        </w:rPr>
        <w:t xml:space="preserve">9. Success criteria and acceptance</w:t>
      </w:r>
    </w:p>
    <w:p>
      <w:pPr>
        <w:spacing w:after="90" w:line="276"/>
      </w:pPr>
      <w:r>
        <w:rPr>
          <w:rFonts w:ascii="Calibri" w:cs="Calibri" w:eastAsia="Calibri" w:hAnsi="Calibri"/>
          <w:sz w:val="20"/>
          <w:szCs w:val="20"/>
        </w:rPr>
        <w:t xml:space="preserve">10. Constraints, assumptions and dependencies</w:t>
      </w:r>
    </w:p>
    <w:p>
      <w:pPr>
        <w:spacing w:after="90" w:line="276"/>
      </w:pPr>
      <w:r>
        <w:rPr>
          <w:rFonts w:ascii="Calibri" w:cs="Calibri" w:eastAsia="Calibri" w:hAnsi="Calibri"/>
          <w:sz w:val="20"/>
          <w:szCs w:val="20"/>
        </w:rPr>
        <w:t xml:space="preserve">11. Business risks</w:t>
      </w:r>
    </w:p>
    <w:p>
      <w:pPr>
        <w:spacing w:after="90" w:line="276"/>
      </w:pPr>
      <w:r>
        <w:rPr>
          <w:rFonts w:ascii="Calibri" w:cs="Calibri" w:eastAsia="Calibri" w:hAnsi="Calibri"/>
          <w:sz w:val="20"/>
          <w:szCs w:val="20"/>
        </w:rPr>
        <w:t xml:space="preserve">12. High-level approach and timeline</w:t>
      </w:r>
    </w:p>
    <w:p>
      <w:pPr>
        <w:spacing w:after="90" w:line="276"/>
      </w:pPr>
      <w:r>
        <w:rPr>
          <w:rFonts w:ascii="Calibri" w:cs="Calibri" w:eastAsia="Calibri" w:hAnsi="Calibri"/>
          <w:sz w:val="20"/>
          <w:szCs w:val="20"/>
        </w:rPr>
        <w:t xml:space="preserve">Appendix A – Glossary</w:t>
      </w:r>
    </w:p>
    <w:p>
      <w:r>
        <w:br w:type="page"/>
      </w:r>
    </w:p>
    <w:p>
      <w:pPr>
        <w:pStyle w:val="Heading1"/>
        <w:keepNext/>
        <w:spacing w:after="140" w:before="320"/>
      </w:pPr>
      <w:r>
        <w:rPr>
          <w:rFonts w:ascii="Calibri" w:cs="Calibri" w:eastAsia="Calibri" w:hAnsi="Calibri"/>
          <w:b/>
          <w:bCs/>
          <w:color w:val="1F3A5F"/>
          <w:sz w:val="30"/>
          <w:szCs w:val="30"/>
        </w:rPr>
        <w:t xml:space="preserve">1. Document control and purpose</w:t>
      </w:r>
    </w:p>
    <w:p>
      <w:pPr>
        <w:pStyle w:val="Heading2"/>
        <w:keepNext/>
        <w:spacing w:after="100" w:before="220"/>
      </w:pPr>
      <w:r>
        <w:rPr>
          <w:rFonts w:ascii="Calibri" w:cs="Calibri" w:eastAsia="Calibri" w:hAnsi="Calibri"/>
          <w:b/>
          <w:bCs/>
          <w:color w:val="1F3A5F"/>
          <w:sz w:val="24"/>
          <w:szCs w:val="24"/>
        </w:rPr>
        <w:t xml:space="preserve">1.1 Purpose</w:t>
      </w:r>
    </w:p>
    <w:p>
      <w:pPr>
        <w:spacing w:after="120" w:line="276"/>
      </w:pPr>
      <w:r>
        <w:rPr>
          <w:rFonts w:ascii="Calibri" w:cs="Calibri" w:eastAsia="Calibri" w:hAnsi="Calibri"/>
          <w:sz w:val="20"/>
          <w:szCs w:val="20"/>
        </w:rPr>
        <w:t xml:space="preserve">This Business Requirements Document explains </w:t>
      </w:r>
      <w:r>
        <w:rPr>
          <w:rFonts w:ascii="Calibri" w:cs="Calibri" w:eastAsia="Calibri" w:hAnsi="Calibri"/>
          <w:b/>
          <w:bCs/>
          <w:sz w:val="20"/>
          <w:szCs w:val="20"/>
        </w:rPr>
        <w:t xml:space="preserve">why</w:t>
      </w:r>
      <w:r>
        <w:rPr>
          <w:rFonts w:ascii="Calibri" w:cs="Calibri" w:eastAsia="Calibri" w:hAnsi="Calibri"/>
          <w:sz w:val="20"/>
          <w:szCs w:val="20"/>
        </w:rPr>
        <w:t xml:space="preserve"> Aarogya Healthcare needs MediTrack and </w:t>
      </w:r>
      <w:r>
        <w:rPr>
          <w:rFonts w:ascii="Calibri" w:cs="Calibri" w:eastAsia="Calibri" w:hAnsi="Calibri"/>
          <w:b/>
          <w:bCs/>
          <w:sz w:val="20"/>
          <w:szCs w:val="20"/>
        </w:rPr>
        <w:t xml:space="preserve">what the business expects</w:t>
      </w:r>
      <w:r>
        <w:rPr>
          <w:rFonts w:ascii="Calibri" w:cs="Calibri" w:eastAsia="Calibri" w:hAnsi="Calibri"/>
          <w:sz w:val="20"/>
          <w:szCs w:val="20"/>
        </w:rPr>
        <w:t xml:space="preserve"> from it. It is written for the Board, the Chief Medical Officer (CMO), the Chief Financial Officer (CFO) and the hospital managers, and avoids technical design. The Software Requirements Specification (SRS) takes each business requirement here and turns it into testable system requirements.</w:t>
      </w:r>
    </w:p>
    <w:p>
      <w:pPr>
        <w:pStyle w:val="Heading2"/>
        <w:keepNext/>
        <w:spacing w:after="100" w:before="220"/>
      </w:pPr>
      <w:r>
        <w:rPr>
          <w:rFonts w:ascii="Calibri" w:cs="Calibri" w:eastAsia="Calibri" w:hAnsi="Calibri"/>
          <w:b/>
          <w:bCs/>
          <w:color w:val="1F3A5F"/>
          <w:sz w:val="24"/>
          <w:szCs w:val="24"/>
        </w:rPr>
        <w:t xml:space="preserve">1.2 How this document relates to the others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Document</w:t>
            </w:r>
          </w:p>
        </w:tc>
        <w:tc>
          <w:tcPr>
            <w:tcW w:type="dxa" w:w="7338"/>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Relationship to this BRD</w:t>
            </w:r>
          </w:p>
        </w:tc>
      </w:tr>
      <w:tr>
        <w:trPr>
          <w:cantSpli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BRD (this document)</w:t>
            </w:r>
          </w:p>
        </w:tc>
        <w:tc>
          <w:tcPr>
            <w:tcW w:type="dxa" w:w="73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Business problem, objectives, scope, stakeholders, business requirements BR-01 to BR-12, success criteria.</w:t>
            </w:r>
          </w:p>
        </w:tc>
      </w:tr>
      <w:tr>
        <w:trPr>
          <w:cantSplit/>
        </w:trPr>
        <w:tc>
          <w:tcPr>
            <w:tcW w:type="dxa" w:w="23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SRS</w:t>
            </w:r>
          </w:p>
        </w:tc>
        <w:tc>
          <w:tcPr>
            <w:tcW w:type="dxa" w:w="73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Functional requirements FR-01 to FR-12 and non-functional requirements NFR-01 to NFR-08 that satisfy the BRs (traceability in section 8).</w:t>
            </w:r>
          </w:p>
        </w:tc>
      </w:tr>
      <w:tr>
        <w:trPr>
          <w:cantSpli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UML Package</w:t>
            </w:r>
          </w:p>
        </w:tc>
        <w:tc>
          <w:tcPr>
            <w:tcW w:type="dxa" w:w="73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Use case, class, sequence, activity and deployment diagrams showing how the system realises the requirements.</w:t>
            </w:r>
          </w:p>
        </w:tc>
      </w:tr>
      <w:tr>
        <w:trPr>
          <w:cantSplit/>
        </w:trPr>
        <w:tc>
          <w:tcPr>
            <w:tcW w:type="dxa" w:w="23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UI Screens</w:t>
            </w:r>
          </w:p>
        </w:tc>
        <w:tc>
          <w:tcPr>
            <w:tcW w:type="dxa" w:w="73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Screen designs for the main user tasks, each linked to an FR.</w:t>
            </w:r>
          </w:p>
        </w:tc>
      </w:tr>
      <w:tr>
        <w:trPr>
          <w:cantSpli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Estimation Report</w:t>
            </w:r>
          </w:p>
        </w:tc>
        <w:tc>
          <w:tcPr>
            <w:tcW w:type="dxa" w:w="73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COCOMO effort, duration and staffing; supplies the cost basis for section 7.</w:t>
            </w:r>
          </w:p>
        </w:tc>
      </w:tr>
      <w:tr>
        <w:trPr>
          <w:cantSplit/>
        </w:trPr>
        <w:tc>
          <w:tcPr>
            <w:tcW w:type="dxa" w:w="23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Project Plan</w:t>
            </w:r>
          </w:p>
        </w:tc>
        <w:tc>
          <w:tcPr>
            <w:tcW w:type="dxa" w:w="73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Process model, WBS, Gantt chart, critical path, resources and CI/CD pipeline; confirms the 18-month ceiling.</w:t>
            </w:r>
          </w:p>
        </w:tc>
      </w:tr>
      <w:tr>
        <w:trPr>
          <w:cantSpli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Test Plan &amp; Evidence</w:t>
            </w:r>
          </w:p>
        </w:tc>
        <w:tc>
          <w:tcPr>
            <w:tcW w:type="dxa" w:w="73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Proves the success criteria in section 9, including the replay of the 310 incidents.</w:t>
            </w:r>
          </w:p>
        </w:tc>
      </w:tr>
      <w:tr>
        <w:trPr>
          <w:cantSplit/>
        </w:trPr>
        <w:tc>
          <w:tcPr>
            <w:tcW w:type="dxa" w:w="23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Risk Register &amp; Closure Note</w:t>
            </w:r>
          </w:p>
        </w:tc>
        <w:tc>
          <w:tcPr>
            <w:tcW w:type="dxa" w:w="73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Detailed risks and RMMM plans behind the business risks in section 11.</w:t>
            </w:r>
          </w:p>
        </w:tc>
      </w:tr>
    </w:tbl>
    <w:p>
      <w:pPr>
        <w:pStyle w:val="Heading2"/>
        <w:keepNext/>
        <w:spacing w:after="100" w:before="220"/>
      </w:pPr>
      <w:r>
        <w:rPr>
          <w:rFonts w:ascii="Calibri" w:cs="Calibri" w:eastAsia="Calibri" w:hAnsi="Calibri"/>
          <w:b/>
          <w:bCs/>
          <w:color w:val="1F3A5F"/>
          <w:sz w:val="24"/>
          <w:szCs w:val="24"/>
        </w:rPr>
        <w:t xml:space="preserve">1.3 Document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200"/>
        <w:gridCol w:w="1838"/>
      </w:tblGrid>
      <w:tr>
        <w:trPr>
          <w:tblHeader/>
        </w:trPr>
        <w:tc>
          <w:tcPr>
            <w:tcW w:type="dxa" w:w="26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Role</w:t>
            </w:r>
          </w:p>
        </w:tc>
        <w:tc>
          <w:tcPr>
            <w:tcW w:type="dxa" w:w="30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Name</w:t>
            </w:r>
          </w:p>
        </w:tc>
        <w:tc>
          <w:tcPr>
            <w:tcW w:type="dxa" w:w="22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Signature</w:t>
            </w:r>
          </w:p>
        </w:tc>
        <w:tc>
          <w:tcPr>
            <w:tcW w:type="dxa" w:w="1838"/>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Date</w:t>
            </w:r>
          </w:p>
        </w:tc>
      </w:tr>
      <w:tr>
        <w:trPr>
          <w:cantSplit/>
        </w:trPr>
        <w:tc>
          <w:tcPr>
            <w:tcW w:type="dxa" w:w="26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sz w:val="18"/>
                <w:szCs w:val="18"/>
              </w:rPr>
              <w:t xml:space="preserve">Executive sponsor (CFO)</w:t>
            </w:r>
          </w:p>
        </w:tc>
        <w:tc>
          <w:tcPr>
            <w:tcW w:type="dxa" w:w="30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sz w:val="18"/>
                <w:szCs w:val="18"/>
              </w:rPr>
              <w:t xml:space="preserve">[ to be filled in ]</w:t>
            </w:r>
          </w:p>
        </w:tc>
        <w:tc>
          <w:tcPr>
            <w:tcW w:type="dxa" w:w="2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p>
        </w:tc>
        <w:tc>
          <w:tcPr>
            <w:tcW w:type="dxa" w:w="18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p>
        </w:tc>
      </w:tr>
      <w:tr>
        <w:trPr>
          <w:cantSplit/>
        </w:trPr>
        <w:tc>
          <w:tcPr>
            <w:tcW w:type="dxa" w:w="26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sz w:val="18"/>
                <w:szCs w:val="18"/>
              </w:rPr>
              <w:t xml:space="preserve">Business owner (CMO)</w:t>
            </w:r>
          </w:p>
        </w:tc>
        <w:tc>
          <w:tcPr>
            <w:tcW w:type="dxa" w:w="30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sz w:val="18"/>
                <w:szCs w:val="18"/>
              </w:rPr>
              <w:t xml:space="preserve">[ to be filled in ]</w:t>
            </w:r>
          </w:p>
        </w:tc>
        <w:tc>
          <w:tcPr>
            <w:tcW w:type="dxa" w:w="2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p>
        </w:tc>
        <w:tc>
          <w:tcPr>
            <w:tcW w:type="dxa" w:w="18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p>
        </w:tc>
      </w:tr>
      <w:tr>
        <w:trPr>
          <w:cantSplit/>
        </w:trPr>
        <w:tc>
          <w:tcPr>
            <w:tcW w:type="dxa" w:w="26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sz w:val="18"/>
                <w:szCs w:val="18"/>
              </w:rPr>
              <w:t xml:space="preserve">Clinical Safety Officer</w:t>
            </w:r>
          </w:p>
        </w:tc>
        <w:tc>
          <w:tcPr>
            <w:tcW w:type="dxa" w:w="30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sz w:val="18"/>
                <w:szCs w:val="18"/>
              </w:rPr>
              <w:t xml:space="preserve">[ to be filled in ]</w:t>
            </w:r>
          </w:p>
        </w:tc>
        <w:tc>
          <w:tcPr>
            <w:tcW w:type="dxa" w:w="2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p>
        </w:tc>
        <w:tc>
          <w:tcPr>
            <w:tcW w:type="dxa" w:w="18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p>
        </w:tc>
      </w:tr>
      <w:tr>
        <w:trPr>
          <w:cantSplit/>
        </w:trPr>
        <w:tc>
          <w:tcPr>
            <w:tcW w:type="dxa" w:w="26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sz w:val="18"/>
                <w:szCs w:val="18"/>
              </w:rPr>
              <w:t xml:space="preserve">Project manager</w:t>
            </w:r>
          </w:p>
        </w:tc>
        <w:tc>
          <w:tcPr>
            <w:tcW w:type="dxa" w:w="30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sz w:val="18"/>
                <w:szCs w:val="18"/>
              </w:rPr>
              <w:t xml:space="preserve">[ to be filled in ]</w:t>
            </w:r>
          </w:p>
        </w:tc>
        <w:tc>
          <w:tcPr>
            <w:tcW w:type="dxa" w:w="2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p>
        </w:tc>
        <w:tc>
          <w:tcPr>
            <w:tcW w:type="dxa" w:w="18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p>
        </w:tc>
      </w:tr>
    </w:tbl>
    <w:p>
      <w:pPr>
        <w:pStyle w:val="Heading1"/>
        <w:keepNext/>
        <w:spacing w:after="140" w:before="320"/>
      </w:pPr>
      <w:r>
        <w:rPr>
          <w:rFonts w:ascii="Calibri" w:cs="Calibri" w:eastAsia="Calibri" w:hAnsi="Calibri"/>
          <w:b/>
          <w:bCs/>
          <w:color w:val="1F3A5F"/>
          <w:sz w:val="30"/>
          <w:szCs w:val="30"/>
        </w:rPr>
        <w:t xml:space="preserve">2. Executive summary</w:t>
      </w:r>
    </w:p>
    <w:p>
      <w:pPr>
        <w:spacing w:after="120" w:line="276"/>
      </w:pPr>
      <w:r>
        <w:rPr>
          <w:rFonts w:ascii="Calibri" w:cs="Calibri" w:eastAsia="Calibri" w:hAnsi="Calibri"/>
          <w:sz w:val="20"/>
          <w:szCs w:val="20"/>
        </w:rPr>
        <w:t xml:space="preserve">Aarogya Healthcare operates </w:t>
      </w:r>
      <w:r>
        <w:rPr>
          <w:rFonts w:ascii="Calibri" w:cs="Calibri" w:eastAsia="Calibri" w:hAnsi="Calibri"/>
          <w:b/>
          <w:bCs/>
          <w:sz w:val="20"/>
          <w:szCs w:val="20"/>
        </w:rPr>
        <w:t xml:space="preserve">6 hospitals and 21 clinics in three states</w:t>
      </w:r>
      <w:r>
        <w:rPr>
          <w:rFonts w:ascii="Calibri" w:cs="Calibri" w:eastAsia="Calibri" w:hAnsi="Calibri"/>
          <w:sz w:val="20"/>
          <w:szCs w:val="20"/>
        </w:rPr>
        <w:t xml:space="preserve">, and every site keeps patient history in a different way: two hospitals run a 14-year-old FoxPro package, three use Excel registers, and one has no digital record at all. A patient referred from a clinic to the main hospital arrives with a paper file. The consequence is measurable: in 2024 the chain recorded </w:t>
      </w:r>
      <w:r>
        <w:rPr>
          <w:rFonts w:ascii="Calibri" w:cs="Calibri" w:eastAsia="Calibri" w:hAnsi="Calibri"/>
          <w:b/>
          <w:bCs/>
          <w:sz w:val="20"/>
          <w:szCs w:val="20"/>
        </w:rPr>
        <w:t xml:space="preserve">310 prescribing incidents</w:t>
      </w:r>
      <w:r>
        <w:rPr>
          <w:rFonts w:ascii="Calibri" w:cs="Calibri" w:eastAsia="Calibri" w:hAnsi="Calibri"/>
          <w:sz w:val="20"/>
          <w:szCs w:val="20"/>
        </w:rPr>
        <w:t xml:space="preserve"> traced to missing allergy history.</w:t>
      </w:r>
    </w:p>
    <w:p>
      <w:pPr>
        <w:spacing w:after="120" w:line="276"/>
      </w:pPr>
      <w:r>
        <w:rPr>
          <w:rFonts w:ascii="Calibri" w:cs="Calibri" w:eastAsia="Calibri" w:hAnsi="Calibri"/>
          <w:sz w:val="20"/>
          <w:szCs w:val="20"/>
        </w:rPr>
        <w:t xml:space="preserve">Management wants </w:t>
      </w:r>
      <w:r>
        <w:rPr>
          <w:rFonts w:ascii="Calibri" w:cs="Calibri" w:eastAsia="Calibri" w:hAnsi="Calibri"/>
          <w:b/>
          <w:bCs/>
          <w:sz w:val="20"/>
          <w:szCs w:val="20"/>
        </w:rPr>
        <w:t xml:space="preserve">one Electronic Medical Record (MediTrack)</w:t>
      </w:r>
      <w:r>
        <w:rPr>
          <w:rFonts w:ascii="Calibri" w:cs="Calibri" w:eastAsia="Calibri" w:hAnsi="Calibri"/>
          <w:sz w:val="20"/>
          <w:szCs w:val="20"/>
        </w:rPr>
        <w:t xml:space="preserve"> that holds registration, OPD / IPD notes, e-prescriptions, lab orders, pharmacy dispensing and discharge summaries, with strict audit trails. Two executive conditions shape the whole project:</w:t>
      </w:r>
    </w:p>
    <w:p>
      <w:pPr>
        <w:pStyle w:val="ListParagraph"/>
        <w:numPr>
          <w:ilvl w:val="0"/>
          <w:numId w:val="2"/>
        </w:numPr>
        <w:spacing w:after="70" w:line="270"/>
      </w:pPr>
      <w:r>
        <w:rPr>
          <w:rFonts w:ascii="Calibri" w:cs="Calibri" w:eastAsia="Calibri" w:hAnsi="Calibri"/>
          <w:b/>
          <w:bCs/>
          <w:sz w:val="20"/>
          <w:szCs w:val="20"/>
        </w:rPr>
        <w:t xml:space="preserve">CMO (safety and usability):</w:t>
      </w:r>
      <w:r>
        <w:rPr>
          <w:rFonts w:ascii="Calibri" w:cs="Calibri" w:eastAsia="Calibri" w:hAnsi="Calibri"/>
          <w:sz w:val="20"/>
          <w:szCs w:val="20"/>
        </w:rPr>
        <w:t xml:space="preserve"> the system must never lose a record, and must be usable by a nurse after 20 minutes of training.</w:t>
      </w:r>
    </w:p>
    <w:p>
      <w:pPr>
        <w:pStyle w:val="ListParagraph"/>
        <w:numPr>
          <w:ilvl w:val="0"/>
          <w:numId w:val="2"/>
        </w:numPr>
        <w:spacing w:after="70" w:line="270"/>
      </w:pPr>
      <w:r>
        <w:rPr>
          <w:rFonts w:ascii="Calibri" w:cs="Calibri" w:eastAsia="Calibri" w:hAnsi="Calibri"/>
          <w:b/>
          <w:bCs/>
          <w:sz w:val="20"/>
          <w:szCs w:val="20"/>
        </w:rPr>
        <w:t xml:space="preserve">CFO (time and cost):</w:t>
      </w:r>
      <w:r>
        <w:rPr>
          <w:rFonts w:ascii="Calibri" w:cs="Calibri" w:eastAsia="Calibri" w:hAnsi="Calibri"/>
          <w:sz w:val="20"/>
          <w:szCs w:val="20"/>
        </w:rPr>
        <w:t xml:space="preserve"> the project must not exceed 18 months, with proper justification of every estimate.</w:t>
      </w:r>
    </w:p>
    <w:p>
      <w:pPr>
        <w:spacing w:after="120" w:line="276"/>
      </w:pPr>
      <w:r>
        <w:rPr>
          <w:rFonts w:ascii="Calibri" w:cs="Calibri" w:eastAsia="Calibri" w:hAnsi="Calibri"/>
          <w:sz w:val="20"/>
          <w:szCs w:val="20"/>
        </w:rPr>
        <w:t xml:space="preserve">This BRD recommends building a single central MediTrack system (section 7.3), delivered in staged waves, with a clinical-safety gate before go-live. The business case rests on one primary outcome: </w:t>
      </w:r>
      <w:r>
        <w:rPr>
          <w:rFonts w:ascii="Calibri" w:cs="Calibri" w:eastAsia="Calibri" w:hAnsi="Calibri"/>
          <w:b/>
          <w:bCs/>
          <w:sz w:val="20"/>
          <w:szCs w:val="20"/>
        </w:rPr>
        <w:t xml:space="preserve">no prescription is ever signed without a known allergy status.</w:t>
      </w:r>
    </w:p>
    <w:p>
      <w:pPr>
        <w:pStyle w:val="Heading1"/>
        <w:keepNext/>
        <w:spacing w:after="140" w:before="320"/>
      </w:pPr>
      <w:r>
        <w:rPr>
          <w:rFonts w:ascii="Calibri" w:cs="Calibri" w:eastAsia="Calibri" w:hAnsi="Calibri"/>
          <w:b/>
          <w:bCs/>
          <w:color w:val="1F3A5F"/>
          <w:sz w:val="30"/>
          <w:szCs w:val="30"/>
        </w:rPr>
        <w:t xml:space="preserve">3. Business background and problem statement</w:t>
      </w:r>
    </w:p>
    <w:p>
      <w:pPr>
        <w:pStyle w:val="Heading2"/>
        <w:keepNext/>
        <w:spacing w:after="100" w:before="220"/>
      </w:pPr>
      <w:r>
        <w:rPr>
          <w:rFonts w:ascii="Calibri" w:cs="Calibri" w:eastAsia="Calibri" w:hAnsi="Calibri"/>
          <w:b/>
          <w:bCs/>
          <w:color w:val="1F3A5F"/>
          <w:sz w:val="24"/>
          <w:szCs w:val="24"/>
        </w:rPr>
        <w:t xml:space="preserve">3.1 Current state (as-is)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tblHeader/>
        </w:trPr>
        <w:tc>
          <w:tcPr>
            <w:tcW w:type="dxa" w:w="26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Area</w:t>
            </w:r>
          </w:p>
        </w:tc>
        <w:tc>
          <w:tcPr>
            <w:tcW w:type="dxa" w:w="36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Today</w:t>
            </w:r>
          </w:p>
        </w:tc>
        <w:tc>
          <w:tcPr>
            <w:tcW w:type="dxa" w:w="3438"/>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Business impact</w:t>
            </w:r>
          </w:p>
        </w:tc>
      </w:tr>
      <w:tr>
        <w:trPr>
          <w:cantSplit/>
        </w:trPr>
        <w:tc>
          <w:tcPr>
            <w:tcW w:type="dxa" w:w="26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Patient history</w:t>
            </w:r>
          </w:p>
        </w:tc>
        <w:tc>
          <w:tcPr>
            <w:tcW w:type="dxa" w:w="36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Six hospital sites use three different arrangements (FoxPro, Excel, none); referred patients carry paper files.</w:t>
            </w:r>
          </w:p>
        </w:tc>
        <w:tc>
          <w:tcPr>
            <w:tcW w:type="dxa" w:w="34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No single view of a patient; history is re-typed or lost between sites.</w:t>
            </w:r>
          </w:p>
        </w:tc>
      </w:tr>
      <w:tr>
        <w:trPr>
          <w:cantSplit/>
        </w:trPr>
        <w:tc>
          <w:tcPr>
            <w:tcW w:type="dxa" w:w="26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Allergy information</w:t>
            </w:r>
          </w:p>
        </w:tc>
        <w:tc>
          <w:tcPr>
            <w:tcW w:type="dxa" w:w="36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Not reliably available at the moment of prescribing.</w:t>
            </w:r>
          </w:p>
        </w:tc>
        <w:tc>
          <w:tcPr>
            <w:tcW w:type="dxa" w:w="34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310 prescribing incidents in 2024</w:t>
            </w:r>
            <w:r>
              <w:rPr>
                <w:rFonts w:ascii="Calibri" w:cs="Calibri" w:eastAsia="Calibri" w:hAnsi="Calibri"/>
                <w:b w:val="false"/>
                <w:bCs w:val="false"/>
                <w:sz w:val="18"/>
                <w:szCs w:val="18"/>
              </w:rPr>
              <w:t xml:space="preserve"> traced to missing allergy history.</w:t>
            </w:r>
          </w:p>
        </w:tc>
      </w:tr>
      <w:tr>
        <w:trPr>
          <w:cantSplit/>
        </w:trPr>
        <w:tc>
          <w:tcPr>
            <w:tcW w:type="dxa" w:w="26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Prescribing and dispensing</w:t>
            </w:r>
          </w:p>
        </w:tc>
        <w:tc>
          <w:tcPr>
            <w:tcW w:type="dxa" w:w="36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Handled site by site; the pharmacist is often the last safety net.</w:t>
            </w:r>
          </w:p>
        </w:tc>
        <w:tc>
          <w:tcPr>
            <w:tcW w:type="dxa" w:w="34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Dosage and interaction errors are caught late or not at all.</w:t>
            </w:r>
          </w:p>
        </w:tc>
      </w:tr>
      <w:tr>
        <w:trPr>
          <w:cantSplit/>
        </w:trPr>
        <w:tc>
          <w:tcPr>
            <w:tcW w:type="dxa" w:w="26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Audit and legal position</w:t>
            </w:r>
          </w:p>
        </w:tc>
        <w:tc>
          <w:tcPr>
            <w:tcW w:type="dxa" w:w="36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No consistent audit trail across sites.</w:t>
            </w:r>
          </w:p>
        </w:tc>
        <w:tc>
          <w:tcPr>
            <w:tcW w:type="dxa" w:w="34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Records may not be legally admissible; silent edits cannot be ruled out.</w:t>
            </w:r>
          </w:p>
        </w:tc>
      </w:tr>
      <w:tr>
        <w:trPr>
          <w:cantSplit/>
        </w:trPr>
        <w:tc>
          <w:tcPr>
            <w:tcW w:type="dxa" w:w="26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Legacy data</w:t>
            </w:r>
          </w:p>
        </w:tc>
        <w:tc>
          <w:tcPr>
            <w:tcW w:type="dxa" w:w="36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2.4 million patient rows, of which roughly 7 % (about 168,000) have malformed dates or duplicate IDs.</w:t>
            </w:r>
          </w:p>
        </w:tc>
        <w:tc>
          <w:tcPr>
            <w:tcW w:type="dxa" w:w="34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Data quality blocks any simple copy into a new system.</w:t>
            </w:r>
          </w:p>
        </w:tc>
      </w:tr>
      <w:tr>
        <w:trPr>
          <w:cantSplit/>
        </w:trPr>
        <w:tc>
          <w:tcPr>
            <w:tcW w:type="dxa" w:w="26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Technology risk</w:t>
            </w:r>
          </w:p>
        </w:tc>
        <w:tc>
          <w:tcPr>
            <w:tcW w:type="dxa" w:w="36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A 14-year-old FoxPro package at two hospitals.</w:t>
            </w:r>
          </w:p>
        </w:tc>
        <w:tc>
          <w:tcPr>
            <w:tcW w:type="dxa" w:w="34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Ageing, hard to support, and a single point of failure for those sites.</w:t>
            </w:r>
          </w:p>
        </w:tc>
      </w:tr>
    </w:tbl>
    <w:p>
      <w:pPr>
        <w:pStyle w:val="Heading2"/>
        <w:keepNext/>
        <w:spacing w:after="100" w:before="220"/>
      </w:pPr>
      <w:r>
        <w:rPr>
          <w:rFonts w:ascii="Calibri" w:cs="Calibri" w:eastAsia="Calibri" w:hAnsi="Calibri"/>
          <w:b/>
          <w:bCs/>
          <w:color w:val="1F3A5F"/>
          <w:sz w:val="24"/>
          <w:szCs w:val="24"/>
        </w:rPr>
        <w:t xml:space="preserve">3.2 Problem statement</w:t>
      </w:r>
    </w:p>
    <w:p>
      <w:pPr>
        <w:spacing w:after="120" w:line="276"/>
      </w:pPr>
      <w:r>
        <w:rPr>
          <w:rFonts w:ascii="Calibri" w:cs="Calibri" w:eastAsia="Calibri" w:hAnsi="Calibri"/>
          <w:sz w:val="20"/>
          <w:szCs w:val="20"/>
        </w:rPr>
        <w:t xml:space="preserve">Aarogya Healthcare cannot see a patient's complete and trustworthy history at the point of care. This has already caused avoidable patient-safety incidents, exposes the group to legal risk because records are not protected against silent change, and prevents management from running 27 sites as one organisation.</w:t>
      </w:r>
    </w:p>
    <w:p>
      <w:pPr>
        <w:pStyle w:val="Heading2"/>
        <w:keepNext/>
        <w:spacing w:after="100" w:before="220"/>
      </w:pPr>
      <w:r>
        <w:rPr>
          <w:rFonts w:ascii="Calibri" w:cs="Calibri" w:eastAsia="Calibri" w:hAnsi="Calibri"/>
          <w:b/>
          <w:bCs/>
          <w:color w:val="1F3A5F"/>
          <w:sz w:val="24"/>
          <w:szCs w:val="24"/>
        </w:rPr>
        <w:t xml:space="preserve">3.3 Opportunity</w:t>
      </w:r>
    </w:p>
    <w:p>
      <w:pPr>
        <w:spacing w:after="120" w:line="276"/>
      </w:pPr>
      <w:r>
        <w:rPr>
          <w:rFonts w:ascii="Calibri" w:cs="Calibri" w:eastAsia="Calibri" w:hAnsi="Calibri"/>
          <w:sz w:val="20"/>
          <w:szCs w:val="20"/>
        </w:rPr>
        <w:t xml:space="preserve">A single EMR with a mandatory allergy status, automatic allergy and interaction checking, immutable versioned records and an append-only audit trail removes the root cause of the 2024 incidents and gives the group one legally defensible source of truth.</w:t>
      </w:r>
    </w:p>
    <w:p>
      <w:pPr>
        <w:pStyle w:val="Heading1"/>
        <w:keepNext/>
        <w:spacing w:after="140" w:before="320"/>
      </w:pPr>
      <w:r>
        <w:rPr>
          <w:rFonts w:ascii="Calibri" w:cs="Calibri" w:eastAsia="Calibri" w:hAnsi="Calibri"/>
          <w:b/>
          <w:bCs/>
          <w:color w:val="1F3A5F"/>
          <w:sz w:val="30"/>
          <w:szCs w:val="30"/>
        </w:rPr>
        <w:t xml:space="preserve">4. Business objectives</w:t>
      </w:r>
    </w:p>
    <w:p>
      <w:pPr>
        <w:spacing w:after="120" w:line="276"/>
      </w:pPr>
      <w:r>
        <w:rPr>
          <w:rFonts w:ascii="Calibri" w:cs="Calibri" w:eastAsia="Calibri" w:hAnsi="Calibri"/>
          <w:sz w:val="20"/>
          <w:szCs w:val="20"/>
        </w:rPr>
        <w:t xml:space="preserve">Each objective is specific and measurable. Where the case study gives a number it is used unchanged; targets marked ✱ are proposed by the project team and are to be confirmed by the CMO at BRD sign-off.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3100"/>
        <w:gridCol w:w="2038"/>
      </w:tblGrid>
      <w:tr>
        <w:trPr>
          <w:tblHeader/>
        </w:trPr>
        <w:tc>
          <w:tcPr>
            <w:tcW w:type="dxa" w:w="9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ID</w:t>
            </w:r>
          </w:p>
        </w:tc>
        <w:tc>
          <w:tcPr>
            <w:tcW w:type="dxa" w:w="36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Business objective</w:t>
            </w:r>
          </w:p>
        </w:tc>
        <w:tc>
          <w:tcPr>
            <w:tcW w:type="dxa" w:w="31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Measure and target</w:t>
            </w:r>
          </w:p>
        </w:tc>
        <w:tc>
          <w:tcPr>
            <w:tcW w:type="dxa" w:w="2038"/>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Baseline / source</w:t>
            </w:r>
          </w:p>
        </w:tc>
      </w:tr>
      <w:tr>
        <w:trPr>
          <w:cantSpli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BO-1</w:t>
            </w:r>
          </w:p>
        </w:tc>
        <w:tc>
          <w:tcPr>
            <w:tcW w:type="dxa" w:w="36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Eliminate prescribing incidents caused by missing allergy history.</w:t>
            </w:r>
          </w:p>
        </w:tc>
        <w:tc>
          <w:tcPr>
            <w:tcW w:type="dxa" w:w="31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Incidents attributable to missing allergy history: </w:t>
            </w:r>
            <w:r>
              <w:rPr>
                <w:rFonts w:ascii="Calibri" w:cs="Calibri" w:eastAsia="Calibri" w:hAnsi="Calibri"/>
                <w:b/>
                <w:bCs/>
                <w:sz w:val="18"/>
                <w:szCs w:val="18"/>
              </w:rPr>
              <w:t xml:space="preserve">0</w:t>
            </w:r>
            <w:r>
              <w:rPr>
                <w:rFonts w:ascii="Calibri" w:cs="Calibri" w:eastAsia="Calibri" w:hAnsi="Calibri"/>
                <w:b w:val="false"/>
                <w:bCs w:val="false"/>
                <w:sz w:val="18"/>
                <w:szCs w:val="18"/>
              </w:rPr>
              <w:t xml:space="preserve"> after go-live ✱. Replay of all 310 incident reports is blocked or warned by the system.</w:t>
            </w:r>
          </w:p>
        </w:tc>
        <w:tc>
          <w:tcPr>
            <w:tcW w:type="dxa" w:w="20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310 incidents in 2024 (case study)</w:t>
            </w:r>
          </w:p>
        </w:tc>
      </w:tr>
      <w:tr>
        <w:trPr>
          <w:cantSplit/>
        </w:trPr>
        <w:tc>
          <w:tcPr>
            <w:tcW w:type="dxa" w:w="9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BO-2</w:t>
            </w:r>
          </w:p>
        </w:tc>
        <w:tc>
          <w:tcPr>
            <w:tcW w:type="dxa" w:w="36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Give every clinician one unified, cross-site patient record.</w:t>
            </w:r>
          </w:p>
        </w:tc>
        <w:tc>
          <w:tcPr>
            <w:tcW w:type="dxa" w:w="31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A record created at one site is visible at any other site within 2 s; one MRN per patient.</w:t>
            </w:r>
          </w:p>
        </w:tc>
        <w:tc>
          <w:tcPr>
            <w:tcW w:type="dxa" w:w="20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Six separate systems</w:t>
            </w:r>
          </w:p>
        </w:tc>
      </w:tr>
      <w:tr>
        <w:trPr>
          <w:cantSpli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BO-3</w:t>
            </w:r>
          </w:p>
        </w:tc>
        <w:tc>
          <w:tcPr>
            <w:tcW w:type="dxa" w:w="36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Make records legally admissible and tamper-evident.</w:t>
            </w:r>
          </w:p>
        </w:tc>
        <w:tc>
          <w:tcPr>
            <w:tcW w:type="dxa" w:w="31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100 % of create, amend, view and override events audited; no silent edit possible.</w:t>
            </w:r>
          </w:p>
        </w:tc>
        <w:tc>
          <w:tcPr>
            <w:tcW w:type="dxa" w:w="20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CMO requirement</w:t>
            </w:r>
          </w:p>
        </w:tc>
      </w:tr>
      <w:tr>
        <w:trPr>
          <w:cantSplit/>
        </w:trPr>
        <w:tc>
          <w:tcPr>
            <w:tcW w:type="dxa" w:w="9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BO-4</w:t>
            </w:r>
          </w:p>
        </w:tc>
        <w:tc>
          <w:tcPr>
            <w:tcW w:type="dxa" w:w="36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Never lose a record.</w:t>
            </w:r>
          </w:p>
        </w:tc>
        <w:tc>
          <w:tcPr>
            <w:tcW w:type="dxa" w:w="31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Zero committed records lost (RPO = 0); migration reconciliation variance = 0.</w:t>
            </w:r>
          </w:p>
        </w:tc>
        <w:tc>
          <w:tcPr>
            <w:tcW w:type="dxa" w:w="20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CMO requirement</w:t>
            </w:r>
          </w:p>
        </w:tc>
      </w:tr>
      <w:tr>
        <w:trPr>
          <w:cantSpli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BO-5</w:t>
            </w:r>
          </w:p>
        </w:tc>
        <w:tc>
          <w:tcPr>
            <w:tcW w:type="dxa" w:w="36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Make the system usable by nurses after minimal training.</w:t>
            </w:r>
          </w:p>
        </w:tc>
        <w:tc>
          <w:tcPr>
            <w:tcW w:type="dxa" w:w="31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 90 % of nurses complete 5 core tasks unaided after 20 minutes of training.</w:t>
            </w:r>
          </w:p>
        </w:tc>
        <w:tc>
          <w:tcPr>
            <w:tcW w:type="dxa" w:w="20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20-minute limit (CMO)</w:t>
            </w:r>
          </w:p>
        </w:tc>
      </w:tr>
      <w:tr>
        <w:trPr>
          <w:cantSplit/>
        </w:trPr>
        <w:tc>
          <w:tcPr>
            <w:tcW w:type="dxa" w:w="9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BO-6</w:t>
            </w:r>
          </w:p>
        </w:tc>
        <w:tc>
          <w:tcPr>
            <w:tcW w:type="dxa" w:w="36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Keep clinical services running.</w:t>
            </w:r>
          </w:p>
        </w:tc>
        <w:tc>
          <w:tcPr>
            <w:tcW w:type="dxa" w:w="31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MTBF ≥ 1,400 h; MTTR ≤ 2 h.</w:t>
            </w:r>
          </w:p>
        </w:tc>
        <w:tc>
          <w:tcPr>
            <w:tcW w:type="dxa" w:w="20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Case study acceptance target</w:t>
            </w:r>
          </w:p>
        </w:tc>
      </w:tr>
      <w:tr>
        <w:trPr>
          <w:cantSpli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BO-7</w:t>
            </w:r>
          </w:p>
        </w:tc>
        <w:tc>
          <w:tcPr>
            <w:tcW w:type="dxa" w:w="36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Deliver safe quality at go-live.</w:t>
            </w:r>
          </w:p>
        </w:tc>
        <w:tc>
          <w:tcPr>
            <w:tcW w:type="dxa" w:w="31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Defect removal efficiency ≥ 92 % before go-live.</w:t>
            </w:r>
          </w:p>
        </w:tc>
        <w:tc>
          <w:tcPr>
            <w:tcW w:type="dxa" w:w="20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Case study acceptance target</w:t>
            </w:r>
          </w:p>
        </w:tc>
      </w:tr>
      <w:tr>
        <w:trPr>
          <w:cantSplit/>
        </w:trPr>
        <w:tc>
          <w:tcPr>
            <w:tcW w:type="dxa" w:w="9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BO-8</w:t>
            </w:r>
          </w:p>
        </w:tc>
        <w:tc>
          <w:tcPr>
            <w:tcW w:type="dxa" w:w="36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Deliver within the CFO's time limit.</w:t>
            </w:r>
          </w:p>
        </w:tc>
        <w:tc>
          <w:tcPr>
            <w:tcW w:type="dxa" w:w="31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Go-live of all 27 sites within 18 months, with no Must requirement traded for time.</w:t>
            </w:r>
          </w:p>
        </w:tc>
        <w:tc>
          <w:tcPr>
            <w:tcW w:type="dxa" w:w="20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18-month ceiling (CFO)</w:t>
            </w:r>
          </w:p>
        </w:tc>
      </w:tr>
      <w:tr>
        <w:trPr>
          <w:cantSpli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BO-9</w:t>
            </w:r>
          </w:p>
        </w:tc>
        <w:tc>
          <w:tcPr>
            <w:tcW w:type="dxa" w:w="36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Retire the legacy arrangements.</w:t>
            </w:r>
          </w:p>
        </w:tc>
        <w:tc>
          <w:tcPr>
            <w:tcW w:type="dxa" w:w="31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FoxPro and Excel registers decommissioned and replaced by MediTrack at all 6 hospitals; the 21 clinics are included in roll-out.</w:t>
            </w:r>
          </w:p>
        </w:tc>
        <w:tc>
          <w:tcPr>
            <w:tcW w:type="dxa" w:w="20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Six sites on three arrangements</w:t>
            </w:r>
          </w:p>
        </w:tc>
      </w:tr>
    </w:tbl>
    <w:p>
      <w:pPr>
        <w:pStyle w:val="Heading1"/>
        <w:keepNext/>
        <w:spacing w:after="140" w:before="320"/>
      </w:pPr>
      <w:r>
        <w:rPr>
          <w:rFonts w:ascii="Calibri" w:cs="Calibri" w:eastAsia="Calibri" w:hAnsi="Calibri"/>
          <w:b/>
          <w:bCs/>
          <w:color w:val="1F3A5F"/>
          <w:sz w:val="30"/>
          <w:szCs w:val="30"/>
        </w:rPr>
        <w:t xml:space="preserve">5. Scope</w:t>
      </w:r>
    </w:p>
    <w:p>
      <w:pPr>
        <w:pStyle w:val="Heading2"/>
        <w:keepNext/>
        <w:spacing w:after="100" w:before="220"/>
      </w:pPr>
      <w:r>
        <w:rPr>
          <w:rFonts w:ascii="Calibri" w:cs="Calibri" w:eastAsia="Calibri" w:hAnsi="Calibri"/>
          <w:b/>
          <w:bCs/>
          <w:color w:val="1F3A5F"/>
          <w:sz w:val="24"/>
          <w:szCs w:val="24"/>
        </w:rPr>
        <w:t xml:space="preserve">5.1 In scope</w:t>
      </w:r>
    </w:p>
    <w:p>
      <w:pPr>
        <w:pStyle w:val="ListParagraph"/>
        <w:numPr>
          <w:ilvl w:val="0"/>
          <w:numId w:val="2"/>
        </w:numPr>
        <w:spacing w:after="70" w:line="270"/>
      </w:pPr>
      <w:r>
        <w:rPr>
          <w:rFonts w:ascii="Calibri" w:cs="Calibri" w:eastAsia="Calibri" w:hAnsi="Calibri"/>
          <w:sz w:val="20"/>
          <w:szCs w:val="20"/>
        </w:rPr>
        <w:t xml:space="preserve">Patient registration with a unique Medical Record Number valid at all 27 sites, with duplicate warning.</w:t>
      </w:r>
    </w:p>
    <w:p>
      <w:pPr>
        <w:pStyle w:val="ListParagraph"/>
        <w:numPr>
          <w:ilvl w:val="0"/>
          <w:numId w:val="2"/>
        </w:numPr>
        <w:spacing w:after="70" w:line="270"/>
      </w:pPr>
      <w:r>
        <w:rPr>
          <w:rFonts w:ascii="Calibri" w:cs="Calibri" w:eastAsia="Calibri" w:hAnsi="Calibri"/>
          <w:sz w:val="20"/>
          <w:szCs w:val="20"/>
        </w:rPr>
        <w:t xml:space="preserve">Cross-site search and one unified patient record.</w:t>
      </w:r>
    </w:p>
    <w:p>
      <w:pPr>
        <w:pStyle w:val="ListParagraph"/>
        <w:numPr>
          <w:ilvl w:val="0"/>
          <w:numId w:val="2"/>
        </w:numPr>
        <w:spacing w:after="70" w:line="270"/>
      </w:pPr>
      <w:r>
        <w:rPr>
          <w:rFonts w:ascii="Calibri" w:cs="Calibri" w:eastAsia="Calibri" w:hAnsi="Calibri"/>
          <w:sz w:val="20"/>
          <w:szCs w:val="20"/>
        </w:rPr>
        <w:t xml:space="preserve">Allergy and adverse-reaction record with a mandatory status (KNOWN, NKDA or UNKNOWN).</w:t>
      </w:r>
    </w:p>
    <w:p>
      <w:pPr>
        <w:pStyle w:val="ListParagraph"/>
        <w:numPr>
          <w:ilvl w:val="0"/>
          <w:numId w:val="2"/>
        </w:numPr>
        <w:spacing w:after="70" w:line="270"/>
      </w:pPr>
      <w:r>
        <w:rPr>
          <w:rFonts w:ascii="Calibri" w:cs="Calibri" w:eastAsia="Calibri" w:hAnsi="Calibri"/>
          <w:sz w:val="20"/>
          <w:szCs w:val="20"/>
        </w:rPr>
        <w:t xml:space="preserve">OPD / IPD notes, admissions and transfers, with versioned amendments.</w:t>
      </w:r>
    </w:p>
    <w:p>
      <w:pPr>
        <w:pStyle w:val="ListParagraph"/>
        <w:numPr>
          <w:ilvl w:val="0"/>
          <w:numId w:val="2"/>
        </w:numPr>
        <w:spacing w:after="70" w:line="270"/>
      </w:pPr>
      <w:r>
        <w:rPr>
          <w:rFonts w:ascii="Calibri" w:cs="Calibri" w:eastAsia="Calibri" w:hAnsi="Calibri"/>
          <w:sz w:val="20"/>
          <w:szCs w:val="20"/>
        </w:rPr>
        <w:t xml:space="preserve">e-Prescribing with field validation, and allergy and interaction checking before signing.</w:t>
      </w:r>
    </w:p>
    <w:p>
      <w:pPr>
        <w:pStyle w:val="ListParagraph"/>
        <w:numPr>
          <w:ilvl w:val="0"/>
          <w:numId w:val="2"/>
        </w:numPr>
        <w:spacing w:after="70" w:line="270"/>
      </w:pPr>
      <w:r>
        <w:rPr>
          <w:rFonts w:ascii="Calibri" w:cs="Calibri" w:eastAsia="Calibri" w:hAnsi="Calibri"/>
          <w:sz w:val="20"/>
          <w:szCs w:val="20"/>
        </w:rPr>
        <w:t xml:space="preserve">Lab orders and results; pharmacy dispensing; discharge summaries.</w:t>
      </w:r>
    </w:p>
    <w:p>
      <w:pPr>
        <w:pStyle w:val="ListParagraph"/>
        <w:numPr>
          <w:ilvl w:val="0"/>
          <w:numId w:val="2"/>
        </w:numPr>
        <w:spacing w:after="70" w:line="270"/>
      </w:pPr>
      <w:r>
        <w:rPr>
          <w:rFonts w:ascii="Calibri" w:cs="Calibri" w:eastAsia="Calibri" w:hAnsi="Calibri"/>
          <w:sz w:val="20"/>
          <w:szCs w:val="20"/>
        </w:rPr>
        <w:t xml:space="preserve">Role-based access, audited break-glass access, and audit-trail search and export.</w:t>
      </w:r>
    </w:p>
    <w:p>
      <w:pPr>
        <w:pStyle w:val="ListParagraph"/>
        <w:numPr>
          <w:ilvl w:val="0"/>
          <w:numId w:val="2"/>
        </w:numPr>
        <w:spacing w:after="70" w:line="270"/>
      </w:pPr>
      <w:r>
        <w:rPr>
          <w:rFonts w:ascii="Calibri" w:cs="Calibri" w:eastAsia="Calibri" w:hAnsi="Calibri"/>
          <w:sz w:val="20"/>
          <w:szCs w:val="20"/>
        </w:rPr>
        <w:t xml:space="preserve">Migration of 2.4 million legacy patient rows with quarantine and reconciliation.</w:t>
      </w:r>
    </w:p>
    <w:p>
      <w:pPr>
        <w:pStyle w:val="ListParagraph"/>
        <w:numPr>
          <w:ilvl w:val="0"/>
          <w:numId w:val="2"/>
        </w:numPr>
        <w:spacing w:after="70" w:line="270"/>
      </w:pPr>
      <w:r>
        <w:rPr>
          <w:rFonts w:ascii="Calibri" w:cs="Calibri" w:eastAsia="Calibri" w:hAnsi="Calibri"/>
          <w:sz w:val="20"/>
          <w:szCs w:val="20"/>
        </w:rPr>
        <w:t xml:space="preserve">Training support and roll-out to all 27 sites; complete project documentation and UI screen designs.</w:t>
      </w:r>
    </w:p>
    <w:p>
      <w:pPr>
        <w:pStyle w:val="Heading2"/>
        <w:keepNext/>
        <w:spacing w:after="100" w:before="220"/>
      </w:pPr>
      <w:r>
        <w:rPr>
          <w:rFonts w:ascii="Calibri" w:cs="Calibri" w:eastAsia="Calibri" w:hAnsi="Calibri"/>
          <w:b/>
          <w:bCs/>
          <w:color w:val="1F3A5F"/>
          <w:sz w:val="24"/>
          <w:szCs w:val="24"/>
        </w:rPr>
        <w:t xml:space="preserve">5.2 Out of scope</w:t>
      </w:r>
    </w:p>
    <w:p>
      <w:pPr>
        <w:pStyle w:val="ListParagraph"/>
        <w:numPr>
          <w:ilvl w:val="0"/>
          <w:numId w:val="2"/>
        </w:numPr>
        <w:spacing w:after="70" w:line="270"/>
      </w:pPr>
      <w:r>
        <w:rPr>
          <w:rFonts w:ascii="Calibri" w:cs="Calibri" w:eastAsia="Calibri" w:hAnsi="Calibri"/>
          <w:sz w:val="20"/>
          <w:szCs w:val="20"/>
        </w:rPr>
        <w:t xml:space="preserve">Internal logic of the Billing module (MediTrack only publishes events to it).</w:t>
      </w:r>
    </w:p>
    <w:p>
      <w:pPr>
        <w:pStyle w:val="ListParagraph"/>
        <w:numPr>
          <w:ilvl w:val="0"/>
          <w:numId w:val="2"/>
        </w:numPr>
        <w:spacing w:after="70" w:line="270"/>
      </w:pPr>
      <w:r>
        <w:rPr>
          <w:rFonts w:ascii="Calibri" w:cs="Calibri" w:eastAsia="Calibri" w:hAnsi="Calibri"/>
          <w:sz w:val="20"/>
          <w:szCs w:val="20"/>
        </w:rPr>
        <w:t xml:space="preserve">Payroll / HR, patient portal, telemedicine, national health-ID integration and AI-assisted diagnosis (SRS Won't list W-01 to W-04).</w:t>
      </w:r>
    </w:p>
    <w:p>
      <w:pPr>
        <w:pStyle w:val="ListParagraph"/>
        <w:numPr>
          <w:ilvl w:val="0"/>
          <w:numId w:val="2"/>
        </w:numPr>
        <w:spacing w:after="70" w:line="270"/>
      </w:pPr>
      <w:r>
        <w:rPr>
          <w:rFonts w:ascii="Calibri" w:cs="Calibri" w:eastAsia="Calibri" w:hAnsi="Calibri"/>
          <w:sz w:val="20"/>
          <w:szCs w:val="20"/>
        </w:rPr>
        <w:t xml:space="preserve">Building or deploying a working application. For this course submission the deliverable is the documentation and UI representation of the proposed system.</w:t>
      </w:r>
    </w:p>
    <w:p>
      <w:pPr>
        <w:pStyle w:val="Heading2"/>
        <w:keepNext/>
        <w:spacing w:after="100" w:before="220"/>
      </w:pPr>
      <w:r>
        <w:rPr>
          <w:rFonts w:ascii="Calibri" w:cs="Calibri" w:eastAsia="Calibri" w:hAnsi="Calibri"/>
          <w:b/>
          <w:bCs/>
          <w:color w:val="1F3A5F"/>
          <w:sz w:val="24"/>
          <w:szCs w:val="24"/>
        </w:rPr>
        <w:t xml:space="preserve">5.3 Release priorities</w:t>
      </w:r>
    </w:p>
    <w:p>
      <w:pPr>
        <w:spacing w:after="120" w:line="276"/>
      </w:pPr>
      <w:r>
        <w:rPr>
          <w:rFonts w:ascii="Calibri" w:cs="Calibri" w:eastAsia="Calibri" w:hAnsi="Calibri"/>
          <w:sz w:val="20"/>
          <w:szCs w:val="20"/>
        </w:rPr>
        <w:t xml:space="preserve">Priorities follow the SRS MoSCoW analysis: ten functional requirements (FR-01 to FR-08, FR-10, FR-12) and six non-functional requirements are </w:t>
      </w:r>
      <w:r>
        <w:rPr>
          <w:rFonts w:ascii="Calibri" w:cs="Calibri" w:eastAsia="Calibri" w:hAnsi="Calibri"/>
          <w:b/>
          <w:bCs/>
          <w:sz w:val="20"/>
          <w:szCs w:val="20"/>
        </w:rPr>
        <w:t xml:space="preserve">Must</w:t>
      </w:r>
      <w:r>
        <w:rPr>
          <w:rFonts w:ascii="Calibri" w:cs="Calibri" w:eastAsia="Calibri" w:hAnsi="Calibri"/>
          <w:sz w:val="20"/>
          <w:szCs w:val="20"/>
        </w:rPr>
        <w:t xml:space="preserve">; FR-09 (discharge summary), FR-11 (audit search and export), NFR-07 and NFR-08 are </w:t>
      </w:r>
      <w:r>
        <w:rPr>
          <w:rFonts w:ascii="Calibri" w:cs="Calibri" w:eastAsia="Calibri" w:hAnsi="Calibri"/>
          <w:b/>
          <w:bCs/>
          <w:sz w:val="20"/>
          <w:szCs w:val="20"/>
        </w:rPr>
        <w:t xml:space="preserve">Should</w:t>
      </w:r>
      <w:r>
        <w:rPr>
          <w:rFonts w:ascii="Calibri" w:cs="Calibri" w:eastAsia="Calibri" w:hAnsi="Calibri"/>
          <w:sz w:val="20"/>
          <w:szCs w:val="20"/>
        </w:rPr>
        <w:t xml:space="preserve">; management dashboards, SMS reminders and voice dictation are </w:t>
      </w:r>
      <w:r>
        <w:rPr>
          <w:rFonts w:ascii="Calibri" w:cs="Calibri" w:eastAsia="Calibri" w:hAnsi="Calibri"/>
          <w:b/>
          <w:bCs/>
          <w:sz w:val="20"/>
          <w:szCs w:val="20"/>
        </w:rPr>
        <w:t xml:space="preserve">Could</w:t>
      </w:r>
      <w:r>
        <w:rPr>
          <w:rFonts w:ascii="Calibri" w:cs="Calibri" w:eastAsia="Calibri" w:hAnsi="Calibri"/>
          <w:sz w:val="20"/>
          <w:szCs w:val="20"/>
        </w:rPr>
        <w:t xml:space="preserve">. </w:t>
      </w:r>
      <w:r>
        <w:rPr>
          <w:rFonts w:ascii="Calibri" w:cs="Calibri" w:eastAsia="Calibri" w:hAnsi="Calibri"/>
          <w:b/>
          <w:bCs/>
          <w:sz w:val="20"/>
          <w:szCs w:val="20"/>
        </w:rPr>
        <w:t xml:space="preserve">If the schedule is threatened, work is dropped in the order Could, then Should, and never a Must.</w:t>
      </w:r>
    </w:p>
    <w:p>
      <w:pPr>
        <w:pStyle w:val="Heading1"/>
        <w:keepNext/>
        <w:spacing w:after="140" w:before="320"/>
      </w:pPr>
      <w:r>
        <w:rPr>
          <w:rFonts w:ascii="Calibri" w:cs="Calibri" w:eastAsia="Calibri" w:hAnsi="Calibri"/>
          <w:b/>
          <w:bCs/>
          <w:color w:val="1F3A5F"/>
          <w:sz w:val="30"/>
          <w:szCs w:val="30"/>
        </w:rPr>
        <w:t xml:space="preserve">6. Stakeholders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2800"/>
        <w:gridCol w:w="1838"/>
      </w:tblGrid>
      <w:tr>
        <w:trPr>
          <w:tblHeader/>
        </w:trPr>
        <w:tc>
          <w:tcPr>
            <w:tcW w:type="dxa" w:w="21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Stakeholder</w:t>
            </w:r>
          </w:p>
        </w:tc>
        <w:tc>
          <w:tcPr>
            <w:tcW w:type="dxa" w:w="29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Interest in MediTrack</w:t>
            </w:r>
          </w:p>
        </w:tc>
        <w:tc>
          <w:tcPr>
            <w:tcW w:type="dxa" w:w="28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What they need from the project</w:t>
            </w:r>
          </w:p>
        </w:tc>
        <w:tc>
          <w:tcPr>
            <w:tcW w:type="dxa" w:w="1838"/>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Influence</w:t>
            </w:r>
          </w:p>
        </w:tc>
      </w:tr>
      <w:tr>
        <w:trPr>
          <w:cantSplit/>
        </w:trPr>
        <w:tc>
          <w:tcPr>
            <w:tcW w:type="dxa" w:w="21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CFO (executive sponsor)</w:t>
            </w:r>
          </w:p>
        </w:tc>
        <w:tc>
          <w:tcPr>
            <w:tcW w:type="dxa" w:w="29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Cost and time control.</w:t>
            </w:r>
          </w:p>
        </w:tc>
        <w:tc>
          <w:tcPr>
            <w:tcW w:type="dxa" w:w="28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Delivery within 18 months, justified estimates, visible reserve.</w:t>
            </w:r>
          </w:p>
        </w:tc>
        <w:tc>
          <w:tcPr>
            <w:tcW w:type="dxa" w:w="18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High</w:t>
            </w:r>
          </w:p>
        </w:tc>
      </w:tr>
      <w:tr>
        <w:trPr>
          <w:cantSplit/>
        </w:trPr>
        <w:tc>
          <w:tcPr>
            <w:tcW w:type="dxa" w:w="21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Chief Medical Officer (business owner)</w:t>
            </w:r>
          </w:p>
        </w:tc>
        <w:tc>
          <w:tcPr>
            <w:tcW w:type="dxa" w:w="29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Patient safety, legal admissibility, adoption.</w:t>
            </w:r>
          </w:p>
        </w:tc>
        <w:tc>
          <w:tcPr>
            <w:tcW w:type="dxa" w:w="28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Never lose a record; no silent edit; 20-minute nurse training.</w:t>
            </w:r>
          </w:p>
        </w:tc>
        <w:tc>
          <w:tcPr>
            <w:tcW w:type="dxa" w:w="18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High</w:t>
            </w:r>
          </w:p>
        </w:tc>
      </w:tr>
      <w:tr>
        <w:trPr>
          <w:cantSplit/>
        </w:trPr>
        <w:tc>
          <w:tcPr>
            <w:tcW w:type="dxa" w:w="21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Clinical Safety Officer</w:t>
            </w:r>
          </w:p>
        </w:tc>
        <w:tc>
          <w:tcPr>
            <w:tcW w:type="dxa" w:w="29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Owns the clinical-safety gate (SRS assumption A-5).</w:t>
            </w:r>
          </w:p>
        </w:tc>
        <w:tc>
          <w:tcPr>
            <w:tcW w:type="dxa" w:w="28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Sign-off authority before go-live; rule packs under change control.</w:t>
            </w:r>
          </w:p>
        </w:tc>
        <w:tc>
          <w:tcPr>
            <w:tcW w:type="dxa" w:w="18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High</w:t>
            </w:r>
          </w:p>
        </w:tc>
      </w:tr>
      <w:tr>
        <w:trPr>
          <w:cantSplit/>
        </w:trPr>
        <w:tc>
          <w:tcPr>
            <w:tcW w:type="dxa" w:w="21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Doctors</w:t>
            </w:r>
          </w:p>
        </w:tc>
        <w:tc>
          <w:tcPr>
            <w:tcW w:type="dxa" w:w="29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Fast, safe prescribing and a full history.</w:t>
            </w:r>
          </w:p>
        </w:tc>
        <w:tc>
          <w:tcPr>
            <w:tcW w:type="dxa" w:w="28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Allergy and interaction alerts that are accurate and not excessive.</w:t>
            </w:r>
          </w:p>
        </w:tc>
        <w:tc>
          <w:tcPr>
            <w:tcW w:type="dxa" w:w="18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Medium</w:t>
            </w:r>
          </w:p>
        </w:tc>
      </w:tr>
      <w:tr>
        <w:trPr>
          <w:cantSplit/>
        </w:trPr>
        <w:tc>
          <w:tcPr>
            <w:tcW w:type="dxa" w:w="21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Nurses</w:t>
            </w:r>
          </w:p>
        </w:tc>
        <w:tc>
          <w:tcPr>
            <w:tcW w:type="dxa" w:w="29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Daily recording of allergies and observations.</w:t>
            </w:r>
          </w:p>
        </w:tc>
        <w:tc>
          <w:tcPr>
            <w:tcW w:type="dxa" w:w="28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Simple screens; the five core tasks learnable in 20 minutes.</w:t>
            </w:r>
          </w:p>
        </w:tc>
        <w:tc>
          <w:tcPr>
            <w:tcW w:type="dxa" w:w="18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Medium</w:t>
            </w:r>
          </w:p>
        </w:tc>
      </w:tr>
      <w:tr>
        <w:trPr>
          <w:cantSplit/>
        </w:trPr>
        <w:tc>
          <w:tcPr>
            <w:tcW w:type="dxa" w:w="21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Pharmacists and lab technicians</w:t>
            </w:r>
          </w:p>
        </w:tc>
        <w:tc>
          <w:tcPr>
            <w:tcW w:type="dxa" w:w="29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Dispensing and results.</w:t>
            </w:r>
          </w:p>
        </w:tc>
        <w:tc>
          <w:tcPr>
            <w:tcW w:type="dxa" w:w="28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Only signed prescriptions visible; correct patient / order matching.</w:t>
            </w:r>
          </w:p>
        </w:tc>
        <w:tc>
          <w:tcPr>
            <w:tcW w:type="dxa" w:w="18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Medium</w:t>
            </w:r>
          </w:p>
        </w:tc>
      </w:tr>
      <w:tr>
        <w:trPr>
          <w:cantSplit/>
        </w:trPr>
        <w:tc>
          <w:tcPr>
            <w:tcW w:type="dxa" w:w="21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Registration clerks</w:t>
            </w:r>
          </w:p>
        </w:tc>
        <w:tc>
          <w:tcPr>
            <w:tcW w:type="dxa" w:w="29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Registering and searching patients.</w:t>
            </w:r>
          </w:p>
        </w:tc>
        <w:tc>
          <w:tcPr>
            <w:tcW w:type="dxa" w:w="28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Fast search and duplicate warnings.</w:t>
            </w:r>
          </w:p>
        </w:tc>
        <w:tc>
          <w:tcPr>
            <w:tcW w:type="dxa" w:w="18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Medium</w:t>
            </w:r>
          </w:p>
        </w:tc>
      </w:tr>
      <w:tr>
        <w:trPr>
          <w:cantSplit/>
        </w:trPr>
        <w:tc>
          <w:tcPr>
            <w:tcW w:type="dxa" w:w="21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Clinical auditors</w:t>
            </w:r>
          </w:p>
        </w:tc>
        <w:tc>
          <w:tcPr>
            <w:tcW w:type="dxa" w:w="29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Evidence and compliance.</w:t>
            </w:r>
          </w:p>
        </w:tc>
        <w:tc>
          <w:tcPr>
            <w:tcW w:type="dxa" w:w="28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Searchable, unalterable audit trail.</w:t>
            </w:r>
          </w:p>
        </w:tc>
        <w:tc>
          <w:tcPr>
            <w:tcW w:type="dxa" w:w="18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Medium</w:t>
            </w:r>
          </w:p>
        </w:tc>
      </w:tr>
      <w:tr>
        <w:trPr>
          <w:cantSplit/>
        </w:trPr>
        <w:tc>
          <w:tcPr>
            <w:tcW w:type="dxa" w:w="21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System administrators / IT</w:t>
            </w:r>
          </w:p>
        </w:tc>
        <w:tc>
          <w:tcPr>
            <w:tcW w:type="dxa" w:w="29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Operating and supporting the system.</w:t>
            </w:r>
          </w:p>
        </w:tc>
        <w:tc>
          <w:tcPr>
            <w:tcW w:type="dxa" w:w="28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Clear runbooks, monitoring, controlled rule changes.</w:t>
            </w:r>
          </w:p>
        </w:tc>
        <w:tc>
          <w:tcPr>
            <w:tcW w:type="dxa" w:w="18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Medium</w:t>
            </w:r>
          </w:p>
        </w:tc>
      </w:tr>
      <w:tr>
        <w:trPr>
          <w:cantSplit/>
        </w:trPr>
        <w:tc>
          <w:tcPr>
            <w:tcW w:type="dxa" w:w="21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Legacy system owners (6 hospital sites)</w:t>
            </w:r>
          </w:p>
        </w:tc>
        <w:tc>
          <w:tcPr>
            <w:tcW w:type="dxa" w:w="29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Their data and daily operations.</w:t>
            </w:r>
          </w:p>
        </w:tc>
        <w:tc>
          <w:tcPr>
            <w:tcW w:type="dxa" w:w="28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Read-only extract access agreed early; cut-over planned around clinical work.</w:t>
            </w:r>
          </w:p>
        </w:tc>
        <w:tc>
          <w:tcPr>
            <w:tcW w:type="dxa" w:w="18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Medium</w:t>
            </w:r>
          </w:p>
        </w:tc>
      </w:tr>
      <w:tr>
        <w:trPr>
          <w:cantSplit/>
        </w:trPr>
        <w:tc>
          <w:tcPr>
            <w:tcW w:type="dxa" w:w="21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Pharmacy &amp; Therapeutics committee</w:t>
            </w:r>
          </w:p>
        </w:tc>
        <w:tc>
          <w:tcPr>
            <w:tcW w:type="dxa" w:w="29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Drug content.</w:t>
            </w:r>
          </w:p>
        </w:tc>
        <w:tc>
          <w:tcPr>
            <w:tcW w:type="dxa" w:w="28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Supplies formulary limits and interaction rules (SRS assumption A-2).</w:t>
            </w:r>
          </w:p>
        </w:tc>
        <w:tc>
          <w:tcPr>
            <w:tcW w:type="dxa" w:w="18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Medium</w:t>
            </w:r>
          </w:p>
        </w:tc>
      </w:tr>
      <w:tr>
        <w:trPr>
          <w:cantSplit/>
        </w:trPr>
        <w:tc>
          <w:tcPr>
            <w:tcW w:type="dxa" w:w="21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Billing team</w:t>
            </w:r>
          </w:p>
        </w:tc>
        <w:tc>
          <w:tcPr>
            <w:tcW w:type="dxa" w:w="29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Receives prescription events.</w:t>
            </w:r>
          </w:p>
        </w:tc>
        <w:tc>
          <w:tcPr>
            <w:tcW w:type="dxa" w:w="28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Stable event contract; no dependence from prescribing on billing.</w:t>
            </w:r>
          </w:p>
        </w:tc>
        <w:tc>
          <w:tcPr>
            <w:tcW w:type="dxa" w:w="18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Low</w:t>
            </w:r>
          </w:p>
        </w:tc>
      </w:tr>
      <w:tr>
        <w:trPr>
          <w:cantSplit/>
        </w:trPr>
        <w:tc>
          <w:tcPr>
            <w:tcW w:type="dxa" w:w="21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Legal counsel and regulators</w:t>
            </w:r>
          </w:p>
        </w:tc>
        <w:tc>
          <w:tcPr>
            <w:tcW w:type="dxa" w:w="29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Data protection and medical-record rules.</w:t>
            </w:r>
          </w:p>
        </w:tc>
        <w:tc>
          <w:tcPr>
            <w:tcW w:type="dxa" w:w="28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Confirmation of obligations (e.g. DPDP Act 2023, SRS constraint C-6).</w:t>
            </w:r>
          </w:p>
        </w:tc>
        <w:tc>
          <w:tcPr>
            <w:tcW w:type="dxa" w:w="18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High</w:t>
            </w:r>
          </w:p>
        </w:tc>
      </w:tr>
      <w:tr>
        <w:trPr>
          <w:cantSplit/>
        </w:trPr>
        <w:tc>
          <w:tcPr>
            <w:tcW w:type="dxa" w:w="21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Patients</w:t>
            </w:r>
          </w:p>
        </w:tc>
        <w:tc>
          <w:tcPr>
            <w:tcW w:type="dxa" w:w="29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Safe care and privacy.</w:t>
            </w:r>
          </w:p>
        </w:tc>
        <w:tc>
          <w:tcPr>
            <w:tcW w:type="dxa" w:w="28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Allergies known at prescribing; data protected.</w:t>
            </w:r>
          </w:p>
        </w:tc>
        <w:tc>
          <w:tcPr>
            <w:tcW w:type="dxa" w:w="18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Indirect</w:t>
            </w:r>
          </w:p>
        </w:tc>
      </w:tr>
    </w:tbl>
    <w:p>
      <w:pPr>
        <w:pStyle w:val="Heading1"/>
        <w:keepNext/>
        <w:spacing w:after="140" w:before="320"/>
      </w:pPr>
      <w:r>
        <w:rPr>
          <w:rFonts w:ascii="Calibri" w:cs="Calibri" w:eastAsia="Calibri" w:hAnsi="Calibri"/>
          <w:b/>
          <w:bCs/>
          <w:color w:val="1F3A5F"/>
          <w:sz w:val="30"/>
          <w:szCs w:val="30"/>
        </w:rPr>
        <w:t xml:space="preserve">7. Business case</w:t>
      </w:r>
    </w:p>
    <w:p>
      <w:pPr>
        <w:pStyle w:val="Heading2"/>
        <w:keepNext/>
        <w:spacing w:after="100" w:before="220"/>
      </w:pPr>
      <w:r>
        <w:rPr>
          <w:rFonts w:ascii="Calibri" w:cs="Calibri" w:eastAsia="Calibri" w:hAnsi="Calibri"/>
          <w:b/>
          <w:bCs/>
          <w:color w:val="1F3A5F"/>
          <w:sz w:val="24"/>
          <w:szCs w:val="24"/>
        </w:rPr>
        <w:t xml:space="preserve">7.1 Benefits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100"/>
        <w:gridCol w:w="3038"/>
      </w:tblGrid>
      <w:tr>
        <w:trPr>
          <w:tblHeader/>
        </w:trPr>
        <w:tc>
          <w:tcPr>
            <w:tcW w:type="dxa" w:w="25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Benefit</w:t>
            </w:r>
          </w:p>
        </w:tc>
        <w:tc>
          <w:tcPr>
            <w:tcW w:type="dxa" w:w="41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Description</w:t>
            </w:r>
          </w:p>
        </w:tc>
        <w:tc>
          <w:tcPr>
            <w:tcW w:type="dxa" w:w="3038"/>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How it will be measured</w:t>
            </w:r>
          </w:p>
        </w:tc>
      </w:tr>
      <w:tr>
        <w:trPr>
          <w:cantSplit/>
        </w:trPr>
        <w:tc>
          <w:tcPr>
            <w:tcW w:type="dxa" w:w="25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Patient safety</w:t>
            </w:r>
          </w:p>
        </w:tc>
        <w:tc>
          <w:tcPr>
            <w:tcW w:type="dxa" w:w="41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Allergy status is mandatory and every prescription is checked before signing.</w:t>
            </w:r>
          </w:p>
        </w:tc>
        <w:tc>
          <w:tcPr>
            <w:tcW w:type="dxa" w:w="30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Incidents from missing allergy history (baseline 310 per year); TC-047 replay pack.</w:t>
            </w:r>
          </w:p>
        </w:tc>
      </w:tr>
      <w:tr>
        <w:trPr>
          <w:cantSplit/>
        </w:trPr>
        <w:tc>
          <w:tcPr>
            <w:tcW w:type="dxa" w:w="25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Legal protection</w:t>
            </w:r>
          </w:p>
        </w:tc>
        <w:tc>
          <w:tcPr>
            <w:tcW w:type="dxa" w:w="41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Versioned, append-only, hash-chained records give admissible evidence.</w:t>
            </w:r>
          </w:p>
        </w:tc>
        <w:tc>
          <w:tcPr>
            <w:tcW w:type="dxa" w:w="30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Audit completeness and tamper tests (TC-028, TC-029).</w:t>
            </w:r>
          </w:p>
        </w:tc>
      </w:tr>
      <w:tr>
        <w:trPr>
          <w:cantSplit/>
        </w:trPr>
        <w:tc>
          <w:tcPr>
            <w:tcW w:type="dxa" w:w="25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Continuity of care</w:t>
            </w:r>
          </w:p>
        </w:tc>
        <w:tc>
          <w:tcPr>
            <w:tcW w:type="dxa" w:w="41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A referred patient's history is visible at once, with no re-typing from paper.</w:t>
            </w:r>
          </w:p>
        </w:tc>
        <w:tc>
          <w:tcPr>
            <w:tcW w:type="dxa" w:w="30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Cross-site visibility within 2 s (TC-003, TC-004).</w:t>
            </w:r>
          </w:p>
        </w:tc>
      </w:tr>
      <w:tr>
        <w:trPr>
          <w:cantSplit/>
        </w:trPr>
        <w:tc>
          <w:tcPr>
            <w:tcW w:type="dxa" w:w="25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Operational efficiency</w:t>
            </w:r>
          </w:p>
        </w:tc>
        <w:tc>
          <w:tcPr>
            <w:tcW w:type="dxa" w:w="41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One system instead of six arrangements; less re-keying and duplicate registration.</w:t>
            </w:r>
          </w:p>
        </w:tc>
        <w:tc>
          <w:tcPr>
            <w:tcW w:type="dxa" w:w="30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Registration time ≤ 3 min; duplicate warnings raised for 100 % of seeded duplicates.</w:t>
            </w:r>
          </w:p>
        </w:tc>
      </w:tr>
      <w:tr>
        <w:trPr>
          <w:cantSplit/>
        </w:trPr>
        <w:tc>
          <w:tcPr>
            <w:tcW w:type="dxa" w:w="25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Reduced technology risk</w:t>
            </w:r>
          </w:p>
        </w:tc>
        <w:tc>
          <w:tcPr>
            <w:tcW w:type="dxa" w:w="41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Retires the 14-year-old FoxPro package and unmanaged Excel registers.</w:t>
            </w:r>
          </w:p>
        </w:tc>
        <w:tc>
          <w:tcPr>
            <w:tcW w:type="dxa" w:w="30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Legacy systems decommissioned after cut-over.</w:t>
            </w:r>
          </w:p>
        </w:tc>
      </w:tr>
      <w:tr>
        <w:trPr>
          <w:cantSplit/>
        </w:trPr>
        <w:tc>
          <w:tcPr>
            <w:tcW w:type="dxa" w:w="25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Management visibility</w:t>
            </w:r>
          </w:p>
        </w:tc>
        <w:tc>
          <w:tcPr>
            <w:tcW w:type="dxa" w:w="41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One data source for 27 sites; dashboards are a Could item for later.</w:t>
            </w:r>
          </w:p>
        </w:tc>
        <w:tc>
          <w:tcPr>
            <w:tcW w:type="dxa" w:w="30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Qualitative in this release.</w:t>
            </w:r>
          </w:p>
        </w:tc>
      </w:tr>
    </w:tbl>
    <w:p>
      <w:pPr>
        <w:spacing w:after="120" w:line="276"/>
      </w:pPr>
      <w:r>
        <w:rPr>
          <w:rFonts w:ascii="Calibri" w:cs="Calibri" w:eastAsia="Calibri" w:hAnsi="Calibri"/>
          <w:i/>
          <w:iCs/>
          <w:sz w:val="20"/>
          <w:szCs w:val="20"/>
        </w:rPr>
        <w:t xml:space="preserve">A rupee value for the benefits (for example the cost of incidents avoided) is not given in the case study and is not invented here. It should be supplied by the CFO and CMO from incident-cost records before sign-off.</w:t>
      </w:r>
    </w:p>
    <w:p>
      <w:pPr>
        <w:pStyle w:val="Heading2"/>
        <w:keepNext/>
        <w:spacing w:after="100" w:before="220"/>
      </w:pPr>
      <w:r>
        <w:rPr>
          <w:rFonts w:ascii="Calibri" w:cs="Calibri" w:eastAsia="Calibri" w:hAnsi="Calibri"/>
          <w:b/>
          <w:bCs/>
          <w:color w:val="1F3A5F"/>
          <w:sz w:val="24"/>
          <w:szCs w:val="24"/>
        </w:rPr>
        <w:t xml:space="preserve">7.2 Costs</w:t>
      </w:r>
    </w:p>
    <w:p>
      <w:pPr>
        <w:spacing w:after="120" w:line="276"/>
      </w:pPr>
      <w:r>
        <w:rPr>
          <w:rFonts w:ascii="Calibri" w:cs="Calibri" w:eastAsia="Calibri" w:hAnsi="Calibri"/>
          <w:sz w:val="20"/>
          <w:szCs w:val="20"/>
        </w:rPr>
        <w:t xml:space="preserve">The case study states no budget, so no rupee figures are asserted. The cost drivers and where each is quantified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000"/>
        <w:gridCol w:w="2938"/>
      </w:tblGrid>
      <w:tr>
        <w:trPr>
          <w:tblHeader/>
        </w:trPr>
        <w:tc>
          <w:tcPr>
            <w:tcW w:type="dxa" w:w="27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Cost driver</w:t>
            </w:r>
          </w:p>
        </w:tc>
        <w:tc>
          <w:tcPr>
            <w:tcW w:type="dxa" w:w="40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What it covers</w:t>
            </w:r>
          </w:p>
        </w:tc>
        <w:tc>
          <w:tcPr>
            <w:tcW w:type="dxa" w:w="2938"/>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Where it is quantified</w:t>
            </w:r>
          </w:p>
        </w:tc>
      </w:tr>
      <w:tr>
        <w:trPr>
          <w:cantSplit/>
        </w:trPr>
        <w:tc>
          <w:tcPr>
            <w:tcW w:type="dxa" w:w="27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Development effort</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Analysis, design, build and test of about 46 KLOC.</w:t>
            </w:r>
          </w:p>
        </w:tc>
        <w:tc>
          <w:tcPr>
            <w:tcW w:type="dxa" w:w="29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Estimation Report (COCOMO effort, duration, staffing).</w:t>
            </w:r>
          </w:p>
        </w:tc>
      </w:tr>
      <w:tr>
        <w:trPr>
          <w:cantSplit/>
        </w:trPr>
        <w:tc>
          <w:tcPr>
            <w:tcW w:type="dxa" w:w="27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Migration effort</w:t>
            </w:r>
          </w:p>
        </w:tc>
        <w:tc>
          <w:tcPr>
            <w:tcW w:type="dxa" w:w="40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2.4 M rows, about 168,000 needing review, staged waves and reconciliation.</w:t>
            </w:r>
          </w:p>
        </w:tc>
        <w:tc>
          <w:tcPr>
            <w:tcW w:type="dxa" w:w="29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Estimation Report (not captured by COCOMO) and Project Plan.</w:t>
            </w:r>
          </w:p>
        </w:tc>
      </w:tr>
      <w:tr>
        <w:trPr>
          <w:cantSplit/>
        </w:trPr>
        <w:tc>
          <w:tcPr>
            <w:tcW w:type="dxa" w:w="27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Training</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20-minute nurse training plus doctor, pharmacy, lab and clerk training at 27 sites.</w:t>
            </w:r>
          </w:p>
        </w:tc>
        <w:tc>
          <w:tcPr>
            <w:tcW w:type="dxa" w:w="29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Estimation Report and Project Plan.</w:t>
            </w:r>
          </w:p>
        </w:tc>
      </w:tr>
      <w:tr>
        <w:trPr>
          <w:cantSplit/>
        </w:trPr>
        <w:tc>
          <w:tcPr>
            <w:tcW w:type="dxa" w:w="27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Infrastructure</w:t>
            </w:r>
          </w:p>
        </w:tc>
        <w:tc>
          <w:tcPr>
            <w:tcW w:type="dxa" w:w="40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Primary data centre, standby in a second state, backup vault, VPN and clinic backup links.</w:t>
            </w:r>
          </w:p>
        </w:tc>
        <w:tc>
          <w:tcPr>
            <w:tcW w:type="dxa" w:w="29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Project Plan (to be priced by IT).</w:t>
            </w:r>
          </w:p>
        </w:tc>
      </w:tr>
      <w:tr>
        <w:trPr>
          <w:cantSplit/>
        </w:trPr>
        <w:tc>
          <w:tcPr>
            <w:tcW w:type="dxa" w:w="27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Clinical content</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Formulary and interaction rule content from the P&amp;T committee or a licensed knowledge base.</w:t>
            </w:r>
          </w:p>
        </w:tc>
        <w:tc>
          <w:tcPr>
            <w:tcW w:type="dxa" w:w="29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Project Plan; assumption A-2.</w:t>
            </w:r>
          </w:p>
        </w:tc>
      </w:tr>
      <w:tr>
        <w:trPr>
          <w:cantSplit/>
        </w:trPr>
        <w:tc>
          <w:tcPr>
            <w:tcW w:type="dxa" w:w="27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Schedule reserve</w:t>
            </w:r>
          </w:p>
        </w:tc>
        <w:tc>
          <w:tcPr>
            <w:tcW w:type="dxa" w:w="40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6 weeks of reserve inside the 18-month limit.</w:t>
            </w:r>
          </w:p>
        </w:tc>
        <w:tc>
          <w:tcPr>
            <w:tcW w:type="dxa" w:w="29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Project Plan.</w:t>
            </w:r>
          </w:p>
        </w:tc>
      </w:tr>
    </w:tbl>
    <w:p>
      <w:pPr>
        <w:pStyle w:val="Heading2"/>
        <w:keepNext/>
        <w:spacing w:after="100" w:before="220"/>
      </w:pPr>
      <w:r>
        <w:rPr>
          <w:rFonts w:ascii="Calibri" w:cs="Calibri" w:eastAsia="Calibri" w:hAnsi="Calibri"/>
          <w:b/>
          <w:bCs/>
          <w:color w:val="1F3A5F"/>
          <w:sz w:val="24"/>
          <w:szCs w:val="24"/>
        </w:rPr>
        <w:t xml:space="preserve">7.3 Options considered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2038"/>
      </w:tblGrid>
      <w:tr>
        <w:trPr>
          <w:tblHeader/>
        </w:trPr>
        <w:tc>
          <w:tcPr>
            <w:tcW w:type="dxa" w:w="22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Option</w:t>
            </w:r>
          </w:p>
        </w:tc>
        <w:tc>
          <w:tcPr>
            <w:tcW w:type="dxa" w:w="32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Assessment</w:t>
            </w:r>
          </w:p>
        </w:tc>
        <w:tc>
          <w:tcPr>
            <w:tcW w:type="dxa" w:w="22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Meets CMO / CFO conditions?</w:t>
            </w:r>
          </w:p>
        </w:tc>
        <w:tc>
          <w:tcPr>
            <w:tcW w:type="dxa" w:w="2038"/>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Decision</w:t>
            </w:r>
          </w:p>
        </w:tc>
      </w:tr>
      <w:tr>
        <w:trPr>
          <w:cantSplit/>
        </w:trPr>
        <w:tc>
          <w:tcPr>
            <w:tcW w:type="dxa" w:w="2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A. Do nothing</w:t>
            </w:r>
          </w:p>
        </w:tc>
        <w:tc>
          <w:tcPr>
            <w:tcW w:type="dxa" w:w="3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Keeps six record arrangements; the 310-incident cause remains.</w:t>
            </w:r>
          </w:p>
        </w:tc>
        <w:tc>
          <w:tcPr>
            <w:tcW w:type="dxa" w:w="2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No – safety fails.</w:t>
            </w:r>
          </w:p>
        </w:tc>
        <w:tc>
          <w:tcPr>
            <w:tcW w:type="dxa" w:w="20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Rejected</w:t>
            </w:r>
          </w:p>
        </w:tc>
      </w:tr>
      <w:tr>
        <w:trPr>
          <w:cantSplit/>
        </w:trPr>
        <w:tc>
          <w:tcPr>
            <w:tcW w:type="dxa" w:w="2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B. Patch each site separately</w:t>
            </w:r>
          </w:p>
        </w:tc>
        <w:tc>
          <w:tcPr>
            <w:tcW w:type="dxa" w:w="3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Cheapest per site, but still six systems and no cross-site record.</w:t>
            </w:r>
          </w:p>
        </w:tc>
        <w:tc>
          <w:tcPr>
            <w:tcW w:type="dxa" w:w="2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No – no unified record or common audit.</w:t>
            </w:r>
          </w:p>
        </w:tc>
        <w:tc>
          <w:tcPr>
            <w:tcW w:type="dxa" w:w="20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Rejected</w:t>
            </w:r>
          </w:p>
        </w:tc>
      </w:tr>
      <w:tr>
        <w:trPr>
          <w:cantSplit/>
        </w:trPr>
        <w:tc>
          <w:tcPr>
            <w:tcW w:type="dxa" w:w="2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C. Buy an off-the-shelf EMR</w:t>
            </w:r>
          </w:p>
        </w:tc>
        <w:tc>
          <w:tcPr>
            <w:tcW w:type="dxa" w:w="3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Could be quick, but fitting 27 sites, the fixed existing UI, the rule-based allergy gate and the migration is uncertain.</w:t>
            </w:r>
          </w:p>
        </w:tc>
        <w:tc>
          <w:tcPr>
            <w:tcW w:type="dxa" w:w="2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Uncertain – needs vendor evidence.</w:t>
            </w:r>
          </w:p>
        </w:tc>
        <w:tc>
          <w:tcPr>
            <w:tcW w:type="dxa" w:w="20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Not selected; revisit if the Estimation Report shows 18 months is at risk</w:t>
            </w:r>
          </w:p>
        </w:tc>
      </w:tr>
      <w:tr>
        <w:trPr>
          <w:cantSplit/>
        </w:trPr>
        <w:tc>
          <w:tcPr>
            <w:tcW w:type="dxa" w:w="2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D. Build one central MediTrack</w:t>
            </w:r>
          </w:p>
        </w:tc>
        <w:tc>
          <w:tcPr>
            <w:tcW w:type="dxa" w:w="3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Delivers the unified record, mandatory allergy gate, audit design and decoupling from billing as specified.</w:t>
            </w:r>
          </w:p>
        </w:tc>
        <w:tc>
          <w:tcPr>
            <w:tcW w:type="dxa" w:w="2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Yes, if the plan holds within 18 months.</w:t>
            </w:r>
          </w:p>
        </w:tc>
        <w:tc>
          <w:tcPr>
            <w:tcW w:type="dxa" w:w="20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Recommended</w:t>
            </w:r>
          </w:p>
        </w:tc>
      </w:tr>
    </w:tbl>
    <w:p>
      <w:pPr>
        <w:pStyle w:val="Heading1"/>
        <w:keepNext/>
        <w:spacing w:after="140" w:before="320"/>
      </w:pPr>
      <w:r>
        <w:rPr>
          <w:rFonts w:ascii="Calibri" w:cs="Calibri" w:eastAsia="Calibri" w:hAnsi="Calibri"/>
          <w:b/>
          <w:bCs/>
          <w:color w:val="1F3A5F"/>
          <w:sz w:val="30"/>
          <w:szCs w:val="30"/>
        </w:rPr>
        <w:t xml:space="preserve">8. Business requirements</w:t>
      </w:r>
    </w:p>
    <w:p>
      <w:pPr>
        <w:spacing w:after="120" w:line="276"/>
      </w:pPr>
      <w:r>
        <w:rPr>
          <w:rFonts w:ascii="Calibri" w:cs="Calibri" w:eastAsia="Calibri" w:hAnsi="Calibri"/>
          <w:sz w:val="20"/>
          <w:szCs w:val="20"/>
        </w:rPr>
        <w:t xml:space="preserve">Business requirements state what the organisation needs; the SRS states how the system will behave. Each BR is traced to the objective it serves and to the SRS requirements that deliver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3700"/>
        <w:gridCol w:w="1100"/>
        <w:gridCol w:w="1750"/>
        <w:gridCol w:w="2238"/>
      </w:tblGrid>
      <w:tr>
        <w:trPr>
          <w:tblHeader/>
        </w:trPr>
        <w:tc>
          <w:tcPr>
            <w:tcW w:type="dxa" w:w="85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ID</w:t>
            </w:r>
          </w:p>
        </w:tc>
        <w:tc>
          <w:tcPr>
            <w:tcW w:type="dxa" w:w="37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Business requirement</w:t>
            </w:r>
          </w:p>
        </w:tc>
        <w:tc>
          <w:tcPr>
            <w:tcW w:type="dxa" w:w="11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Objective</w:t>
            </w:r>
          </w:p>
        </w:tc>
        <w:tc>
          <w:tcPr>
            <w:tcW w:type="dxa" w:w="175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SRS requirements</w:t>
            </w:r>
          </w:p>
        </w:tc>
        <w:tc>
          <w:tcPr>
            <w:tcW w:type="dxa" w:w="2238"/>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Priority</w:t>
            </w:r>
          </w:p>
        </w:tc>
      </w:tr>
      <w:tr>
        <w:trPr>
          <w:cantSplit/>
        </w:trPr>
        <w:tc>
          <w:tcPr>
            <w:tcW w:type="dxa" w:w="85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BR-01</w:t>
            </w:r>
          </w:p>
        </w:tc>
        <w:tc>
          <w:tcPr>
            <w:tcW w:type="dxa" w:w="37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Every patient is registered once with one identity valid at all 27 sites.</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BO-2</w:t>
            </w:r>
          </w:p>
        </w:tc>
        <w:tc>
          <w:tcPr>
            <w:tcW w:type="dxa" w:w="175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FR-01</w:t>
            </w:r>
          </w:p>
        </w:tc>
        <w:tc>
          <w:tcPr>
            <w:tcW w:type="dxa" w:w="22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Must</w:t>
            </w:r>
          </w:p>
        </w:tc>
      </w:tr>
      <w:tr>
        <w:trPr>
          <w:cantSplit/>
        </w:trPr>
        <w:tc>
          <w:tcPr>
            <w:tcW w:type="dxa" w:w="85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BR-02</w:t>
            </w:r>
          </w:p>
        </w:tc>
        <w:tc>
          <w:tcPr>
            <w:tcW w:type="dxa" w:w="37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Clinicians can find a patient and see history from every site.</w:t>
            </w:r>
          </w:p>
        </w:tc>
        <w:tc>
          <w:tcPr>
            <w:tcW w:type="dxa" w:w="11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BO-2</w:t>
            </w:r>
          </w:p>
        </w:tc>
        <w:tc>
          <w:tcPr>
            <w:tcW w:type="dxa" w:w="175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FR-02, NFR-05</w:t>
            </w:r>
          </w:p>
        </w:tc>
        <w:tc>
          <w:tcPr>
            <w:tcW w:type="dxa" w:w="22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Must</w:t>
            </w:r>
          </w:p>
        </w:tc>
      </w:tr>
      <w:tr>
        <w:trPr>
          <w:cantSplit/>
        </w:trPr>
        <w:tc>
          <w:tcPr>
            <w:tcW w:type="dxa" w:w="85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BR-03</w:t>
            </w:r>
          </w:p>
        </w:tc>
        <w:tc>
          <w:tcPr>
            <w:tcW w:type="dxa" w:w="37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No prescription is signed while the patient's allergy status is unknown.</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BO-1</w:t>
            </w:r>
          </w:p>
        </w:tc>
        <w:tc>
          <w:tcPr>
            <w:tcW w:type="dxa" w:w="175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FR-03</w:t>
            </w:r>
          </w:p>
        </w:tc>
        <w:tc>
          <w:tcPr>
            <w:tcW w:type="dxa" w:w="22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Must</w:t>
            </w:r>
          </w:p>
        </w:tc>
      </w:tr>
      <w:tr>
        <w:trPr>
          <w:cantSplit/>
        </w:trPr>
        <w:tc>
          <w:tcPr>
            <w:tcW w:type="dxa" w:w="85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BR-04</w:t>
            </w:r>
          </w:p>
        </w:tc>
        <w:tc>
          <w:tcPr>
            <w:tcW w:type="dxa" w:w="37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Every prescription is checked against allergies, current medicines and interaction rules before signing; overrides need a reason and are audited.</w:t>
            </w:r>
          </w:p>
        </w:tc>
        <w:tc>
          <w:tcPr>
            <w:tcW w:type="dxa" w:w="11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BO-1</w:t>
            </w:r>
          </w:p>
        </w:tc>
        <w:tc>
          <w:tcPr>
            <w:tcW w:type="dxa" w:w="175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FR-05, FR-06, NFR-08</w:t>
            </w:r>
          </w:p>
        </w:tc>
        <w:tc>
          <w:tcPr>
            <w:tcW w:type="dxa" w:w="22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Must</w:t>
            </w:r>
          </w:p>
        </w:tc>
      </w:tr>
      <w:tr>
        <w:trPr>
          <w:cantSplit/>
        </w:trPr>
        <w:tc>
          <w:tcPr>
            <w:tcW w:type="dxa" w:w="85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BR-05</w:t>
            </w:r>
          </w:p>
        </w:tc>
        <w:tc>
          <w:tcPr>
            <w:tcW w:type="dxa" w:w="37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Clinical notes and records can be corrected only by creating a new version; originals stay visible.</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BO-3</w:t>
            </w:r>
          </w:p>
        </w:tc>
        <w:tc>
          <w:tcPr>
            <w:tcW w:type="dxa" w:w="175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FR-04, NFR-02</w:t>
            </w:r>
          </w:p>
        </w:tc>
        <w:tc>
          <w:tcPr>
            <w:tcW w:type="dxa" w:w="22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Must</w:t>
            </w:r>
          </w:p>
        </w:tc>
      </w:tr>
      <w:tr>
        <w:trPr>
          <w:cantSplit/>
        </w:trPr>
        <w:tc>
          <w:tcPr>
            <w:tcW w:type="dxa" w:w="85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BR-06</w:t>
            </w:r>
          </w:p>
        </w:tc>
        <w:tc>
          <w:tcPr>
            <w:tcW w:type="dxa" w:w="37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Lab and pharmacy work is tied to the correct patient and a signed order.</w:t>
            </w:r>
          </w:p>
        </w:tc>
        <w:tc>
          <w:tcPr>
            <w:tcW w:type="dxa" w:w="11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BO-1</w:t>
            </w:r>
          </w:p>
        </w:tc>
        <w:tc>
          <w:tcPr>
            <w:tcW w:type="dxa" w:w="175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FR-07, FR-08</w:t>
            </w:r>
          </w:p>
        </w:tc>
        <w:tc>
          <w:tcPr>
            <w:tcW w:type="dxa" w:w="22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Must</w:t>
            </w:r>
          </w:p>
        </w:tc>
      </w:tr>
      <w:tr>
        <w:trPr>
          <w:cantSplit/>
        </w:trPr>
        <w:tc>
          <w:tcPr>
            <w:tcW w:type="dxa" w:w="85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BR-07</w:t>
            </w:r>
          </w:p>
        </w:tc>
        <w:tc>
          <w:tcPr>
            <w:tcW w:type="dxa" w:w="37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Staff see and do only what their role allows; emergency access is possible but reviewed.</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BO-3</w:t>
            </w:r>
          </w:p>
        </w:tc>
        <w:tc>
          <w:tcPr>
            <w:tcW w:type="dxa" w:w="175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FR-10, NFR-01</w:t>
            </w:r>
          </w:p>
        </w:tc>
        <w:tc>
          <w:tcPr>
            <w:tcW w:type="dxa" w:w="22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Must</w:t>
            </w:r>
          </w:p>
        </w:tc>
      </w:tr>
      <w:tr>
        <w:trPr>
          <w:cantSplit/>
        </w:trPr>
        <w:tc>
          <w:tcPr>
            <w:tcW w:type="dxa" w:w="85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BR-08</w:t>
            </w:r>
          </w:p>
        </w:tc>
        <w:tc>
          <w:tcPr>
            <w:tcW w:type="dxa" w:w="37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Auditors can search and export an unalterable audit trail.</w:t>
            </w:r>
          </w:p>
        </w:tc>
        <w:tc>
          <w:tcPr>
            <w:tcW w:type="dxa" w:w="11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BO-3</w:t>
            </w:r>
          </w:p>
        </w:tc>
        <w:tc>
          <w:tcPr>
            <w:tcW w:type="dxa" w:w="175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FR-11, NFR-02</w:t>
            </w:r>
          </w:p>
        </w:tc>
        <w:tc>
          <w:tcPr>
            <w:tcW w:type="dxa" w:w="22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Should</w:t>
            </w:r>
          </w:p>
        </w:tc>
      </w:tr>
      <w:tr>
        <w:trPr>
          <w:cantSplit/>
        </w:trPr>
        <w:tc>
          <w:tcPr>
            <w:tcW w:type="dxa" w:w="85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BR-09</w:t>
            </w:r>
          </w:p>
        </w:tc>
        <w:tc>
          <w:tcPr>
            <w:tcW w:type="dxa" w:w="37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Legacy data is migrated without any row silently dropped or altered; problem rows are reviewed by people.</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BO-4, BO-9</w:t>
            </w:r>
          </w:p>
        </w:tc>
        <w:tc>
          <w:tcPr>
            <w:tcW w:type="dxa" w:w="175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FR-12, NFR-06</w:t>
            </w:r>
          </w:p>
        </w:tc>
        <w:tc>
          <w:tcPr>
            <w:tcW w:type="dxa" w:w="22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Must</w:t>
            </w:r>
          </w:p>
        </w:tc>
      </w:tr>
      <w:tr>
        <w:trPr>
          <w:cantSplit/>
        </w:trPr>
        <w:tc>
          <w:tcPr>
            <w:tcW w:type="dxa" w:w="85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BR-10</w:t>
            </w:r>
          </w:p>
        </w:tc>
        <w:tc>
          <w:tcPr>
            <w:tcW w:type="dxa" w:w="37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The system is available to clinical staff with MTBF ≥ 1,400 h, MTTR ≤ 2 h and no committed record lost.</w:t>
            </w:r>
          </w:p>
        </w:tc>
        <w:tc>
          <w:tcPr>
            <w:tcW w:type="dxa" w:w="11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BO-4, BO-6</w:t>
            </w:r>
          </w:p>
        </w:tc>
        <w:tc>
          <w:tcPr>
            <w:tcW w:type="dxa" w:w="175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NFR-03, NFR-06</w:t>
            </w:r>
          </w:p>
        </w:tc>
        <w:tc>
          <w:tcPr>
            <w:tcW w:type="dxa" w:w="22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Must</w:t>
            </w:r>
          </w:p>
        </w:tc>
      </w:tr>
      <w:tr>
        <w:trPr>
          <w:cantSplit/>
        </w:trPr>
        <w:tc>
          <w:tcPr>
            <w:tcW w:type="dxa" w:w="85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BR-11</w:t>
            </w:r>
          </w:p>
        </w:tc>
        <w:tc>
          <w:tcPr>
            <w:tcW w:type="dxa" w:w="37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A nurse can use the system after 20 minutes of training.</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BO-5</w:t>
            </w:r>
          </w:p>
        </w:tc>
        <w:tc>
          <w:tcPr>
            <w:tcW w:type="dxa" w:w="175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NFR-04</w:t>
            </w:r>
          </w:p>
        </w:tc>
        <w:tc>
          <w:tcPr>
            <w:tcW w:type="dxa" w:w="22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Must</w:t>
            </w:r>
          </w:p>
        </w:tc>
      </w:tr>
      <w:tr>
        <w:trPr>
          <w:cantSplit/>
        </w:trPr>
        <w:tc>
          <w:tcPr>
            <w:tcW w:type="dxa" w:w="85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BR-12</w:t>
            </w:r>
          </w:p>
        </w:tc>
        <w:tc>
          <w:tcPr>
            <w:tcW w:type="dxa" w:w="37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Discharge summaries are produced from encounter data for clinician review.</w:t>
            </w:r>
          </w:p>
        </w:tc>
        <w:tc>
          <w:tcPr>
            <w:tcW w:type="dxa" w:w="11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BO-2</w:t>
            </w:r>
          </w:p>
        </w:tc>
        <w:tc>
          <w:tcPr>
            <w:tcW w:type="dxa" w:w="175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FR-09</w:t>
            </w:r>
          </w:p>
        </w:tc>
        <w:tc>
          <w:tcPr>
            <w:tcW w:type="dxa" w:w="22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Should</w:t>
            </w:r>
          </w:p>
        </w:tc>
      </w:tr>
    </w:tbl>
    <w:p>
      <w:pPr>
        <w:spacing w:after="100"/>
      </w:pPr>
    </w:p>
    <w:p>
      <w:pPr>
        <w:spacing w:after="120" w:line="276"/>
      </w:pPr>
      <w:r>
        <w:rPr>
          <w:rFonts w:ascii="Calibri" w:cs="Calibri" w:eastAsia="Calibri" w:hAnsi="Calibri"/>
          <w:sz w:val="20"/>
          <w:szCs w:val="20"/>
        </w:rPr>
        <w:t xml:space="preserve">Quality, time and scalability needs not listed above are covered by BO-7 and BO-8 and by NFR-05 and NFR-07 in the SRS.</w:t>
      </w:r>
    </w:p>
    <w:p>
      <w:pPr>
        <w:pStyle w:val="Heading1"/>
        <w:keepNext/>
        <w:spacing w:after="140" w:before="320"/>
      </w:pPr>
      <w:r>
        <w:rPr>
          <w:rFonts w:ascii="Calibri" w:cs="Calibri" w:eastAsia="Calibri" w:hAnsi="Calibri"/>
          <w:b/>
          <w:bCs/>
          <w:color w:val="1F3A5F"/>
          <w:sz w:val="30"/>
          <w:szCs w:val="30"/>
        </w:rPr>
        <w:t xml:space="preserve">9. Success criteria and acceptance</w:t>
      </w:r>
    </w:p>
    <w:p>
      <w:pPr>
        <w:spacing w:after="120" w:line="276"/>
      </w:pPr>
      <w:r>
        <w:rPr>
          <w:rFonts w:ascii="Calibri" w:cs="Calibri" w:eastAsia="Calibri" w:hAnsi="Calibri"/>
          <w:sz w:val="20"/>
          <w:szCs w:val="20"/>
        </w:rPr>
        <w:t xml:space="preserve">The project is a business success only if all of the following are met. They are the same figures used in the SRS and the Test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438"/>
      </w:tblGrid>
      <w:tr>
        <w:trPr>
          <w:tblHeader/>
        </w:trPr>
        <w:tc>
          <w:tcPr>
            <w:tcW w:type="dxa" w:w="30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Criterion</w:t>
            </w:r>
          </w:p>
        </w:tc>
        <w:tc>
          <w:tcPr>
            <w:tcW w:type="dxa" w:w="32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Threshold</w:t>
            </w:r>
          </w:p>
        </w:tc>
        <w:tc>
          <w:tcPr>
            <w:tcW w:type="dxa" w:w="3438"/>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Evidence</w:t>
            </w:r>
          </w:p>
        </w:tc>
      </w:tr>
      <w:tr>
        <w:trPr>
          <w:cantSplit/>
        </w:trPr>
        <w:tc>
          <w:tcPr>
            <w:tcW w:type="dxa" w:w="30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Allergy-related incidents</w:t>
            </w:r>
          </w:p>
        </w:tc>
        <w:tc>
          <w:tcPr>
            <w:tcW w:type="dxa" w:w="3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All 310 incident reports replayed are blocked or warned; 0 live incidents from missing allergy history after go-live ✱</w:t>
            </w:r>
          </w:p>
        </w:tc>
        <w:tc>
          <w:tcPr>
            <w:tcW w:type="dxa" w:w="34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TC-047 replay pack; post go-live incident log</w:t>
            </w:r>
          </w:p>
        </w:tc>
      </w:tr>
      <w:tr>
        <w:trPr>
          <w:cantSplit/>
        </w:trPr>
        <w:tc>
          <w:tcPr>
            <w:tcW w:type="dxa" w:w="30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Defect removal efficiency</w:t>
            </w:r>
          </w:p>
        </w:tc>
        <w:tc>
          <w:tcPr>
            <w:tcW w:type="dxa" w:w="3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 92 % before go-live</w:t>
            </w:r>
          </w:p>
        </w:tc>
        <w:tc>
          <w:tcPr>
            <w:tcW w:type="dxa" w:w="34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Defect log and DRE calculation in the Test Plan</w:t>
            </w:r>
          </w:p>
        </w:tc>
      </w:tr>
      <w:tr>
        <w:trPr>
          <w:cantSplit/>
        </w:trPr>
        <w:tc>
          <w:tcPr>
            <w:tcW w:type="dxa" w:w="30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Reliability</w:t>
            </w:r>
          </w:p>
        </w:tc>
        <w:tc>
          <w:tcPr>
            <w:tcW w:type="dxa" w:w="3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MTBF ≥ 1,400 h; MTTR ≤ 2 h (availability ≈ 99.86 %)</w:t>
            </w:r>
          </w:p>
        </w:tc>
        <w:tc>
          <w:tcPr>
            <w:tcW w:type="dxa" w:w="34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Failover drill, soak test and pilot MTBF / MTTR log</w:t>
            </w:r>
          </w:p>
        </w:tc>
      </w:tr>
      <w:tr>
        <w:trPr>
          <w:cantSplit/>
        </w:trPr>
        <w:tc>
          <w:tcPr>
            <w:tcW w:type="dxa" w:w="30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Data migration</w:t>
            </w:r>
          </w:p>
        </w:tc>
        <w:tc>
          <w:tcPr>
            <w:tcW w:type="dxa" w:w="3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Reconciliation variance = 0; all malformed rows in quarantine</w:t>
            </w:r>
          </w:p>
        </w:tc>
        <w:tc>
          <w:tcPr>
            <w:tcW w:type="dxa" w:w="34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Dry-run reconciliation reports</w:t>
            </w:r>
          </w:p>
        </w:tc>
      </w:tr>
      <w:tr>
        <w:trPr>
          <w:cantSplit/>
        </w:trPr>
        <w:tc>
          <w:tcPr>
            <w:tcW w:type="dxa" w:w="30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Usability</w:t>
            </w:r>
          </w:p>
        </w:tc>
        <w:tc>
          <w:tcPr>
            <w:tcW w:type="dxa" w:w="3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 90 % of nurses complete 5 core tasks unaided after 20 minutes of training</w:t>
            </w:r>
          </w:p>
        </w:tc>
        <w:tc>
          <w:tcPr>
            <w:tcW w:type="dxa" w:w="34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Usability test with at least 20 nurses</w:t>
            </w:r>
          </w:p>
        </w:tc>
      </w:tr>
      <w:tr>
        <w:trPr>
          <w:cantSplit/>
        </w:trPr>
        <w:tc>
          <w:tcPr>
            <w:tcW w:type="dxa" w:w="30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Security and audit</w:t>
            </w:r>
          </w:p>
        </w:tc>
        <w:tc>
          <w:tcPr>
            <w:tcW w:type="dxa" w:w="3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No open critical or high penetration-test finding; 100 % of events audited</w:t>
            </w:r>
          </w:p>
        </w:tc>
        <w:tc>
          <w:tcPr>
            <w:tcW w:type="dxa" w:w="34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Penetration test; audit completeness test</w:t>
            </w:r>
          </w:p>
        </w:tc>
      </w:tr>
      <w:tr>
        <w:trPr>
          <w:cantSplit/>
        </w:trPr>
        <w:tc>
          <w:tcPr>
            <w:tcW w:type="dxa" w:w="30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Schedule</w:t>
            </w:r>
          </w:p>
        </w:tc>
        <w:tc>
          <w:tcPr>
            <w:tcW w:type="dxa" w:w="3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All 27 sites live within 18 months</w:t>
            </w:r>
          </w:p>
        </w:tc>
        <w:tc>
          <w:tcPr>
            <w:tcW w:type="dxa" w:w="34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Project Plan baseline and tracking</w:t>
            </w:r>
          </w:p>
        </w:tc>
      </w:tr>
      <w:tr>
        <w:trPr>
          <w:cantSplit/>
        </w:trPr>
        <w:tc>
          <w:tcPr>
            <w:tcW w:type="dxa" w:w="30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Clinical-safety gate</w:t>
            </w:r>
          </w:p>
        </w:tc>
        <w:tc>
          <w:tcPr>
            <w:tcW w:type="dxa" w:w="3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Signed by the Clinical Safety Officer</w:t>
            </w:r>
          </w:p>
        </w:tc>
        <w:tc>
          <w:tcPr>
            <w:tcW w:type="dxa" w:w="34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Gate record in the CI/CD pipeline and go-live checklist</w:t>
            </w:r>
          </w:p>
        </w:tc>
      </w:tr>
    </w:tbl>
    <w:p>
      <w:pPr>
        <w:pStyle w:val="Heading1"/>
        <w:keepNext/>
        <w:spacing w:after="140" w:before="320"/>
      </w:pPr>
      <w:r>
        <w:rPr>
          <w:rFonts w:ascii="Calibri" w:cs="Calibri" w:eastAsia="Calibri" w:hAnsi="Calibri"/>
          <w:b/>
          <w:bCs/>
          <w:color w:val="1F3A5F"/>
          <w:sz w:val="30"/>
          <w:szCs w:val="30"/>
        </w:rPr>
        <w:t xml:space="preserve">10. Constraints, assumptions and dependencies</w:t>
      </w:r>
    </w:p>
    <w:p>
      <w:pPr>
        <w:pStyle w:val="Heading2"/>
        <w:keepNext/>
        <w:spacing w:after="100" w:before="220"/>
      </w:pPr>
      <w:r>
        <w:rPr>
          <w:rFonts w:ascii="Calibri" w:cs="Calibri" w:eastAsia="Calibri" w:hAnsi="Calibri"/>
          <w:b/>
          <w:bCs/>
          <w:color w:val="1F3A5F"/>
          <w:sz w:val="24"/>
          <w:szCs w:val="24"/>
        </w:rPr>
        <w:t xml:space="preserve">10.1 Constraints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600"/>
        <w:gridCol w:w="3138"/>
      </w:tblGrid>
      <w:tr>
        <w:trPr>
          <w:tblHeader/>
        </w:trPr>
        <w:tc>
          <w:tcPr>
            <w:tcW w:type="dxa" w:w="9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ID</w:t>
            </w:r>
          </w:p>
        </w:tc>
        <w:tc>
          <w:tcPr>
            <w:tcW w:type="dxa" w:w="56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Constraint</w:t>
            </w:r>
          </w:p>
        </w:tc>
        <w:tc>
          <w:tcPr>
            <w:tcW w:type="dxa" w:w="3138"/>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Source</w:t>
            </w:r>
          </w:p>
        </w:tc>
      </w:tr>
      <w:tr>
        <w:trPr>
          <w:cantSpli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C-1</w:t>
            </w:r>
          </w:p>
        </w:tc>
        <w:tc>
          <w:tcPr>
            <w:tcW w:type="dxa" w:w="56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Total project duration shall not exceed 18 months.</w:t>
            </w:r>
          </w:p>
        </w:tc>
        <w:tc>
          <w:tcPr>
            <w:tcW w:type="dxa" w:w="31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CFO</w:t>
            </w:r>
          </w:p>
        </w:tc>
      </w:tr>
      <w:tr>
        <w:trPr>
          <w:cantSplit/>
        </w:trPr>
        <w:tc>
          <w:tcPr>
            <w:tcW w:type="dxa" w:w="9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C-2</w:t>
            </w:r>
          </w:p>
        </w:tc>
        <w:tc>
          <w:tcPr>
            <w:tcW w:type="dxa" w:w="56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The system shall never lose a record and never allow a silent edit.</w:t>
            </w:r>
          </w:p>
        </w:tc>
        <w:tc>
          <w:tcPr>
            <w:tcW w:type="dxa" w:w="31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CMO; legal admissibility</w:t>
            </w:r>
          </w:p>
        </w:tc>
      </w:tr>
      <w:tr>
        <w:trPr>
          <w:cantSpli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C-3</w:t>
            </w:r>
          </w:p>
        </w:tc>
        <w:tc>
          <w:tcPr>
            <w:tcW w:type="dxa" w:w="56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A nurse must be able to use the system after 20 minutes of training.</w:t>
            </w:r>
          </w:p>
        </w:tc>
        <w:tc>
          <w:tcPr>
            <w:tcW w:type="dxa" w:w="31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CMO</w:t>
            </w:r>
          </w:p>
        </w:tc>
      </w:tr>
      <w:tr>
        <w:trPr>
          <w:cantSplit/>
        </w:trPr>
        <w:tc>
          <w:tcPr>
            <w:tcW w:type="dxa" w:w="9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C-4</w:t>
            </w:r>
          </w:p>
        </w:tc>
        <w:tc>
          <w:tcPr>
            <w:tcW w:type="dxa" w:w="56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Estimated size is 46 KLOC; the team is medium-experienced.</w:t>
            </w:r>
          </w:p>
        </w:tc>
        <w:tc>
          <w:tcPr>
            <w:tcW w:type="dxa" w:w="31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Project data</w:t>
            </w:r>
          </w:p>
        </w:tc>
      </w:tr>
      <w:tr>
        <w:trPr>
          <w:cantSpli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C-5</w:t>
            </w:r>
          </w:p>
        </w:tc>
        <w:tc>
          <w:tcPr>
            <w:tcW w:type="dxa" w:w="56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The existing UI is fixed; the back end conforms to its API contract.</w:t>
            </w:r>
          </w:p>
        </w:tc>
        <w:tc>
          <w:tcPr>
            <w:tcW w:type="dxa" w:w="31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Project decision</w:t>
            </w:r>
          </w:p>
        </w:tc>
      </w:tr>
      <w:tr>
        <w:trPr>
          <w:cantSplit/>
        </w:trPr>
        <w:tc>
          <w:tcPr>
            <w:tcW w:type="dxa" w:w="9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C-6</w:t>
            </w:r>
          </w:p>
        </w:tc>
        <w:tc>
          <w:tcPr>
            <w:tcW w:type="dxa" w:w="56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Patient data is handled in line with applicable Indian data-protection and medical-record rules (e.g. the DPDP Act 2023), to be confirmed with legal counsel.</w:t>
            </w:r>
          </w:p>
        </w:tc>
        <w:tc>
          <w:tcPr>
            <w:tcW w:type="dxa" w:w="31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Regulatory</w:t>
            </w:r>
          </w:p>
        </w:tc>
      </w:tr>
    </w:tbl>
    <w:p>
      <w:pPr>
        <w:pStyle w:val="Heading2"/>
        <w:keepNext/>
        <w:spacing w:after="100" w:before="220"/>
      </w:pPr>
      <w:r>
        <w:rPr>
          <w:rFonts w:ascii="Calibri" w:cs="Calibri" w:eastAsia="Calibri" w:hAnsi="Calibri"/>
          <w:b/>
          <w:bCs/>
          <w:color w:val="1F3A5F"/>
          <w:sz w:val="24"/>
          <w:szCs w:val="24"/>
        </w:rPr>
        <w:t xml:space="preserve">10.2 Business assumptions and dependencies</w:t>
      </w:r>
    </w:p>
    <w:p>
      <w:pPr>
        <w:pStyle w:val="ListParagraph"/>
        <w:numPr>
          <w:ilvl w:val="0"/>
          <w:numId w:val="2"/>
        </w:numPr>
        <w:spacing w:after="70" w:line="270"/>
      </w:pPr>
      <w:r>
        <w:rPr>
          <w:rFonts w:ascii="Calibri" w:cs="Calibri" w:eastAsia="Calibri" w:hAnsi="Calibri"/>
          <w:sz w:val="20"/>
          <w:szCs w:val="20"/>
        </w:rPr>
        <w:t xml:space="preserve">Legacy-system owners grant read-only extract access (SRS A-4).</w:t>
      </w:r>
    </w:p>
    <w:p>
      <w:pPr>
        <w:pStyle w:val="ListParagraph"/>
        <w:numPr>
          <w:ilvl w:val="0"/>
          <w:numId w:val="2"/>
        </w:numPr>
        <w:spacing w:after="70" w:line="270"/>
      </w:pPr>
      <w:r>
        <w:rPr>
          <w:rFonts w:ascii="Calibri" w:cs="Calibri" w:eastAsia="Calibri" w:hAnsi="Calibri"/>
          <w:sz w:val="20"/>
          <w:szCs w:val="20"/>
        </w:rPr>
        <w:t xml:space="preserve">The P&amp;T committee or a licensed knowledge base supplies formulary limits and interaction rules (A-2).</w:t>
      </w:r>
    </w:p>
    <w:p>
      <w:pPr>
        <w:pStyle w:val="ListParagraph"/>
        <w:numPr>
          <w:ilvl w:val="0"/>
          <w:numId w:val="2"/>
        </w:numPr>
        <w:spacing w:after="70" w:line="270"/>
      </w:pPr>
      <w:r>
        <w:rPr>
          <w:rFonts w:ascii="Calibri" w:cs="Calibri" w:eastAsia="Calibri" w:hAnsi="Calibri"/>
          <w:sz w:val="20"/>
          <w:szCs w:val="20"/>
        </w:rPr>
        <w:t xml:space="preserve">A Clinical Safety Officer is appointed to own the safety gate (A-5).</w:t>
      </w:r>
    </w:p>
    <w:p>
      <w:pPr>
        <w:pStyle w:val="ListParagraph"/>
        <w:numPr>
          <w:ilvl w:val="0"/>
          <w:numId w:val="2"/>
        </w:numPr>
        <w:spacing w:after="70" w:line="270"/>
      </w:pPr>
      <w:r>
        <w:rPr>
          <w:rFonts w:ascii="Calibri" w:cs="Calibri" w:eastAsia="Calibri" w:hAnsi="Calibri"/>
          <w:sz w:val="20"/>
          <w:szCs w:val="20"/>
        </w:rPr>
        <w:t xml:space="preserve">Each clinic has broadband plus a backup link (A-3); about 500 concurrent users at peak (A-1, to be validated with hospital operations).</w:t>
      </w:r>
    </w:p>
    <w:p>
      <w:pPr>
        <w:pStyle w:val="ListParagraph"/>
        <w:numPr>
          <w:ilvl w:val="0"/>
          <w:numId w:val="2"/>
        </w:numPr>
        <w:spacing w:after="70" w:line="270"/>
      </w:pPr>
      <w:r>
        <w:rPr>
          <w:rFonts w:ascii="Calibri" w:cs="Calibri" w:eastAsia="Calibri" w:hAnsi="Calibri"/>
          <w:sz w:val="20"/>
          <w:szCs w:val="20"/>
        </w:rPr>
        <w:t xml:space="preserve">Hospital management releases clinical staff for training and takes part in usability and acceptance testing.</w:t>
      </w:r>
    </w:p>
    <w:p>
      <w:pPr>
        <w:pStyle w:val="Heading1"/>
        <w:keepNext/>
        <w:spacing w:after="140" w:before="320"/>
      </w:pPr>
      <w:r>
        <w:rPr>
          <w:rFonts w:ascii="Calibri" w:cs="Calibri" w:eastAsia="Calibri" w:hAnsi="Calibri"/>
          <w:b/>
          <w:bCs/>
          <w:color w:val="1F3A5F"/>
          <w:sz w:val="30"/>
          <w:szCs w:val="30"/>
        </w:rPr>
        <w:t xml:space="preserve">11. Business risks</w:t>
      </w:r>
    </w:p>
    <w:p>
      <w:pPr>
        <w:spacing w:after="120" w:line="276"/>
      </w:pPr>
      <w:r>
        <w:rPr>
          <w:rFonts w:ascii="Calibri" w:cs="Calibri" w:eastAsia="Calibri" w:hAnsi="Calibri"/>
          <w:sz w:val="20"/>
          <w:szCs w:val="20"/>
        </w:rPr>
        <w:t xml:space="preserve">These are the risks that matter at business level. Probability, impact, exposure and the RMMM plans for the top three are in the Risk Register &amp; Closure Note.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938"/>
      </w:tblGrid>
      <w:tr>
        <w:trPr>
          <w:tblHeader/>
        </w:trPr>
        <w:tc>
          <w:tcPr>
            <w:tcW w:type="dxa" w:w="25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Business risk</w:t>
            </w:r>
          </w:p>
        </w:tc>
        <w:tc>
          <w:tcPr>
            <w:tcW w:type="dxa" w:w="42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Why it matters</w:t>
            </w:r>
          </w:p>
        </w:tc>
        <w:tc>
          <w:tcPr>
            <w:tcW w:type="dxa" w:w="2938"/>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Response (summary)</w:t>
            </w:r>
          </w:p>
        </w:tc>
      </w:tr>
      <w:tr>
        <w:trPr>
          <w:cantSplit/>
        </w:trPr>
        <w:tc>
          <w:tcPr>
            <w:tcW w:type="dxa" w:w="25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Legacy data migration problems (about 7 % of 2.4 M rows are malformed or duplicate)</w:t>
            </w:r>
          </w:p>
        </w:tc>
        <w:tc>
          <w:tcPr>
            <w:tcW w:type="dxa" w:w="4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Lost or wrong history would break the "never lose a record" condition.</w:t>
            </w:r>
          </w:p>
        </w:tc>
        <w:tc>
          <w:tcPr>
            <w:tcW w:type="dxa" w:w="29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Quarantine and human review; staged waves; reconciliation with zero variance.</w:t>
            </w:r>
          </w:p>
        </w:tc>
      </w:tr>
      <w:tr>
        <w:trPr>
          <w:cantSplit/>
        </w:trPr>
        <w:tc>
          <w:tcPr>
            <w:tcW w:type="dxa" w:w="25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Schedule overrun beyond 18 months</w:t>
            </w:r>
          </w:p>
        </w:tc>
        <w:tc>
          <w:tcPr>
            <w:tcW w:type="dxa" w:w="4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Breaches the CFO's limit.</w:t>
            </w:r>
          </w:p>
        </w:tc>
        <w:tc>
          <w:tcPr>
            <w:tcW w:type="dxa" w:w="29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MoSCoW scope control; 6-week reserve; waves of roll-out.</w:t>
            </w:r>
          </w:p>
        </w:tc>
      </w:tr>
      <w:tr>
        <w:trPr>
          <w:cantSplit/>
        </w:trPr>
        <w:tc>
          <w:tcPr>
            <w:tcW w:type="dxa" w:w="25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Clinical staff resist or cannot learn the system</w:t>
            </w:r>
          </w:p>
        </w:tc>
        <w:tc>
          <w:tcPr>
            <w:tcW w:type="dxa" w:w="4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Nurses have only 20 minutes of training.</w:t>
            </w:r>
          </w:p>
        </w:tc>
        <w:tc>
          <w:tcPr>
            <w:tcW w:type="dxa" w:w="29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Simple screens; usability testing with nurses; training at each wave.</w:t>
            </w:r>
          </w:p>
        </w:tc>
      </w:tr>
      <w:tr>
        <w:trPr>
          <w:cantSplit/>
        </w:trPr>
        <w:tc>
          <w:tcPr>
            <w:tcW w:type="dxa" w:w="25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Alert fatigue or wrong rule content</w:t>
            </w:r>
          </w:p>
        </w:tc>
        <w:tc>
          <w:tcPr>
            <w:tcW w:type="dxa" w:w="4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Clinicians may ignore alerts, or rules may be wrong.</w:t>
            </w:r>
          </w:p>
        </w:tc>
        <w:tc>
          <w:tcPr>
            <w:tcW w:type="dxa" w:w="29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P&amp;T-owned rule content; rule packs tested in CI; Clinical Safety Officer gate.</w:t>
            </w:r>
          </w:p>
        </w:tc>
      </w:tr>
      <w:tr>
        <w:trPr>
          <w:cantSplit/>
        </w:trPr>
        <w:tc>
          <w:tcPr>
            <w:tcW w:type="dxa" w:w="25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Mismatch with the fixed UI contract (SRS risk R11)</w:t>
            </w:r>
          </w:p>
        </w:tc>
        <w:tc>
          <w:tcPr>
            <w:tcW w:type="dxa" w:w="4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Back end and UI might not fit together.</w:t>
            </w:r>
          </w:p>
        </w:tc>
        <w:tc>
          <w:tcPr>
            <w:tcW w:type="dxa" w:w="29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Contract tests in CI from the start.</w:t>
            </w:r>
          </w:p>
        </w:tc>
      </w:tr>
      <w:tr>
        <w:trPr>
          <w:cantSplit/>
        </w:trPr>
        <w:tc>
          <w:tcPr>
            <w:tcW w:type="dxa" w:w="25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Outage at a data centre or site</w:t>
            </w:r>
          </w:p>
        </w:tc>
        <w:tc>
          <w:tcPr>
            <w:tcW w:type="dxa" w:w="4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Clinical work depends on the system.</w:t>
            </w:r>
          </w:p>
        </w:tc>
        <w:tc>
          <w:tcPr>
            <w:tcW w:type="dxa" w:w="29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Active/standby design, dual links at clinics, failover drills.</w:t>
            </w:r>
          </w:p>
        </w:tc>
      </w:tr>
      <w:tr>
        <w:trPr>
          <w:cantSplit/>
        </w:trPr>
        <w:tc>
          <w:tcPr>
            <w:tcW w:type="dxa" w:w="25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Regulatory change or misreading</w:t>
            </w:r>
          </w:p>
        </w:tc>
        <w:tc>
          <w:tcPr>
            <w:tcW w:type="dxa" w:w="4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Data-protection duties may be wider than assumed.</w:t>
            </w:r>
          </w:p>
        </w:tc>
        <w:tc>
          <w:tcPr>
            <w:tcW w:type="dxa" w:w="29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Early legal review (C-6).</w:t>
            </w:r>
          </w:p>
        </w:tc>
      </w:tr>
    </w:tbl>
    <w:p>
      <w:pPr>
        <w:pStyle w:val="Heading1"/>
        <w:keepNext/>
        <w:spacing w:after="140" w:before="320"/>
      </w:pPr>
      <w:r>
        <w:rPr>
          <w:rFonts w:ascii="Calibri" w:cs="Calibri" w:eastAsia="Calibri" w:hAnsi="Calibri"/>
          <w:b/>
          <w:bCs/>
          <w:color w:val="1F3A5F"/>
          <w:sz w:val="30"/>
          <w:szCs w:val="30"/>
        </w:rPr>
        <w:t xml:space="preserve">12. High-level approach and timeline</w:t>
      </w:r>
    </w:p>
    <w:p>
      <w:pPr>
        <w:spacing w:after="120" w:line="276"/>
      </w:pPr>
      <w:r>
        <w:rPr>
          <w:rFonts w:ascii="Calibri" w:cs="Calibri" w:eastAsia="Calibri" w:hAnsi="Calibri"/>
          <w:sz w:val="20"/>
          <w:szCs w:val="20"/>
        </w:rPr>
        <w:t xml:space="preserve">The detailed schedule, critical path and Gantt chart are in the Project Plan. At business level the approach is:</w:t>
      </w:r>
    </w:p>
    <w:p>
      <w:pPr>
        <w:pStyle w:val="ListParagraph"/>
        <w:numPr>
          <w:ilvl w:val="0"/>
          <w:numId w:val="2"/>
        </w:numPr>
        <w:spacing w:after="70" w:line="270"/>
      </w:pPr>
      <w:r>
        <w:rPr>
          <w:rFonts w:ascii="Calibri" w:cs="Calibri" w:eastAsia="Calibri" w:hAnsi="Calibri"/>
          <w:b/>
          <w:bCs/>
          <w:sz w:val="20"/>
          <w:szCs w:val="20"/>
        </w:rPr>
        <w:t xml:space="preserve">Safety-sensitive process model:</w:t>
      </w:r>
      <w:r>
        <w:rPr>
          <w:rFonts w:ascii="Calibri" w:cs="Calibri" w:eastAsia="Calibri" w:hAnsi="Calibri"/>
          <w:sz w:val="20"/>
          <w:szCs w:val="20"/>
        </w:rPr>
        <w:t xml:space="preserve"> a V-Model-style lifecycle (justified in the Project Plan), because the clinical rules and the migration need verification at every level; neither pure Waterfall nor pure Scrum fits this regulated, safety-critical domain.</w:t>
      </w:r>
    </w:p>
    <w:p>
      <w:pPr>
        <w:pStyle w:val="ListParagraph"/>
        <w:numPr>
          <w:ilvl w:val="0"/>
          <w:numId w:val="2"/>
        </w:numPr>
        <w:spacing w:after="70" w:line="270"/>
      </w:pPr>
      <w:r>
        <w:rPr>
          <w:rFonts w:ascii="Calibri" w:cs="Calibri" w:eastAsia="Calibri" w:hAnsi="Calibri"/>
          <w:b/>
          <w:bCs/>
          <w:sz w:val="20"/>
          <w:szCs w:val="20"/>
        </w:rPr>
        <w:t xml:space="preserve">Staged roll-out in waves:</w:t>
      </w:r>
      <w:r>
        <w:rPr>
          <w:rFonts w:ascii="Calibri" w:cs="Calibri" w:eastAsia="Calibri" w:hAnsi="Calibri"/>
          <w:sz w:val="20"/>
          <w:szCs w:val="20"/>
        </w:rPr>
        <w:t xml:space="preserve"> pilot sites first, then remaining hospitals and clinics, so that problems are found on a few sites rather than all 27.</w:t>
      </w:r>
    </w:p>
    <w:p>
      <w:pPr>
        <w:pStyle w:val="ListParagraph"/>
        <w:numPr>
          <w:ilvl w:val="0"/>
          <w:numId w:val="2"/>
        </w:numPr>
        <w:spacing w:after="70" w:line="270"/>
      </w:pPr>
      <w:r>
        <w:rPr>
          <w:rFonts w:ascii="Calibri" w:cs="Calibri" w:eastAsia="Calibri" w:hAnsi="Calibri"/>
          <w:b/>
          <w:bCs/>
          <w:sz w:val="20"/>
          <w:szCs w:val="20"/>
        </w:rPr>
        <w:t xml:space="preserve">A clinical-safety gate</w:t>
      </w:r>
      <w:r>
        <w:rPr>
          <w:rFonts w:ascii="Calibri" w:cs="Calibri" w:eastAsia="Calibri" w:hAnsi="Calibri"/>
          <w:sz w:val="20"/>
          <w:szCs w:val="20"/>
        </w:rPr>
        <w:t xml:space="preserve"> before every release to production, owned by the Clinical Safety Officer, with a stated list of things that are never automated.</w:t>
      </w:r>
    </w:p>
    <w:p>
      <w:pPr>
        <w:pStyle w:val="ListParagraph"/>
        <w:numPr>
          <w:ilvl w:val="0"/>
          <w:numId w:val="2"/>
        </w:numPr>
        <w:spacing w:after="70" w:line="270"/>
      </w:pPr>
      <w:r>
        <w:rPr>
          <w:rFonts w:ascii="Calibri" w:cs="Calibri" w:eastAsia="Calibri" w:hAnsi="Calibri"/>
          <w:b/>
          <w:bCs/>
          <w:sz w:val="20"/>
          <w:szCs w:val="20"/>
        </w:rPr>
        <w:t xml:space="preserve">Fixed ceiling:</w:t>
      </w:r>
      <w:r>
        <w:rPr>
          <w:rFonts w:ascii="Calibri" w:cs="Calibri" w:eastAsia="Calibri" w:hAnsi="Calibri"/>
          <w:sz w:val="20"/>
          <w:szCs w:val="20"/>
        </w:rPr>
        <w:t xml:space="preserve"> 18 months in total including a 6-week schedule reserve; the Must requirements are protected, and Could and Should items are dropped first if time is short.</w:t>
      </w:r>
    </w:p>
    <w:p>
      <w:pPr>
        <w:spacing w:after="120" w:line="276"/>
      </w:pPr>
      <w:r>
        <w:rPr>
          <w:rFonts w:ascii="Calibri" w:cs="Calibri" w:eastAsia="Calibri" w:hAnsi="Calibri"/>
          <w:sz w:val="20"/>
          <w:szCs w:val="20"/>
        </w:rPr>
        <w:t xml:space="preserve">Key business milestones (dates are fixed in the Project Plan): BRD and SRS baseline; estimation and plan approved; design and UI approved; pilot go-live; roll-out waves complete; legacy systems decommissioned; project closure and lessons learned.</w:t>
      </w:r>
    </w:p>
    <w:p>
      <w:pPr>
        <w:pStyle w:val="Heading1"/>
        <w:keepNext/>
        <w:spacing w:after="140" w:before="320"/>
      </w:pPr>
      <w:r>
        <w:rPr>
          <w:rFonts w:ascii="Calibri" w:cs="Calibri" w:eastAsia="Calibri" w:hAnsi="Calibri"/>
          <w:b/>
          <w:bCs/>
          <w:color w:val="1F3A5F"/>
          <w:sz w:val="30"/>
          <w:szCs w:val="30"/>
        </w:rPr>
        <w:t xml:space="preserve">Appendix A –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Term</w:t>
            </w:r>
          </w:p>
        </w:tc>
        <w:tc>
          <w:tcPr>
            <w:tcW w:type="dxa" w:w="7438"/>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Meaning</w:t>
            </w:r>
          </w:p>
        </w:tc>
      </w:tr>
      <w:tr>
        <w:trPr>
          <w:cantSplit/>
        </w:trPr>
        <w:tc>
          <w:tcPr>
            <w:tcW w:type="dxa" w:w="2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BRD / SRS</w:t>
            </w:r>
          </w:p>
        </w:tc>
        <w:tc>
          <w:tcPr>
            <w:tcW w:type="dxa" w:w="74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Business Requirements Document / Software Requirements Specification.</w:t>
            </w:r>
          </w:p>
        </w:tc>
      </w:tr>
      <w:tr>
        <w:trPr>
          <w:cantSplit/>
        </w:trPr>
        <w:tc>
          <w:tcPr>
            <w:tcW w:type="dxa" w:w="2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EMR / MRN</w:t>
            </w:r>
          </w:p>
        </w:tc>
        <w:tc>
          <w:tcPr>
            <w:tcW w:type="dxa" w:w="74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Electronic Medical Record / Medical Record Number (unique patient identifier).</w:t>
            </w:r>
          </w:p>
        </w:tc>
      </w:tr>
      <w:tr>
        <w:trPr>
          <w:cantSplit/>
        </w:trPr>
        <w:tc>
          <w:tcPr>
            <w:tcW w:type="dxa" w:w="2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OPD / IPD</w:t>
            </w:r>
          </w:p>
        </w:tc>
        <w:tc>
          <w:tcPr>
            <w:tcW w:type="dxa" w:w="74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Out-patient department / In-patient department.</w:t>
            </w:r>
          </w:p>
        </w:tc>
      </w:tr>
      <w:tr>
        <w:trPr>
          <w:cantSplit/>
        </w:trPr>
        <w:tc>
          <w:tcPr>
            <w:tcW w:type="dxa" w:w="2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NKDA</w:t>
            </w:r>
          </w:p>
        </w:tc>
        <w:tc>
          <w:tcPr>
            <w:tcW w:type="dxa" w:w="74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No Known Drug Allergy – a verified, recorded allergy status.</w:t>
            </w:r>
          </w:p>
        </w:tc>
      </w:tr>
      <w:tr>
        <w:trPr>
          <w:cantSplit/>
        </w:trPr>
        <w:tc>
          <w:tcPr>
            <w:tcW w:type="dxa" w:w="2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MTBF / MTTR</w:t>
            </w:r>
          </w:p>
        </w:tc>
        <w:tc>
          <w:tcPr>
            <w:tcW w:type="dxa" w:w="74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Mean time between failures / mean time to repair.</w:t>
            </w:r>
          </w:p>
        </w:tc>
      </w:tr>
      <w:tr>
        <w:trPr>
          <w:cantSplit/>
        </w:trPr>
        <w:tc>
          <w:tcPr>
            <w:tcW w:type="dxa" w:w="2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DRE</w:t>
            </w:r>
          </w:p>
        </w:tc>
        <w:tc>
          <w:tcPr>
            <w:tcW w:type="dxa" w:w="74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Defect removal efficiency = defects found before release ÷ (found before + found after).</w:t>
            </w:r>
          </w:p>
        </w:tc>
      </w:tr>
      <w:tr>
        <w:trPr>
          <w:cantSplit/>
        </w:trPr>
        <w:tc>
          <w:tcPr>
            <w:tcW w:type="dxa" w:w="2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MoSCoW</w:t>
            </w:r>
          </w:p>
        </w:tc>
        <w:tc>
          <w:tcPr>
            <w:tcW w:type="dxa" w:w="74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Must / Should / Could / Won't (this release) prioritisation.</w:t>
            </w:r>
          </w:p>
        </w:tc>
      </w:tr>
      <w:tr>
        <w:trPr>
          <w:cantSplit/>
        </w:trPr>
        <w:tc>
          <w:tcPr>
            <w:tcW w:type="dxa" w:w="2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RMMM</w:t>
            </w:r>
          </w:p>
        </w:tc>
        <w:tc>
          <w:tcPr>
            <w:tcW w:type="dxa" w:w="74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Risk mitigation, monitoring and management plan.</w:t>
            </w:r>
          </w:p>
        </w:tc>
      </w:tr>
      <w:tr>
        <w:trPr>
          <w:cantSplit/>
        </w:trPr>
        <w:tc>
          <w:tcPr>
            <w:tcW w:type="dxa" w:w="2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P&amp;T committee</w:t>
            </w:r>
          </w:p>
        </w:tc>
        <w:tc>
          <w:tcPr>
            <w:tcW w:type="dxa" w:w="74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Pharmacy &amp; Therapeutics committee.</w:t>
            </w:r>
          </w:p>
        </w:tc>
      </w:tr>
      <w:tr>
        <w:trPr>
          <w:cantSplit/>
        </w:trPr>
        <w:tc>
          <w:tcPr>
            <w:tcW w:type="dxa" w:w="2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w:t>
            </w:r>
          </w:p>
        </w:tc>
        <w:tc>
          <w:tcPr>
            <w:tcW w:type="dxa" w:w="74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Target proposed by the project team, to be confirmed at sign-off.</w:t>
            </w:r>
          </w:p>
        </w:tc>
      </w:tr>
    </w:tbl>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B8A"/>
        <w:sz w:val="16"/>
        <w:szCs w:val="16"/>
      </w:rPr>
      <w:t xml:space="preserve">Version 1.0 · October 2026 · Page </w:t>
    </w:r>
    <w:r>
      <w:rPr>
        <w:rFonts w:ascii="Calibri" w:cs="Calibri" w:eastAsia="Calibri" w:hAnsi="Calibri"/>
        <w:color w:val="6B7B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1" w:sz="4" w:space="4"/>
      </w:pBdr>
      <w:jc w:val="right"/>
    </w:pPr>
    <w:r>
      <w:rPr>
        <w:rFonts w:ascii="Calibri" w:cs="Calibri" w:eastAsia="Calibri" w:hAnsi="Calibri"/>
        <w:color w:val="6B7B8A"/>
        <w:sz w:val="16"/>
        <w:szCs w:val="16"/>
      </w:rPr>
      <w:t xml:space="preserve">MediTrack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30"/>
      <w:szCs w:val="30"/>
    </w:rPr>
  </w:style>
  <w:style w:type="paragraph" w:styleId="Heading2">
    <w:name w:val="Heading 2"/>
    <w:basedOn w:val="Normal"/>
    <w:next w:val="Normal"/>
    <w:qFormat/>
    <w:pPr>
      <w:outlineLvl w:val="1"/>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MediTrack – Business Requirements Document</dc:title>
  <dc:creator>MediTrack Team</dc:creator>
  <cp:lastModifiedBy>Un-named</cp:lastModifiedBy>
  <cp:revision>1</cp:revision>
  <dcterms:created xsi:type="dcterms:W3CDTF">2026-10-04T15:15:41.759Z</dcterms:created>
  <dcterms:modified xsi:type="dcterms:W3CDTF">2026-10-04T15:15:41.759Z</dcterms:modified>
</cp:coreProperties>
</file>

<file path=docProps/custom.xml><?xml version="1.0" encoding="utf-8"?>
<Properties xmlns="http://schemas.openxmlformats.org/officeDocument/2006/custom-properties" xmlns:vt="http://schemas.openxmlformats.org/officeDocument/2006/docPropsVTypes"/>
</file>