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1F3A5F"/>
          <w:sz w:val="64"/>
          <w:szCs w:val="64"/>
        </w:rPr>
        <w:t xml:space="preserve">MediTrack</w:t>
      </w:r>
    </w:p>
    <w:p>
      <w:pPr>
        <w:spacing w:after="360"/>
      </w:pPr>
      <w:r>
        <w:rPr>
          <w:rFonts w:ascii="Calibri" w:cs="Calibri" w:eastAsia="Calibri" w:hAnsi="Calibri"/>
          <w:color w:val="4A5B6C"/>
          <w:sz w:val="28"/>
          <w:szCs w:val="28"/>
        </w:rPr>
        <w:t xml:space="preserve">Electronic Medical Record for a Multi-Speciality Hospital Group</w:t>
      </w:r>
    </w:p>
    <w:p>
      <w:pPr>
        <w:spacing w:after="100"/>
      </w:pPr>
      <w:r>
        <w:rPr>
          <w:rFonts w:ascii="Calibri" w:cs="Calibri" w:eastAsia="Calibri" w:hAnsi="Calibri"/>
          <w:b/>
          <w:bCs/>
          <w:color w:val="1F3A5F"/>
          <w:sz w:val="44"/>
          <w:szCs w:val="44"/>
        </w:rPr>
        <w:t xml:space="preserve">Estimation Report</w:t>
      </w:r>
    </w:p>
    <w:p>
      <w:pPr>
        <w:pBdr>
          <w:bottom w:val="single" w:color="1F3A5F" w:sz="12" w:space="8"/>
        </w:pBdr>
        <w:spacing w:after="480"/>
      </w:pPr>
      <w:r>
        <w:rPr>
          <w:rFonts w:ascii="Calibri" w:cs="Calibri" w:eastAsia="Calibri" w:hAnsi="Calibri"/>
          <w:i/>
          <w:iCs/>
          <w:color w:val="4A5B6C"/>
          <w:sz w:val="22"/>
          <w:szCs w:val="22"/>
        </w:rPr>
        <w:t xml:space="preserve">COCOMO effort, duration and staffing · mode justification · Brooks's Law check · what the model does not capture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Case study</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Case Study no. 1 – MediTrack (Aarogya Healthcare)</w:t>
            </w:r>
          </w:p>
        </w:tc>
      </w:tr>
      <w:tr>
        <w:trPr>
          <w:cantSplit/>
        </w:trPr>
        <w:tc>
          <w:tcPr>
            <w:tcW w:type="dxa" w:w="2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Course</w:t>
            </w:r>
          </w:p>
        </w:tc>
        <w:tc>
          <w:tcPr>
            <w:tcW w:type="dxa" w:w="7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Software Engineering &amp; Project Management – B.Tech CSE 2025-29, Semester III</w:t>
            </w:r>
          </w:p>
        </w:tc>
      </w:tr>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Institution</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School of Future Tech, ITM Skills University</w:t>
            </w:r>
          </w:p>
        </w:tc>
      </w:tr>
      <w:tr>
        <w:trPr>
          <w:cantSplit/>
        </w:trPr>
        <w:tc>
          <w:tcPr>
            <w:tcW w:type="dxa" w:w="2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Team / roll numbers</w:t>
            </w:r>
          </w:p>
        </w:tc>
        <w:tc>
          <w:tcPr>
            <w:tcW w:type="dxa" w:w="7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 to be filled in by the team ]</w:t>
            </w:r>
          </w:p>
        </w:tc>
      </w:tr>
      <w:tr>
        <w:trPr>
          <w:cantSpli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Version / date</w:t>
            </w:r>
          </w:p>
        </w:tc>
        <w:tc>
          <w:tcPr>
            <w:tcW w:type="dxa" w:w="7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1.0 – October 2026</w:t>
            </w:r>
          </w:p>
        </w:tc>
      </w:tr>
    </w:tbl>
    <w:p>
      <w:r>
        <w:br w:type="page"/>
      </w:r>
    </w:p>
    <w:p>
      <w:pPr>
        <w:pStyle w:val="Heading1"/>
        <w:keepNext/>
        <w:spacing w:after="140" w:before="320"/>
      </w:pPr>
      <w:r>
        <w:rPr>
          <w:rFonts w:ascii="Calibri" w:cs="Calibri" w:eastAsia="Calibri" w:hAnsi="Calibri"/>
          <w:b/>
          <w:bCs/>
          <w:color w:val="1F3A5F"/>
          <w:sz w:val="30"/>
          <w:szCs w:val="30"/>
        </w:rPr>
        <w:t xml:space="preserve">1. Purpose and inputs</w:t>
      </w:r>
    </w:p>
    <w:p>
      <w:pPr>
        <w:spacing w:after="120" w:line="276"/>
      </w:pPr>
      <w:r>
        <w:rPr>
          <w:rFonts w:ascii="Calibri" w:cs="Calibri" w:eastAsia="Calibri" w:hAnsi="Calibri"/>
          <w:sz w:val="20"/>
          <w:szCs w:val="20"/>
        </w:rPr>
        <w:t xml:space="preserve">This report estimates the effort, duration and average staffing of MediTrack using COCOMO, defends the result against the CFO's 18-month ceiling, and states clearly what the model does </w:t>
      </w:r>
      <w:r>
        <w:rPr>
          <w:rFonts w:ascii="Calibri" w:cs="Calibri" w:eastAsia="Calibri" w:hAnsi="Calibri"/>
          <w:b/>
          <w:bCs/>
          <w:sz w:val="20"/>
          <w:szCs w:val="20"/>
        </w:rPr>
        <w:t xml:space="preserve">not</w:t>
      </w:r>
      <w:r>
        <w:rPr>
          <w:rFonts w:ascii="Calibri" w:cs="Calibri" w:eastAsia="Calibri" w:hAnsi="Calibri"/>
          <w:sz w:val="20"/>
          <w:szCs w:val="20"/>
        </w:rPr>
        <w:t xml:space="preserve"> capture. Its figures feed the Project Plan (WBS, Gantt chart, resource histogram), the Risk Register and the BRD cost section.</w:t>
      </w:r>
    </w:p>
    <w:p>
      <w:pPr>
        <w:pStyle w:val="Heading2"/>
        <w:keepNext/>
        <w:spacing w:after="100" w:before="220"/>
      </w:pPr>
      <w:r>
        <w:rPr>
          <w:rFonts w:ascii="Calibri" w:cs="Calibri" w:eastAsia="Calibri" w:hAnsi="Calibri"/>
          <w:b/>
          <w:bCs/>
          <w:color w:val="1F3A5F"/>
          <w:sz w:val="24"/>
          <w:szCs w:val="24"/>
        </w:rPr>
        <w:t xml:space="preserve">1.1 Given project data (used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138"/>
      </w:tblGrid>
      <w:tr>
        <w:trPr>
          <w:tblHeader/>
        </w:trPr>
        <w:tc>
          <w:tcPr>
            <w:tcW w:type="dxa" w:w="3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Input</w:t>
            </w:r>
          </w:p>
        </w:tc>
        <w:tc>
          <w:tcPr>
            <w:tcW w:type="dxa" w:w="33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Value</w:t>
            </w:r>
          </w:p>
        </w:tc>
        <w:tc>
          <w:tcPr>
            <w:tcW w:type="dxa" w:w="31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Source</w:t>
            </w:r>
          </w:p>
        </w:tc>
      </w:tr>
      <w:tr>
        <w:trPr>
          <w:cantSplit/>
        </w:trPr>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Estimated size</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46 KLOC (46,000 lines of code)</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w:t>
            </w:r>
          </w:p>
        </w:tc>
      </w:tr>
      <w:tr>
        <w:trPr>
          <w:cantSplit/>
        </w:trPr>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Team experience</w:t>
            </w:r>
          </w:p>
        </w:tc>
        <w:tc>
          <w:tcPr>
            <w:tcW w:type="dxa" w:w="3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Medium-experienced</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w:t>
            </w:r>
          </w:p>
        </w:tc>
      </w:tr>
      <w:tr>
        <w:trPr>
          <w:cantSplit/>
        </w:trPr>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Domain</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Regulated clinical workflow; safety-sensitive</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w:t>
            </w:r>
          </w:p>
        </w:tc>
      </w:tr>
      <w:tr>
        <w:trPr>
          <w:cantSplit/>
        </w:trPr>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Legacy migration volume</w:t>
            </w:r>
          </w:p>
        </w:tc>
        <w:tc>
          <w:tcPr>
            <w:tcW w:type="dxa" w:w="3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2.4 million patient rows; about 7 % (≈ 168,000) malformed or duplicate</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w:t>
            </w:r>
          </w:p>
        </w:tc>
      </w:tr>
      <w:tr>
        <w:trPr>
          <w:cantSplit/>
        </w:trPr>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Schedule ceiling</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18 months</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CFO</w:t>
            </w:r>
          </w:p>
        </w:tc>
      </w:tr>
      <w:tr>
        <w:trPr>
          <w:cantSplit/>
        </w:trPr>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Quality targets</w:t>
            </w:r>
          </w:p>
        </w:tc>
        <w:tc>
          <w:tcPr>
            <w:tcW w:type="dxa" w:w="3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DRE ≥ 92 % before go-live; MTBF 1,400 h; MTTR 2 h</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Case study</w:t>
            </w:r>
          </w:p>
        </w:tc>
      </w:tr>
    </w:tbl>
    <w:p>
      <w:pPr>
        <w:spacing w:after="120" w:line="276"/>
      </w:pPr>
      <w:r>
        <w:rPr>
          <w:rFonts w:ascii="Calibri" w:cs="Calibri" w:eastAsia="Calibri" w:hAnsi="Calibri"/>
          <w:i/>
          <w:iCs/>
          <w:sz w:val="20"/>
          <w:szCs w:val="20"/>
        </w:rPr>
        <w:t xml:space="preserve">Anything else in this report (allowances for migration review, training and so on) is a team assumption, and is labelled as one.</w:t>
      </w:r>
    </w:p>
    <w:p>
      <w:pPr>
        <w:pStyle w:val="Heading1"/>
        <w:keepNext/>
        <w:spacing w:after="140" w:before="320"/>
      </w:pPr>
      <w:r>
        <w:rPr>
          <w:rFonts w:ascii="Calibri" w:cs="Calibri" w:eastAsia="Calibri" w:hAnsi="Calibri"/>
          <w:b/>
          <w:bCs/>
          <w:color w:val="1F3A5F"/>
          <w:sz w:val="30"/>
          <w:szCs w:val="30"/>
        </w:rPr>
        <w:t xml:space="preserve">2. Choosing the COCOMO mode</w:t>
      </w:r>
    </w:p>
    <w:p>
      <w:pPr>
        <w:spacing w:after="120" w:line="276"/>
      </w:pPr>
      <w:r>
        <w:rPr>
          <w:rFonts w:ascii="Calibri" w:cs="Calibri" w:eastAsia="Calibri" w:hAnsi="Calibri"/>
          <w:sz w:val="20"/>
          <w:szCs w:val="20"/>
        </w:rPr>
        <w:t xml:space="preserve">Basic COCOMO has three modes. The mode changes the constants in the formulas and therefore the answer, so it must be argued from the project's characteristics, not picked for a convenient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00"/>
        <w:gridCol w:w="2538"/>
      </w:tblGrid>
      <w:tr>
        <w:trPr>
          <w:tblHeader/>
        </w:trPr>
        <w:tc>
          <w:tcPr>
            <w:tcW w:type="dxa" w:w="1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Characteristic (Boehm)</w:t>
            </w:r>
          </w:p>
        </w:tc>
        <w:tc>
          <w:tcPr>
            <w:tcW w:type="dxa" w:w="2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Organic</w:t>
            </w:r>
          </w:p>
        </w:tc>
        <w:tc>
          <w:tcPr>
            <w:tcW w:type="dxa" w:w="27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Semi-detached</w:t>
            </w:r>
          </w:p>
        </w:tc>
        <w:tc>
          <w:tcPr>
            <w:tcW w:type="dxa" w:w="25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Embedded</w:t>
            </w:r>
          </w:p>
        </w:tc>
      </w:tr>
      <w:tr>
        <w:trPr>
          <w:cantSplit/>
        </w:trPr>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Team</w:t>
            </w:r>
          </w:p>
        </w:tc>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Small, experienced, familiar with the problem</w:t>
            </w:r>
          </w:p>
        </w:tc>
        <w:tc>
          <w:tcPr>
            <w:tcW w:type="dxa" w:w="2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Medium size, </w:t>
            </w:r>
            <w:r>
              <w:rPr>
                <w:rFonts w:ascii="Calibri" w:cs="Calibri" w:eastAsia="Calibri" w:hAnsi="Calibri"/>
                <w:b/>
                <w:bCs/>
                <w:sz w:val="18"/>
                <w:szCs w:val="18"/>
              </w:rPr>
              <w:t xml:space="preserve">mixed experience</w:t>
            </w:r>
          </w:p>
        </w:tc>
        <w:tc>
          <w:tcPr>
            <w:tcW w:type="dxa" w:w="25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Any size; works within tight constraints</w:t>
            </w:r>
          </w:p>
        </w:tc>
      </w:tr>
      <w:tr>
        <w:trPr>
          <w:cantSplit/>
        </w:trPr>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Requirements</w:t>
            </w:r>
          </w:p>
        </w:tc>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Flexible, few constraints</w:t>
            </w:r>
          </w:p>
        </w:tc>
        <w:tc>
          <w:tcPr>
            <w:tcW w:type="dxa" w:w="2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Mix of rigid and flexible</w:t>
            </w:r>
            <w:r>
              <w:rPr>
                <w:rFonts w:ascii="Calibri" w:cs="Calibri" w:eastAsia="Calibri" w:hAnsi="Calibri"/>
                <w:b w:val="false"/>
                <w:bCs w:val="false"/>
                <w:sz w:val="18"/>
                <w:szCs w:val="18"/>
              </w:rPr>
              <w:t xml:space="preserve"> requirements</w:t>
            </w:r>
          </w:p>
        </w:tc>
        <w:tc>
          <w:tcPr>
            <w:tcW w:type="dxa" w:w="25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Rigid; hardware, regulation and operations constrain the design</w:t>
            </w:r>
          </w:p>
        </w:tc>
      </w:tr>
      <w:tr>
        <w:trPr>
          <w:cantSplit/>
        </w:trPr>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Environment</w:t>
            </w:r>
          </w:p>
        </w:tc>
        <w:tc>
          <w:tcPr>
            <w:tcW w:type="dxa" w:w="2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Familiar, stable</w:t>
            </w:r>
          </w:p>
        </w:tc>
        <w:tc>
          <w:tcPr>
            <w:tcW w:type="dxa" w:w="2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Some unfamiliar elements</w:t>
            </w:r>
          </w:p>
        </w:tc>
        <w:tc>
          <w:tcPr>
            <w:tcW w:type="dxa" w:w="25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Complex, tightly coupled to hardware / real-time operation</w:t>
            </w:r>
          </w:p>
        </w:tc>
      </w:tr>
      <w:tr>
        <w:trPr>
          <w:cantSplit/>
        </w:trPr>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Typical example</w:t>
            </w:r>
          </w:p>
        </w:tc>
        <w:tc>
          <w:tcPr>
            <w:tcW w:type="dxa" w:w="2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Small business application</w:t>
            </w:r>
          </w:p>
        </w:tc>
        <w:tc>
          <w:tcPr>
            <w:tcW w:type="dxa" w:w="2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Transaction-processing or database systems</w:t>
            </w:r>
          </w:p>
        </w:tc>
        <w:tc>
          <w:tcPr>
            <w:tcW w:type="dxa" w:w="25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Flight control, real-time embedded control</w:t>
            </w:r>
          </w:p>
        </w:tc>
      </w:tr>
    </w:tbl>
    <w:p>
      <w:pPr>
        <w:spacing w:after="100"/>
      </w:pPr>
    </w:p>
    <w:p>
      <w:pPr>
        <w:pStyle w:val="Heading2"/>
        <w:keepNext/>
        <w:spacing w:after="100" w:before="220"/>
      </w:pPr>
      <w:r>
        <w:rPr>
          <w:rFonts w:ascii="Calibri" w:cs="Calibri" w:eastAsia="Calibri" w:hAnsi="Calibri"/>
          <w:b/>
          <w:bCs/>
          <w:color w:val="1F3A5F"/>
          <w:sz w:val="24"/>
          <w:szCs w:val="24"/>
        </w:rPr>
        <w:t xml:space="preserve">2.1 Decision: Semi-detached</w:t>
      </w:r>
    </w:p>
    <w:p>
      <w:pPr>
        <w:pStyle w:val="ListParagraph"/>
        <w:numPr>
          <w:ilvl w:val="0"/>
          <w:numId w:val="2"/>
        </w:numPr>
        <w:spacing w:after="70" w:line="270"/>
      </w:pPr>
      <w:r>
        <w:rPr>
          <w:rFonts w:ascii="Calibri" w:cs="Calibri" w:eastAsia="Calibri" w:hAnsi="Calibri"/>
          <w:b/>
          <w:bCs/>
          <w:sz w:val="20"/>
          <w:szCs w:val="20"/>
        </w:rPr>
        <w:t xml:space="preserve">Team: medium-experienced.</w:t>
      </w:r>
      <w:r>
        <w:rPr>
          <w:rFonts w:ascii="Calibri" w:cs="Calibri" w:eastAsia="Calibri" w:hAnsi="Calibri"/>
          <w:sz w:val="20"/>
          <w:szCs w:val="20"/>
        </w:rPr>
        <w:t xml:space="preserve"> The case study says exactly this. It is neither the small expert team of the organic mode nor a specialist team working to rigid constraints.</w:t>
      </w:r>
    </w:p>
    <w:p>
      <w:pPr>
        <w:pStyle w:val="ListParagraph"/>
        <w:numPr>
          <w:ilvl w:val="0"/>
          <w:numId w:val="2"/>
        </w:numPr>
        <w:spacing w:after="70" w:line="270"/>
      </w:pPr>
      <w:r>
        <w:rPr>
          <w:rFonts w:ascii="Calibri" w:cs="Calibri" w:eastAsia="Calibri" w:hAnsi="Calibri"/>
          <w:b/>
          <w:bCs/>
          <w:sz w:val="20"/>
          <w:szCs w:val="20"/>
        </w:rPr>
        <w:t xml:space="preserve">Mixed requirements.</w:t>
      </w:r>
      <w:r>
        <w:rPr>
          <w:rFonts w:ascii="Calibri" w:cs="Calibri" w:eastAsia="Calibri" w:hAnsi="Calibri"/>
          <w:sz w:val="20"/>
          <w:szCs w:val="20"/>
        </w:rPr>
        <w:t xml:space="preserve"> Part of MediTrack is rigid and safety-critical: the allergy gate, versioned records, the append-only audit trail and migration reconciliation (SRS FR-03, FR-04, FR-06, FR-12, NFR-02). Part is flexible: search, notes, lab results, discharge-summary layout, the fixed user interface. That mixture is the definition of semi-detached.</w:t>
      </w:r>
    </w:p>
    <w:p>
      <w:pPr>
        <w:pStyle w:val="ListParagraph"/>
        <w:numPr>
          <w:ilvl w:val="0"/>
          <w:numId w:val="2"/>
        </w:numPr>
        <w:spacing w:after="70" w:line="270"/>
      </w:pPr>
      <w:r>
        <w:rPr>
          <w:rFonts w:ascii="Calibri" w:cs="Calibri" w:eastAsia="Calibri" w:hAnsi="Calibri"/>
          <w:b/>
          <w:bCs/>
          <w:sz w:val="20"/>
          <w:szCs w:val="20"/>
        </w:rPr>
        <w:t xml:space="preserve">Why not organic.</w:t>
      </w:r>
      <w:r>
        <w:rPr>
          <w:rFonts w:ascii="Calibri" w:cs="Calibri" w:eastAsia="Calibri" w:hAnsi="Calibri"/>
          <w:sz w:val="20"/>
          <w:szCs w:val="20"/>
        </w:rPr>
        <w:t xml:space="preserve"> The system is regulated and legally audited, the size is 46 KLOC, and the team is only medium-experienced. Organic would give about 134 person-months and would understate the cost of safety verification.</w:t>
      </w:r>
    </w:p>
    <w:p>
      <w:pPr>
        <w:pStyle w:val="ListParagraph"/>
        <w:numPr>
          <w:ilvl w:val="0"/>
          <w:numId w:val="2"/>
        </w:numPr>
        <w:spacing w:after="70" w:line="270"/>
      </w:pPr>
      <w:r>
        <w:rPr>
          <w:rFonts w:ascii="Calibri" w:cs="Calibri" w:eastAsia="Calibri" w:hAnsi="Calibri"/>
          <w:b/>
          <w:bCs/>
          <w:sz w:val="20"/>
          <w:szCs w:val="20"/>
        </w:rPr>
        <w:t xml:space="preserve">Why not embedded.</w:t>
      </w:r>
      <w:r>
        <w:rPr>
          <w:rFonts w:ascii="Calibri" w:cs="Calibri" w:eastAsia="Calibri" w:hAnsi="Calibri"/>
          <w:sz w:val="20"/>
          <w:szCs w:val="20"/>
        </w:rPr>
        <w:t xml:space="preserve"> Embedded mode is meant for software bound tightly to hardware and real-time operation. MediTrack runs on commodity servers and browsers (UML Package, Fig. UML-5). Its regulatory strictness is real, but it is handled as a </w:t>
      </w:r>
      <w:r>
        <w:rPr>
          <w:rFonts w:ascii="Calibri" w:cs="Calibri" w:eastAsia="Calibri" w:hAnsi="Calibri"/>
          <w:b/>
          <w:bCs/>
          <w:sz w:val="20"/>
          <w:szCs w:val="20"/>
        </w:rPr>
        <w:t xml:space="preserve">verification and risk</w:t>
      </w:r>
      <w:r>
        <w:rPr>
          <w:rFonts w:ascii="Calibri" w:cs="Calibri" w:eastAsia="Calibri" w:hAnsi="Calibri"/>
          <w:sz w:val="20"/>
          <w:szCs w:val="20"/>
        </w:rPr>
        <w:t xml:space="preserve"> matter (clinical-safety gate, rule packs in CI, DRE ≥ 92 %), and by keeping interaction rules as data rather than code (NFR-08). Embedded would give about 356 person-months and an average team of about 22, which the case study's team description does not support.</w:t>
      </w:r>
    </w:p>
    <w:p>
      <w:pPr>
        <w:spacing w:after="120" w:line="276"/>
      </w:pPr>
      <w:r>
        <w:rPr>
          <w:rFonts w:ascii="Calibri" w:cs="Calibri" w:eastAsia="Calibri" w:hAnsi="Calibri"/>
          <w:b/>
          <w:bCs/>
          <w:sz w:val="20"/>
          <w:szCs w:val="20"/>
        </w:rPr>
        <w:t xml:space="preserve">What would change the decision:</w:t>
      </w:r>
      <w:r>
        <w:rPr>
          <w:rFonts w:ascii="Calibri" w:cs="Calibri" w:eastAsia="Calibri" w:hAnsi="Calibri"/>
          <w:sz w:val="20"/>
          <w:szCs w:val="20"/>
        </w:rPr>
        <w:t xml:space="preserve"> if the hospital group asked for medical-device behaviour (real-time monitoring, device integration) or the team were found to be mostly inexperienced, the embedded constants would be reconsidered. This is carried to the Risk Register as an estimation-risk trigger.</w:t>
      </w:r>
    </w:p>
    <w:p>
      <w:pPr>
        <w:pStyle w:val="Heading1"/>
        <w:keepNext/>
        <w:spacing w:after="140" w:before="320"/>
      </w:pPr>
      <w:r>
        <w:rPr>
          <w:rFonts w:ascii="Calibri" w:cs="Calibri" w:eastAsia="Calibri" w:hAnsi="Calibri"/>
          <w:b/>
          <w:bCs/>
          <w:color w:val="1F3A5F"/>
          <w:sz w:val="30"/>
          <w:szCs w:val="30"/>
        </w:rPr>
        <w:t xml:space="preserve">3. Basic COCOMO calculation</w:t>
      </w:r>
    </w:p>
    <w:p>
      <w:pPr>
        <w:spacing w:after="120" w:line="276"/>
      </w:pPr>
      <w:r>
        <w:rPr>
          <w:rFonts w:ascii="Calibri" w:cs="Calibri" w:eastAsia="Calibri" w:hAnsi="Calibri"/>
          <w:sz w:val="20"/>
          <w:szCs w:val="20"/>
        </w:rPr>
        <w:t xml:space="preserve">Basic COCOMO: </w:t>
      </w:r>
      <w:r>
        <w:rPr>
          <w:rFonts w:ascii="Calibri" w:cs="Calibri" w:eastAsia="Calibri" w:hAnsi="Calibri"/>
          <w:b/>
          <w:bCs/>
          <w:sz w:val="20"/>
          <w:szCs w:val="20"/>
        </w:rPr>
        <w:t xml:space="preserve">Effort E = a × (KLOC)^b</w:t>
      </w:r>
      <w:r>
        <w:rPr>
          <w:rFonts w:ascii="Calibri" w:cs="Calibri" w:eastAsia="Calibri" w:hAnsi="Calibri"/>
          <w:sz w:val="20"/>
          <w:szCs w:val="20"/>
        </w:rPr>
        <w:t xml:space="preserve"> person-months; </w:t>
      </w:r>
      <w:r>
        <w:rPr>
          <w:rFonts w:ascii="Calibri" w:cs="Calibri" w:eastAsia="Calibri" w:hAnsi="Calibri"/>
          <w:b/>
          <w:bCs/>
          <w:sz w:val="20"/>
          <w:szCs w:val="20"/>
        </w:rPr>
        <w:t xml:space="preserve">Duration T = c × E^d</w:t>
      </w:r>
      <w:r>
        <w:rPr>
          <w:rFonts w:ascii="Calibri" w:cs="Calibri" w:eastAsia="Calibri" w:hAnsi="Calibri"/>
          <w:sz w:val="20"/>
          <w:szCs w:val="20"/>
        </w:rPr>
        <w:t xml:space="preserve"> months; </w:t>
      </w:r>
      <w:r>
        <w:rPr>
          <w:rFonts w:ascii="Calibri" w:cs="Calibri" w:eastAsia="Calibri" w:hAnsi="Calibri"/>
          <w:b/>
          <w:bCs/>
          <w:sz w:val="20"/>
          <w:szCs w:val="20"/>
        </w:rPr>
        <w:t xml:space="preserve">Average staffing N = E ÷ T</w:t>
      </w:r>
      <w:r>
        <w:rPr>
          <w:rFonts w:ascii="Calibri" w:cs="Calibri" w:eastAsia="Calibri" w:hAnsi="Calibri"/>
          <w:sz w:val="20"/>
          <w:szCs w:val="20"/>
        </w:rPr>
        <w:t xml:space="preserve">.</w:t>
      </w:r>
    </w:p>
    <w:p>
      <w:pPr>
        <w:pStyle w:val="Heading2"/>
        <w:keepNext/>
        <w:spacing w:after="100" w:before="220"/>
      </w:pPr>
      <w:r>
        <w:rPr>
          <w:rFonts w:ascii="Calibri" w:cs="Calibri" w:eastAsia="Calibri" w:hAnsi="Calibri"/>
          <w:b/>
          <w:bCs/>
          <w:color w:val="1F3A5F"/>
          <w:sz w:val="24"/>
          <w:szCs w:val="24"/>
        </w:rPr>
        <w:t xml:space="preserve">3.1 Working for the chosen mode (semi-detached: a = 3.0, b = 1.12, c = 2.5, d = 0.35)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Step</w:t>
            </w:r>
          </w:p>
        </w:tc>
        <w:tc>
          <w:tcPr>
            <w:tcW w:type="dxa" w:w="54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Calculation</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Size</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 = 46 KLOC</w:t>
            </w:r>
          </w:p>
        </w:tc>
      </w:tr>
      <w:tr>
        <w:trPr>
          <w:cantSplit/>
        </w:trPr>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Effort</w:t>
            </w:r>
          </w:p>
        </w:tc>
        <w:tc>
          <w:tcPr>
            <w:tcW w:type="dxa" w:w="5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 = 3.0 × 46^1.12 = 3.0 × 72.8 = </w:t>
            </w:r>
            <w:r>
              <w:rPr>
                <w:rFonts w:ascii="Calibri" w:cs="Calibri" w:eastAsia="Calibri" w:hAnsi="Calibri"/>
                <w:b/>
                <w:bCs/>
                <w:sz w:val="18"/>
                <w:szCs w:val="18"/>
              </w:rPr>
              <w:t xml:space="preserve">218.5 person-months</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Duration</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 = 2.5 × 218.5^0.35 = 2.5 × 6.59 = </w:t>
            </w:r>
            <w:r>
              <w:rPr>
                <w:rFonts w:ascii="Calibri" w:cs="Calibri" w:eastAsia="Calibri" w:hAnsi="Calibri"/>
                <w:b/>
                <w:bCs/>
                <w:sz w:val="18"/>
                <w:szCs w:val="18"/>
              </w:rPr>
              <w:t xml:space="preserve">16.5 months</w:t>
            </w:r>
          </w:p>
        </w:tc>
      </w:tr>
      <w:tr>
        <w:trPr>
          <w:cantSplit/>
        </w:trPr>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Average staffing</w:t>
            </w:r>
          </w:p>
        </w:tc>
        <w:tc>
          <w:tcPr>
            <w:tcW w:type="dxa" w:w="5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 = 218.5 ÷ 16.5 = </w:t>
            </w:r>
            <w:r>
              <w:rPr>
                <w:rFonts w:ascii="Calibri" w:cs="Calibri" w:eastAsia="Calibri" w:hAnsi="Calibri"/>
                <w:b/>
                <w:bCs/>
                <w:sz w:val="18"/>
                <w:szCs w:val="18"/>
              </w:rPr>
              <w:t xml:space="preserve">13.3 people</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Productivity</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46,000 LOC ÷ 218.5 PM = </w:t>
            </w:r>
            <w:r>
              <w:rPr>
                <w:rFonts w:ascii="Calibri" w:cs="Calibri" w:eastAsia="Calibri" w:hAnsi="Calibri"/>
                <w:b/>
                <w:bCs/>
                <w:sz w:val="18"/>
                <w:szCs w:val="18"/>
              </w:rPr>
              <w:t xml:space="preserve">211 LOC per person-month</w:t>
            </w:r>
            <w:r>
              <w:rPr>
                <w:rFonts w:ascii="Calibri" w:cs="Calibri" w:eastAsia="Calibri" w:hAnsi="Calibri"/>
                <w:b w:val="false"/>
                <w:bCs w:val="false"/>
                <w:sz w:val="18"/>
                <w:szCs w:val="18"/>
              </w:rPr>
              <w:t xml:space="preserve"> (about 2.5 KLOC per person-year)</w:t>
            </w:r>
          </w:p>
        </w:tc>
      </w:tr>
    </w:tbl>
    <w:p>
      <w:pPr>
        <w:pStyle w:val="Heading2"/>
        <w:keepNext/>
        <w:spacing w:after="100" w:before="220"/>
      </w:pPr>
      <w:r>
        <w:rPr>
          <w:rFonts w:ascii="Calibri" w:cs="Calibri" w:eastAsia="Calibri" w:hAnsi="Calibri"/>
          <w:b/>
          <w:bCs/>
          <w:color w:val="1F3A5F"/>
          <w:sz w:val="24"/>
          <w:szCs w:val="24"/>
        </w:rPr>
        <w:t xml:space="preserve">3.2 All three modes for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500"/>
        <w:gridCol w:w="1500"/>
        <w:gridCol w:w="1500"/>
        <w:gridCol w:w="1838"/>
      </w:tblGrid>
      <w:tr>
        <w:trPr>
          <w:tblHeader/>
        </w:trPr>
        <w:tc>
          <w:tcPr>
            <w:tcW w:type="dxa" w:w="1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Mode</w:t>
            </w:r>
          </w:p>
        </w:tc>
        <w:tc>
          <w:tcPr>
            <w:tcW w:type="dxa" w:w="14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Effort (PM)</w:t>
            </w:r>
          </w:p>
        </w:tc>
        <w:tc>
          <w:tcPr>
            <w:tcW w:type="dxa" w:w="1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Duration (months)</w:t>
            </w:r>
          </w:p>
        </w:tc>
        <w:tc>
          <w:tcPr>
            <w:tcW w:type="dxa" w:w="1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Avg staff</w:t>
            </w:r>
          </w:p>
        </w:tc>
        <w:tc>
          <w:tcPr>
            <w:tcW w:type="dxa" w:w="1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LOC / PM</w:t>
            </w:r>
          </w:p>
        </w:tc>
        <w:tc>
          <w:tcPr>
            <w:tcW w:type="dxa" w:w="18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Use</w:t>
            </w:r>
          </w:p>
        </w:tc>
      </w:tr>
      <w:tr>
        <w:trPr>
          <w:cantSplit/>
        </w:trPr>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Organic</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133.7</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16.1</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8.3</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344</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Lower bound</w:t>
            </w:r>
          </w:p>
        </w:tc>
      </w:tr>
      <w:tr>
        <w:trPr>
          <w:cantSplit/>
        </w:trPr>
        <w:tc>
          <w:tcPr>
            <w:tcW w:type="dxa" w:w="19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Semi-detached</w:t>
            </w:r>
          </w:p>
        </w:tc>
        <w:tc>
          <w:tcPr>
            <w:tcW w:type="dxa" w:w="14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218.5</w:t>
            </w:r>
          </w:p>
        </w:tc>
        <w:tc>
          <w:tcPr>
            <w:tcW w:type="dxa" w:w="15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16.5</w:t>
            </w:r>
          </w:p>
        </w:tc>
        <w:tc>
          <w:tcPr>
            <w:tcW w:type="dxa" w:w="15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13.3</w:t>
            </w:r>
          </w:p>
        </w:tc>
        <w:tc>
          <w:tcPr>
            <w:tcW w:type="dxa" w:w="15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211</w:t>
            </w:r>
          </w:p>
        </w:tc>
        <w:tc>
          <w:tcPr>
            <w:tcW w:type="dxa" w:w="1838"/>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Chosen</w:t>
            </w:r>
          </w:p>
        </w:tc>
      </w:tr>
      <w:tr>
        <w:trPr>
          <w:cantSplit/>
        </w:trPr>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Embedded</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356.1</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16.4</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21.7</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129</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Upper bound</w:t>
            </w:r>
          </w:p>
        </w:tc>
      </w:tr>
    </w:tbl>
    <w:p>
      <w:pPr>
        <w:spacing w:after="80" w:line="276"/>
      </w:pPr>
      <w:r>
        <w:rPr>
          <w:rFonts w:ascii="Calibri" w:cs="Calibri" w:eastAsia="Calibri" w:hAnsi="Calibri"/>
          <w:sz w:val="20"/>
          <w:szCs w:val="20"/>
        </w:rPr>
        <w:t xml:space="preserve">Notice that the mode barely changes the </w:t>
      </w:r>
      <w:r>
        <w:rPr>
          <w:rFonts w:ascii="Calibri" w:cs="Calibri" w:eastAsia="Calibri" w:hAnsi="Calibri"/>
          <w:b/>
          <w:bCs/>
          <w:sz w:val="20"/>
          <w:szCs w:val="20"/>
        </w:rPr>
        <w:t xml:space="preserve">duration</w:t>
      </w:r>
      <w:r>
        <w:rPr>
          <w:rFonts w:ascii="Calibri" w:cs="Calibri" w:eastAsia="Calibri" w:hAnsi="Calibri"/>
          <w:sz w:val="20"/>
          <w:szCs w:val="20"/>
        </w:rPr>
        <w:t xml:space="preserve"> (about 16 months in every mode) but changes the </w:t>
      </w:r>
      <w:r>
        <w:rPr>
          <w:rFonts w:ascii="Calibri" w:cs="Calibri" w:eastAsia="Calibri" w:hAnsi="Calibri"/>
          <w:b/>
          <w:bCs/>
          <w:sz w:val="20"/>
          <w:szCs w:val="20"/>
        </w:rPr>
        <w:t xml:space="preserve">effort and team size</w:t>
      </w:r>
      <w:r>
        <w:rPr>
          <w:rFonts w:ascii="Calibri" w:cs="Calibri" w:eastAsia="Calibri" w:hAnsi="Calibri"/>
          <w:sz w:val="20"/>
          <w:szCs w:val="20"/>
        </w:rPr>
        <w:t xml:space="preserve"> by a factor of nearly three. The mode decision is therefore mostly a cost and staffing decision, which is why it needed an argument.</w:t>
      </w:r>
    </w:p>
    <w:p>
      <w:pPr>
        <w:spacing w:after="120" w:line="276"/>
      </w:pPr>
      <w:r>
        <w:rPr>
          <w:rFonts w:ascii="Calibri" w:cs="Calibri" w:eastAsia="Calibri" w:hAnsi="Calibri"/>
          <w:b/>
          <w:bCs/>
          <w:sz w:val="20"/>
          <w:szCs w:val="20"/>
        </w:rPr>
        <w:t xml:space="preserve">Sanity check on productivity.</w:t>
      </w:r>
      <w:r>
        <w:rPr>
          <w:rFonts w:ascii="Calibri" w:cs="Calibri" w:eastAsia="Calibri" w:hAnsi="Calibri"/>
          <w:sz w:val="20"/>
          <w:szCs w:val="20"/>
        </w:rPr>
        <w:t xml:space="preserve"> 211 LOC per person-month is within the range usually quoted for medium-size business systems and is higher than for the safety-critical embedded mode (129), as expected.</w:t>
      </w:r>
    </w:p>
    <w:p>
      <w:pPr>
        <w:pStyle w:val="Heading1"/>
        <w:keepNext/>
        <w:spacing w:after="140" w:before="320"/>
      </w:pPr>
      <w:r>
        <w:rPr>
          <w:rFonts w:ascii="Calibri" w:cs="Calibri" w:eastAsia="Calibri" w:hAnsi="Calibri"/>
          <w:b/>
          <w:bCs/>
          <w:color w:val="1F3A5F"/>
          <w:sz w:val="30"/>
          <w:szCs w:val="30"/>
        </w:rPr>
        <w:t xml:space="preserve">4. Defending the estimate against the 18-month ceiling</w:t>
      </w:r>
    </w:p>
    <w:p>
      <w:pPr>
        <w:spacing w:after="120" w:line="276"/>
      </w:pPr>
      <w:r>
        <w:rPr>
          <w:rFonts w:ascii="Calibri" w:cs="Calibri" w:eastAsia="Calibri" w:hAnsi="Calibri"/>
          <w:sz w:val="20"/>
          <w:szCs w:val="20"/>
        </w:rPr>
        <w:t xml:space="preserve">The nominal COCOMO duration (16.5 months) is below 18, but it is </w:t>
      </w:r>
      <w:r>
        <w:rPr>
          <w:rFonts w:ascii="Calibri" w:cs="Calibri" w:eastAsia="Calibri" w:hAnsi="Calibri"/>
          <w:b/>
          <w:bCs/>
          <w:sz w:val="20"/>
          <w:szCs w:val="20"/>
        </w:rPr>
        <w:t xml:space="preserve">not</w:t>
      </w:r>
      <w:r>
        <w:rPr>
          <w:rFonts w:ascii="Calibri" w:cs="Calibri" w:eastAsia="Calibri" w:hAnsi="Calibri"/>
          <w:sz w:val="20"/>
          <w:szCs w:val="20"/>
        </w:rPr>
        <w:t xml:space="preserve"> the whole project. Basic COCOMO covers product design through integration and test; it excludes the plans-and-requirements phase that comes before. A simple add-up therefore reaches the ceiling with nothing to spare: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938"/>
      </w:tblGrid>
      <w:tr>
        <w:trPr>
          <w:tblHeader/>
        </w:trPr>
        <w:tc>
          <w:tcPr>
            <w:tcW w:type="dxa" w:w="4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Item</w:t>
            </w:r>
          </w:p>
        </w:tc>
        <w:tc>
          <w:tcPr>
            <w:tcW w:type="dxa" w:w="1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Months</w:t>
            </w:r>
          </w:p>
        </w:tc>
        <w:tc>
          <w:tcPr>
            <w:tcW w:type="dxa" w:w="39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Comment</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Plans and requirements phase</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1.5</w:t>
            </w:r>
          </w:p>
        </w:tc>
        <w:tc>
          <w:tcPr>
            <w:tcW w:type="dxa" w:w="3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Team allowance (about 10 % of the development duration); covers BRD, SRS, UML, plan.</w:t>
            </w:r>
          </w:p>
        </w:tc>
      </w:tr>
      <w:tr>
        <w:trPr>
          <w:cantSplit/>
        </w:trPr>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COCOMO development duration (nominal)</w:t>
            </w:r>
          </w:p>
        </w:tc>
        <w:tc>
          <w:tcPr>
            <w:tcW w:type="dxa" w:w="1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16.5</w:t>
            </w:r>
          </w:p>
        </w:tc>
        <w:tc>
          <w:tcPr>
            <w:tcW w:type="dxa" w:w="39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Product design to integration and test.</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Sequential total</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18.0</w:t>
            </w:r>
          </w:p>
        </w:tc>
        <w:tc>
          <w:tcPr>
            <w:tcW w:type="dxa" w:w="39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Zero schedule reserve</w:t>
            </w:r>
            <w:r>
              <w:rPr>
                <w:rFonts w:ascii="Calibri" w:cs="Calibri" w:eastAsia="Calibri" w:hAnsi="Calibri"/>
                <w:b w:val="false"/>
                <w:bCs w:val="false"/>
                <w:sz w:val="18"/>
                <w:szCs w:val="18"/>
              </w:rPr>
              <w:t xml:space="preserve"> – unacceptable for a project with a migration and 27 sites.</w:t>
            </w:r>
          </w:p>
        </w:tc>
      </w:tr>
    </w:tbl>
    <w:p>
      <w:pPr>
        <w:spacing w:after="100"/>
      </w:pPr>
    </w:p>
    <w:p>
      <w:pPr>
        <w:pStyle w:val="Heading2"/>
        <w:keepNext/>
        <w:spacing w:after="100" w:before="220"/>
      </w:pPr>
      <w:r>
        <w:rPr>
          <w:rFonts w:ascii="Calibri" w:cs="Calibri" w:eastAsia="Calibri" w:hAnsi="Calibri"/>
          <w:b/>
          <w:bCs/>
          <w:color w:val="1F3A5F"/>
          <w:sz w:val="24"/>
          <w:szCs w:val="24"/>
        </w:rPr>
        <w:t xml:space="preserve">4.1 Recommended response: planned schedule compression from day one</w:t>
      </w:r>
    </w:p>
    <w:p>
      <w:pPr>
        <w:spacing w:after="120" w:line="276"/>
      </w:pPr>
      <w:r>
        <w:rPr>
          <w:rFonts w:ascii="Calibri" w:cs="Calibri" w:eastAsia="Calibri" w:hAnsi="Calibri"/>
          <w:sz w:val="20"/>
          <w:szCs w:val="20"/>
        </w:rPr>
        <w:t xml:space="preserve">The SRS already commits to a </w:t>
      </w:r>
      <w:r>
        <w:rPr>
          <w:rFonts w:ascii="Calibri" w:cs="Calibri" w:eastAsia="Calibri" w:hAnsi="Calibri"/>
          <w:b/>
          <w:bCs/>
          <w:sz w:val="20"/>
          <w:szCs w:val="20"/>
        </w:rPr>
        <w:t xml:space="preserve">6-week schedule reserve</w:t>
      </w:r>
      <w:r>
        <w:rPr>
          <w:rFonts w:ascii="Calibri" w:cs="Calibri" w:eastAsia="Calibri" w:hAnsi="Calibri"/>
          <w:sz w:val="20"/>
          <w:szCs w:val="20"/>
        </w:rPr>
        <w:t xml:space="preserve"> inside the 18 months. To create it, the development schedule is compressed to </w:t>
      </w:r>
      <w:r>
        <w:rPr>
          <w:rFonts w:ascii="Calibri" w:cs="Calibri" w:eastAsia="Calibri" w:hAnsi="Calibri"/>
          <w:b/>
          <w:bCs/>
          <w:sz w:val="20"/>
          <w:szCs w:val="20"/>
        </w:rPr>
        <w:t xml:space="preserve">15.0 months</w:t>
      </w:r>
      <w:r>
        <w:rPr>
          <w:rFonts w:ascii="Calibri" w:cs="Calibri" w:eastAsia="Calibri" w:hAnsi="Calibri"/>
          <w:sz w:val="20"/>
          <w:szCs w:val="20"/>
        </w:rPr>
        <w:t xml:space="preserve">, which is 91 % of nominal. Boehm's Intermediate COCOMO prices schedule compression through the SCED driver: compressing to 85 % of nominal costs a factor of 1.08 in effort. Interpolating linearly for 91 %: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Step</w:t>
            </w:r>
          </w:p>
        </w:tc>
        <w:tc>
          <w:tcPr>
            <w:tcW w:type="dxa" w:w="54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Calculation</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Compression ratio</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15.0 ÷ 16.5 = 0.91</w:t>
            </w:r>
          </w:p>
        </w:tc>
      </w:tr>
      <w:tr>
        <w:trPr>
          <w:cantSplit/>
        </w:trPr>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Effort multiplier</w:t>
            </w:r>
          </w:p>
        </w:tc>
        <w:tc>
          <w:tcPr>
            <w:tcW w:type="dxa" w:w="5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 + (1 − 0.91) ÷ (1 − 0.85) × 0.08 = </w:t>
            </w:r>
            <w:r>
              <w:rPr>
                <w:rFonts w:ascii="Calibri" w:cs="Calibri" w:eastAsia="Calibri" w:hAnsi="Calibri"/>
                <w:b/>
                <w:bCs/>
                <w:sz w:val="18"/>
                <w:szCs w:val="18"/>
              </w:rPr>
              <w:t xml:space="preserve">1.048</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Baseline effort</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218.5 × 1.048 = </w:t>
            </w:r>
            <w:r>
              <w:rPr>
                <w:rFonts w:ascii="Calibri" w:cs="Calibri" w:eastAsia="Calibri" w:hAnsi="Calibri"/>
                <w:b/>
                <w:bCs/>
                <w:sz w:val="18"/>
                <w:szCs w:val="18"/>
              </w:rPr>
              <w:t xml:space="preserve">228.9 person-months</w:t>
            </w:r>
          </w:p>
        </w:tc>
      </w:tr>
      <w:tr>
        <w:trPr>
          <w:cantSplit/>
        </w:trPr>
        <w:tc>
          <w:tcPr>
            <w:tcW w:type="dxa" w:w="4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Baseline staffing</w:t>
            </w:r>
          </w:p>
        </w:tc>
        <w:tc>
          <w:tcPr>
            <w:tcW w:type="dxa" w:w="54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228.9 ÷ 15.0 = </w:t>
            </w:r>
            <w:r>
              <w:rPr>
                <w:rFonts w:ascii="Calibri" w:cs="Calibri" w:eastAsia="Calibri" w:hAnsi="Calibri"/>
                <w:b/>
                <w:bCs/>
                <w:sz w:val="18"/>
                <w:szCs w:val="18"/>
              </w:rPr>
              <w:t xml:space="preserve">15.3 people on average</w:t>
            </w:r>
          </w:p>
        </w:tc>
      </w:tr>
      <w:tr>
        <w:trPr>
          <w:cantSplit/>
        </w:trPr>
        <w:tc>
          <w:tcPr>
            <w:tcW w:type="dxa" w:w="4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Feasibility</w:t>
            </w:r>
          </w:p>
        </w:tc>
        <w:tc>
          <w:tcPr>
            <w:tcW w:type="dxa" w:w="54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Boehm's limit: a project cannot be compressed below about 75 % of nominal (here 12.4 months). 91 % is well inside the feasible range.</w:t>
            </w:r>
          </w:p>
        </w:tc>
      </w:tr>
    </w:tbl>
    <w:p>
      <w:pPr>
        <w:spacing w:after="100"/>
      </w:pPr>
    </w:p>
    <w:p>
      <w:pPr>
        <w:spacing w:after="40" w:before="80"/>
        <w:jc w:val="center"/>
      </w:pPr>
      <w:r>
        <w:drawing>
          <wp:inline distT="0" distB="0" distL="0" distR="0">
            <wp:extent cx="5715000" cy="1971675"/>
            <wp:effectExtent t="0" r="0" b="0" l="0"/>
            <wp:docPr id="1" name="schedule" descr="Schedule budget versus 18-month ceiling" title="Schedule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71675"/>
                    </a:xfrm>
                    <a:prstGeom prst="rect">
                      <a:avLst/>
                    </a:prstGeom>
                  </pic:spPr>
                </pic:pic>
              </a:graphicData>
            </a:graphic>
          </wp:inline>
        </w:drawing>
      </w:r>
    </w:p>
    <w:p>
      <w:pPr>
        <w:spacing w:after="120" w:line="276"/>
        <w:jc w:val="center"/>
      </w:pPr>
      <w:r>
        <w:rPr>
          <w:rFonts w:ascii="Calibri" w:cs="Calibri" w:eastAsia="Calibri" w:hAnsi="Calibri"/>
          <w:i/>
          <w:iCs/>
          <w:sz w:val="18"/>
          <w:szCs w:val="18"/>
        </w:rPr>
        <w:t xml:space="preserve">Figure E-1  Schedule budget: sequential nominal plan versus the recommended baseline with a 1.5-month (6-week) reserve.</w:t>
      </w:r>
    </w:p>
    <w:p>
      <w:pPr>
        <w:spacing w:after="120" w:line="276"/>
      </w:pPr>
      <w:r>
        <w:rPr>
          <w:rFonts w:ascii="Calibri" w:cs="Calibri" w:eastAsia="Calibri" w:hAnsi="Calibri"/>
          <w:b/>
          <w:bCs/>
          <w:sz w:val="20"/>
          <w:szCs w:val="20"/>
        </w:rPr>
        <w:t xml:space="preserve">Result:</w:t>
      </w:r>
      <w:r>
        <w:rPr>
          <w:rFonts w:ascii="Calibri" w:cs="Calibri" w:eastAsia="Calibri" w:hAnsi="Calibri"/>
          <w:sz w:val="20"/>
          <w:szCs w:val="20"/>
        </w:rPr>
        <w:t xml:space="preserve"> 1.5 + 15.0 + 1.5 = 18.0 months. The ceiling is met with a 6-week reserve, at the price of about 5 % more effort and about two more people than the nominal plan. Because the extra people are in the team </w:t>
      </w:r>
      <w:r>
        <w:rPr>
          <w:rFonts w:ascii="Calibri" w:cs="Calibri" w:eastAsia="Calibri" w:hAnsi="Calibri"/>
          <w:b/>
          <w:bCs/>
          <w:sz w:val="20"/>
          <w:szCs w:val="20"/>
        </w:rPr>
        <w:t xml:space="preserve">from the start</w:t>
      </w:r>
      <w:r>
        <w:rPr>
          <w:rFonts w:ascii="Calibri" w:cs="Calibri" w:eastAsia="Calibri" w:hAnsi="Calibri"/>
          <w:sz w:val="20"/>
          <w:szCs w:val="20"/>
        </w:rPr>
        <w:t xml:space="preserve">, this is planned compression, not the late staffing increase that Brooks's Law warns against (section 6).</w:t>
      </w:r>
    </w:p>
    <w:p>
      <w:pPr>
        <w:pStyle w:val="Heading1"/>
        <w:keepNext/>
        <w:spacing w:after="140" w:before="320"/>
      </w:pPr>
      <w:r>
        <w:rPr>
          <w:rFonts w:ascii="Calibri" w:cs="Calibri" w:eastAsia="Calibri" w:hAnsi="Calibri"/>
          <w:b/>
          <w:bCs/>
          <w:color w:val="1F3A5F"/>
          <w:sz w:val="30"/>
          <w:szCs w:val="30"/>
        </w:rPr>
        <w:t xml:space="preserve">5. Baseline effort and staffing profile</w:t>
      </w:r>
    </w:p>
    <w:p>
      <w:pPr>
        <w:spacing w:after="120" w:line="276"/>
      </w:pPr>
      <w:r>
        <w:rPr>
          <w:rFonts w:ascii="Calibri" w:cs="Calibri" w:eastAsia="Calibri" w:hAnsi="Calibri"/>
          <w:sz w:val="20"/>
          <w:szCs w:val="20"/>
        </w:rPr>
        <w:t xml:space="preserve">The effort is split across the three COCOMO phases using a planning split of 17 % design, 64 % programming (including unit test) and 19 % integration and test, informed by Boehm's phase distribution. Schedule is split 25 % / 50 % / 25 % as a team planning assumption. The Project Plan's resource histogram uses these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700"/>
        <w:gridCol w:w="1700"/>
        <w:gridCol w:w="1738"/>
      </w:tblGrid>
      <w:tr>
        <w:trPr>
          <w:tblHeader/>
        </w:trPr>
        <w:tc>
          <w:tcPr>
            <w:tcW w:type="dxa" w:w="31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Phase</w:t>
            </w:r>
          </w:p>
        </w:tc>
        <w:tc>
          <w:tcPr>
            <w:tcW w:type="dxa" w:w="14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Effort share</w:t>
            </w:r>
          </w:p>
        </w:tc>
        <w:tc>
          <w:tcPr>
            <w:tcW w:type="dxa" w:w="17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Effort (PM)</w:t>
            </w:r>
          </w:p>
        </w:tc>
        <w:tc>
          <w:tcPr>
            <w:tcW w:type="dxa" w:w="17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Duration (months)</w:t>
            </w:r>
          </w:p>
        </w:tc>
        <w:tc>
          <w:tcPr>
            <w:tcW w:type="dxa" w:w="17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Average staff</w:t>
            </w:r>
          </w:p>
        </w:tc>
      </w:tr>
      <w:tr>
        <w:trPr>
          <w:cantSplit/>
        </w:trPr>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Product design</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17 %</w:t>
            </w:r>
          </w:p>
        </w:tc>
        <w:tc>
          <w:tcPr>
            <w:tcW w:type="dxa" w:w="1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38.9</w:t>
            </w:r>
          </w:p>
        </w:tc>
        <w:tc>
          <w:tcPr>
            <w:tcW w:type="dxa" w:w="1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3.8</w:t>
            </w:r>
          </w:p>
        </w:tc>
        <w:tc>
          <w:tcPr>
            <w:tcW w:type="dxa" w:w="17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10.4</w:t>
            </w:r>
          </w:p>
        </w:tc>
      </w:tr>
      <w:tr>
        <w:trPr>
          <w:cantSplit/>
        </w:trPr>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Programming and unit test</w:t>
            </w:r>
          </w:p>
        </w:tc>
        <w:tc>
          <w:tcPr>
            <w:tcW w:type="dxa" w:w="1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64 %</w:t>
            </w:r>
          </w:p>
        </w:tc>
        <w:tc>
          <w:tcPr>
            <w:tcW w:type="dxa" w:w="1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146.5</w:t>
            </w:r>
          </w:p>
        </w:tc>
        <w:tc>
          <w:tcPr>
            <w:tcW w:type="dxa" w:w="1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7.5</w:t>
            </w:r>
          </w:p>
        </w:tc>
        <w:tc>
          <w:tcPr>
            <w:tcW w:type="dxa" w:w="17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19.5</w:t>
            </w:r>
          </w:p>
        </w:tc>
      </w:tr>
      <w:tr>
        <w:trPr>
          <w:cantSplit/>
        </w:trPr>
        <w:tc>
          <w:tcPr>
            <w:tcW w:type="dxa" w:w="31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Integration and system test</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19 %</w:t>
            </w:r>
          </w:p>
        </w:tc>
        <w:tc>
          <w:tcPr>
            <w:tcW w:type="dxa" w:w="1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43.5</w:t>
            </w:r>
          </w:p>
        </w:tc>
        <w:tc>
          <w:tcPr>
            <w:tcW w:type="dxa" w:w="17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3.8</w:t>
            </w:r>
          </w:p>
        </w:tc>
        <w:tc>
          <w:tcPr>
            <w:tcW w:type="dxa" w:w="17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11.6</w:t>
            </w:r>
          </w:p>
        </w:tc>
      </w:tr>
      <w:tr>
        <w:trPr>
          <w:cantSplit/>
        </w:trPr>
        <w:tc>
          <w:tcPr>
            <w:tcW w:type="dxa" w:w="31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Total</w:t>
            </w:r>
          </w:p>
        </w:tc>
        <w:tc>
          <w:tcPr>
            <w:tcW w:type="dxa" w:w="14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100 %</w:t>
            </w:r>
          </w:p>
        </w:tc>
        <w:tc>
          <w:tcPr>
            <w:tcW w:type="dxa" w:w="1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228.9</w:t>
            </w:r>
          </w:p>
        </w:tc>
        <w:tc>
          <w:tcPr>
            <w:tcW w:type="dxa" w:w="17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15.0</w:t>
            </w:r>
          </w:p>
        </w:tc>
        <w:tc>
          <w:tcPr>
            <w:tcW w:type="dxa" w:w="17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15.3</w:t>
            </w:r>
            <w:r>
              <w:rPr>
                <w:rFonts w:ascii="Calibri" w:cs="Calibri" w:eastAsia="Calibri" w:hAnsi="Calibri"/>
                <w:b w:val="false"/>
                <w:bCs w:val="false"/>
                <w:sz w:val="18"/>
                <w:szCs w:val="18"/>
              </w:rPr>
              <w:t xml:space="preserve"> (average)</w:t>
            </w:r>
          </w:p>
        </w:tc>
      </w:tr>
    </w:tbl>
    <w:p>
      <w:pPr>
        <w:spacing w:after="80" w:line="276"/>
      </w:pPr>
      <w:r>
        <w:rPr>
          <w:rFonts w:ascii="Calibri" w:cs="Calibri" w:eastAsia="Calibri" w:hAnsi="Calibri"/>
          <w:sz w:val="20"/>
          <w:szCs w:val="20"/>
        </w:rPr>
        <w:t xml:space="preserve">The programming phase peaks at about </w:t>
      </w:r>
      <w:r>
        <w:rPr>
          <w:rFonts w:ascii="Calibri" w:cs="Calibri" w:eastAsia="Calibri" w:hAnsi="Calibri"/>
          <w:b/>
          <w:bCs/>
          <w:sz w:val="20"/>
          <w:szCs w:val="20"/>
        </w:rPr>
        <w:t xml:space="preserve">20 people</w:t>
      </w:r>
      <w:r>
        <w:rPr>
          <w:rFonts w:ascii="Calibri" w:cs="Calibri" w:eastAsia="Calibri" w:hAnsi="Calibri"/>
          <w:sz w:val="20"/>
          <w:szCs w:val="20"/>
        </w:rPr>
        <w:t xml:space="preserve">. To keep communication manageable, the team is organised into four squads of about five (clinical core; prescribing and safety; lab, pharmacy and discharge; platform, security, audit and migration), plus a quality group that reports independently to the project manager.</w:t>
      </w:r>
    </w:p>
    <w:p>
      <w:pPr>
        <w:pStyle w:val="Heading1"/>
        <w:keepNext/>
        <w:spacing w:after="140" w:before="320"/>
      </w:pPr>
      <w:r>
        <w:rPr>
          <w:rFonts w:ascii="Calibri" w:cs="Calibri" w:eastAsia="Calibri" w:hAnsi="Calibri"/>
          <w:b/>
          <w:bCs/>
          <w:color w:val="1F3A5F"/>
          <w:sz w:val="30"/>
          <w:szCs w:val="30"/>
        </w:rPr>
        <w:t xml:space="preserve">6. Sanity check against Brooks's Law</w:t>
      </w:r>
    </w:p>
    <w:p>
      <w:pPr>
        <w:spacing w:after="120" w:line="276"/>
      </w:pPr>
      <w:r>
        <w:rPr>
          <w:rFonts w:ascii="Calibri" w:cs="Calibri" w:eastAsia="Calibri" w:hAnsi="Calibri"/>
          <w:sz w:val="20"/>
          <w:szCs w:val="20"/>
        </w:rPr>
        <w:t xml:space="preserve">Brooks's Law: </w:t>
      </w:r>
      <w:r>
        <w:rPr>
          <w:rFonts w:ascii="Calibri" w:cs="Calibri" w:eastAsia="Calibri" w:hAnsi="Calibri"/>
          <w:b/>
          <w:bCs/>
          <w:sz w:val="20"/>
          <w:szCs w:val="20"/>
        </w:rPr>
        <w:t xml:space="preserve">adding people to a late software project makes it later</w:t>
      </w:r>
      <w:r>
        <w:rPr>
          <w:rFonts w:ascii="Calibri" w:cs="Calibri" w:eastAsia="Calibri" w:hAnsi="Calibri"/>
          <w:sz w:val="20"/>
          <w:szCs w:val="20"/>
        </w:rPr>
        <w:t xml:space="preserve">, because new people need training and the number of communication paths grows as n(n − 1) ÷ 2. Three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tblHeader/>
        </w:trPr>
        <w:tc>
          <w:tcPr>
            <w:tcW w:type="dxa" w:w="33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Check</w:t>
            </w:r>
          </w:p>
        </w:tc>
        <w:tc>
          <w:tcPr>
            <w:tcW w:type="dxa" w:w="3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Numbers</w:t>
            </w:r>
          </w:p>
        </w:tc>
        <w:tc>
          <w:tcPr>
            <w:tcW w:type="dxa" w:w="31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Conclusion</w:t>
            </w:r>
          </w:p>
        </w:tc>
      </w:tr>
      <w:tr>
        <w:trPr>
          <w:cantSplit/>
        </w:trPr>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Can we simply buy time with people? (target 12 months)</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218.5 ÷ 12 = 18.2 people; the COCOMO limit is 12.4 months</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feasible: 12 months is below the 75 % limit, and the team would almost double.</w:t>
            </w:r>
          </w:p>
        </w:tc>
      </w:tr>
      <w:tr>
        <w:trPr>
          <w:cantSplit/>
        </w:trPr>
        <w:tc>
          <w:tcPr>
            <w:tcW w:type="dxa" w:w="3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Communication paths</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13 people: 78 · 15: 105 · 20: 190</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Paths grow faster than headcount (13 → 20 is +54 % people, +144 % paths), hence the squad structure.</w:t>
            </w:r>
          </w:p>
        </w:tc>
      </w:tr>
      <w:tr>
        <w:trPr>
          <w:cantSplit/>
        </w:trPr>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Late rescue: add 5 people at month 9 of 15</w:t>
            </w:r>
          </w:p>
        </w:tc>
        <w:tc>
          <w:tcPr>
            <w:tcW w:type="dxa" w:w="3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15 → 20 people; paths 105 → 190 (+81 %); new people need weeks of ramp-up</w:t>
            </w:r>
          </w:p>
        </w:tc>
        <w:tc>
          <w:tcPr>
            <w:tcW w:type="dxa" w:w="31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a valid recovery plan. Recovery is by scope control (MoSCoW) and the reserve, not headcount.</w:t>
            </w:r>
          </w:p>
        </w:tc>
      </w:tr>
      <w:tr>
        <w:trPr>
          <w:cantSplit/>
        </w:trPr>
        <w:tc>
          <w:tcPr>
            <w:tcW w:type="dxa" w:w="3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Is the baseline compression Brooks-safe?</w:t>
            </w:r>
          </w:p>
        </w:tc>
        <w:tc>
          <w:tcPr>
            <w:tcW w:type="dxa" w:w="3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Staff added from month 1; 91 % of nominal schedule</w:t>
            </w:r>
          </w:p>
        </w:tc>
        <w:tc>
          <w:tcPr>
            <w:tcW w:type="dxa" w:w="31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Yes: planned early, inside the feasible range.</w:t>
            </w:r>
          </w:p>
        </w:tc>
      </w:tr>
    </w:tbl>
    <w:p>
      <w:pPr>
        <w:spacing w:after="100"/>
      </w:pPr>
    </w:p>
    <w:p>
      <w:pPr>
        <w:spacing w:after="120" w:line="276"/>
      </w:pPr>
      <w:r>
        <w:rPr>
          <w:rFonts w:ascii="Calibri" w:cs="Calibri" w:eastAsia="Calibri" w:hAnsi="Calibri"/>
          <w:b/>
          <w:bCs/>
          <w:sz w:val="20"/>
          <w:szCs w:val="20"/>
        </w:rPr>
        <w:t xml:space="preserve">Brooks's rule of thumb for time allocation</w:t>
      </w:r>
      <w:r>
        <w:rPr>
          <w:rFonts w:ascii="Calibri" w:cs="Calibri" w:eastAsia="Calibri" w:hAnsi="Calibri"/>
          <w:sz w:val="20"/>
          <w:szCs w:val="20"/>
        </w:rPr>
        <w:t xml:space="preserve"> (about one-third planning, one-sixth coding, one-half testing) says testing deserves far more time than coding. The planning rule for MediTrack is that verification activities (unit, integration, system, migration dry runs, and the safety gate) take roughly 40 % or more of the effort. This is detailed in the Test Plan and Project Plan.</w:t>
      </w:r>
    </w:p>
    <w:p>
      <w:pPr>
        <w:pStyle w:val="Heading1"/>
        <w:keepNext/>
        <w:spacing w:after="140" w:before="320"/>
      </w:pPr>
      <w:r>
        <w:rPr>
          <w:rFonts w:ascii="Calibri" w:cs="Calibri" w:eastAsia="Calibri" w:hAnsi="Calibri"/>
          <w:b/>
          <w:bCs/>
          <w:color w:val="1F3A5F"/>
          <w:sz w:val="30"/>
          <w:szCs w:val="30"/>
        </w:rPr>
        <w:t xml:space="preserve">7. What COCOMO does not capture</w:t>
      </w:r>
    </w:p>
    <w:p>
      <w:pPr>
        <w:spacing w:after="120" w:line="276"/>
      </w:pPr>
      <w:r>
        <w:rPr>
          <w:rFonts w:ascii="Calibri" w:cs="Calibri" w:eastAsia="Calibri" w:hAnsi="Calibri"/>
          <w:sz w:val="20"/>
          <w:szCs w:val="20"/>
        </w:rPr>
        <w:t xml:space="preserve">Basic COCOMO estimates only the development of the 46 KLOC product. The case study explicitly asks us to say what it leaves out. The table gives each omission, whether it is on the critical path, and an </w:t>
      </w:r>
      <w:r>
        <w:rPr>
          <w:rFonts w:ascii="Calibri" w:cs="Calibri" w:eastAsia="Calibri" w:hAnsi="Calibri"/>
          <w:b/>
          <w:bCs/>
          <w:sz w:val="20"/>
          <w:szCs w:val="20"/>
        </w:rPr>
        <w:t xml:space="preserve">indicative allowance (team assumption)</w:t>
      </w:r>
      <w:r>
        <w:rPr>
          <w:rFonts w:ascii="Calibri" w:cs="Calibri" w:eastAsia="Calibri" w:hAnsi="Calibri"/>
          <w:sz w:val="20"/>
          <w:szCs w:val="20"/>
        </w:rPr>
        <w:t xml:space="preserve"> so that the omission is visible rather than ignored.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838"/>
      </w:tblGrid>
      <w:tr>
        <w:trPr>
          <w:tblHeader/>
        </w:trPr>
        <w:tc>
          <w:tcPr>
            <w:tcW w:type="dxa" w:w="22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Not captured</w:t>
            </w:r>
          </w:p>
        </w:tc>
        <w:tc>
          <w:tcPr>
            <w:tcW w:type="dxa" w:w="3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Why it matters for MediTrack</w:t>
            </w:r>
          </w:p>
        </w:tc>
        <w:tc>
          <w:tcPr>
            <w:tcW w:type="dxa" w:w="2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Allowance (assumption)</w:t>
            </w:r>
          </w:p>
        </w:tc>
        <w:tc>
          <w:tcPr>
            <w:tcW w:type="dxa" w:w="18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Who does it</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Plans and requirements phase</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Excluded from Basic COCOMO; covers BRD, SRS, UML, UI, plan.</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8 % × 218.5 = </w:t>
            </w:r>
            <w:r>
              <w:rPr>
                <w:rFonts w:ascii="Calibri" w:cs="Calibri" w:eastAsia="Calibri" w:hAnsi="Calibri"/>
                <w:b/>
                <w:bCs/>
                <w:sz w:val="18"/>
                <w:szCs w:val="18"/>
              </w:rPr>
              <w:t xml:space="preserve">17.5 PM</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team</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Migration engineering</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Extract, transform and load tools, quarantine store, three dry runs and reconciliation for 2.4 M rows.</w:t>
            </w:r>
          </w:p>
        </w:tc>
        <w:tc>
          <w:tcPr>
            <w:tcW w:type="dxa" w:w="2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12 PM</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team (platform squad)</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Migration data review</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About 168,000 malformed or duplicate rows need a person to decide. At 3 min a row: 168,000 × 3 ÷ 60 = 8,400 h ÷ 140 h per PM = </w:t>
            </w:r>
            <w:r>
              <w:rPr>
                <w:rFonts w:ascii="Calibri" w:cs="Calibri" w:eastAsia="Calibri" w:hAnsi="Calibri"/>
                <w:b/>
                <w:bCs/>
                <w:sz w:val="18"/>
                <w:szCs w:val="18"/>
              </w:rPr>
              <w:t xml:space="preserve">60 PM</w:t>
            </w:r>
            <w:r>
              <w:rPr>
                <w:rFonts w:ascii="Calibri" w:cs="Calibri" w:eastAsia="Calibri" w:hAnsi="Calibri"/>
                <w:b w:val="false"/>
                <w:bCs w:val="false"/>
                <w:sz w:val="18"/>
                <w:szCs w:val="18"/>
              </w:rPr>
              <w:t xml:space="preserve"> (range 40–100 PM for 2–5 min a row).</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60 PM</w:t>
            </w:r>
            <w:r>
              <w:rPr>
                <w:rFonts w:ascii="Calibri" w:cs="Calibri" w:eastAsia="Calibri" w:hAnsi="Calibri"/>
                <w:b w:val="false"/>
                <w:bCs w:val="false"/>
                <w:sz w:val="18"/>
                <w:szCs w:val="18"/>
              </w:rPr>
              <w:t xml:space="preserve"> (hospital staff)</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Data stewards at the hospitals; </w:t>
            </w:r>
            <w:r>
              <w:rPr>
                <w:rFonts w:ascii="Calibri" w:cs="Calibri" w:eastAsia="Calibri" w:hAnsi="Calibri"/>
                <w:b/>
                <w:bCs/>
                <w:sz w:val="18"/>
                <w:szCs w:val="18"/>
              </w:rPr>
              <w:t xml:space="preserve">not</w:t>
            </w:r>
            <w:r>
              <w:rPr>
                <w:rFonts w:ascii="Calibri" w:cs="Calibri" w:eastAsia="Calibri" w:hAnsi="Calibri"/>
                <w:b w:val="false"/>
                <w:bCs w:val="false"/>
                <w:sz w:val="18"/>
                <w:szCs w:val="18"/>
              </w:rPr>
              <w:t xml:space="preserve"> the dev team</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Training and go-live support</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20-minute nurse training plus role training at 27 sites; floor-walking at go-live.</w:t>
            </w:r>
          </w:p>
        </w:tc>
        <w:tc>
          <w:tcPr>
            <w:tcW w:type="dxa" w:w="2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27 sites × 5 trainer-days = 135 days ÷ 21 = </w:t>
            </w:r>
            <w:r>
              <w:rPr>
                <w:rFonts w:ascii="Calibri" w:cs="Calibri" w:eastAsia="Calibri" w:hAnsi="Calibri"/>
                <w:b/>
                <w:bCs/>
                <w:sz w:val="18"/>
                <w:szCs w:val="18"/>
              </w:rPr>
              <w:t xml:space="preserve">6.4 PM</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Training team</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Clinical content</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Formulary limits and interaction rules from the P&amp;T committee (SRS A-2).</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sized; dependency</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P&amp;T committee</w:t>
            </w:r>
          </w:p>
        </w:tc>
      </w:tr>
      <w:tr>
        <w:trPr>
          <w:cantSplit/>
        </w:trPr>
        <w:tc>
          <w:tcPr>
            <w:tcW w:type="dxa" w:w="22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Infrastructure and licences</w:t>
            </w:r>
          </w:p>
        </w:tc>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Data centres, standby, VPN, backup vault, scanners.</w:t>
            </w:r>
          </w:p>
        </w:tc>
        <w:tc>
          <w:tcPr>
            <w:tcW w:type="dxa" w:w="2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Not sized; priced by IT</w:t>
            </w:r>
          </w:p>
        </w:tc>
        <w:tc>
          <w:tcPr>
            <w:tcW w:type="dxa" w:w="18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IT / procurement</w:t>
            </w:r>
          </w:p>
        </w:tc>
      </w:tr>
      <w:tr>
        <w:trPr>
          <w:cantSplit/>
        </w:trPr>
        <w:tc>
          <w:tcPr>
            <w:tcW w:type="dxa" w:w="22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Hardware procurement lead times, vendor delays</w:t>
            </w:r>
          </w:p>
        </w:tc>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Can delay site roll-out.</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Covered by reserve and the Risk Register</w:t>
            </w:r>
          </w:p>
        </w:tc>
        <w:tc>
          <w:tcPr>
            <w:tcW w:type="dxa" w:w="18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IT / procurement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300"/>
        <w:gridCol w:w="2338"/>
      </w:tblGrid>
      <w:tr>
        <w:trPr>
          <w:tblHeader/>
        </w:trPr>
        <w:tc>
          <w:tcPr>
            <w:tcW w:type="dxa" w:w="5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Programme effort summary</w:t>
            </w:r>
          </w:p>
        </w:tc>
        <w:tc>
          <w:tcPr>
            <w:tcW w:type="dxa" w:w="23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Person-months</w:t>
            </w:r>
          </w:p>
        </w:tc>
        <w:tc>
          <w:tcPr>
            <w:tcW w:type="dxa" w:w="23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Notes</w:t>
            </w:r>
          </w:p>
        </w:tc>
      </w:tr>
      <w:tr>
        <w:trPr>
          <w:cantSplit/>
        </w:trPr>
        <w:tc>
          <w:tcPr>
            <w:tcW w:type="dxa" w:w="5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Development (baseline, compressed)</w:t>
            </w:r>
          </w:p>
        </w:tc>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228.9</w:t>
            </w:r>
          </w:p>
        </w:tc>
        <w:tc>
          <w:tcPr>
            <w:tcW w:type="dxa" w:w="2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Section 5</w:t>
            </w:r>
          </w:p>
        </w:tc>
      </w:tr>
      <w:tr>
        <w:trPr>
          <w:cantSplit/>
        </w:trPr>
        <w:tc>
          <w:tcPr>
            <w:tcW w:type="dxa" w:w="5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Plans and requirements</w:t>
            </w:r>
          </w:p>
        </w:tc>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17.5</w:t>
            </w:r>
          </w:p>
        </w:tc>
        <w:tc>
          <w:tcPr>
            <w:tcW w:type="dxa" w:w="2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Allowance</w:t>
            </w:r>
          </w:p>
        </w:tc>
      </w:tr>
      <w:tr>
        <w:trPr>
          <w:cantSplit/>
        </w:trPr>
        <w:tc>
          <w:tcPr>
            <w:tcW w:type="dxa" w:w="5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Migration engineering</w:t>
            </w:r>
          </w:p>
        </w:tc>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12.0</w:t>
            </w:r>
          </w:p>
        </w:tc>
        <w:tc>
          <w:tcPr>
            <w:tcW w:type="dxa" w:w="23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Allowance</w:t>
            </w:r>
          </w:p>
        </w:tc>
      </w:tr>
      <w:tr>
        <w:trPr>
          <w:cantSplit/>
        </w:trPr>
        <w:tc>
          <w:tcPr>
            <w:tcW w:type="dxa" w:w="5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Training and go-live support</w:t>
            </w:r>
          </w:p>
        </w:tc>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6.4</w:t>
            </w:r>
          </w:p>
        </w:tc>
        <w:tc>
          <w:tcPr>
            <w:tcW w:type="dxa" w:w="2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Allowance</w:t>
            </w:r>
          </w:p>
        </w:tc>
      </w:tr>
      <w:tr>
        <w:trPr>
          <w:cantSplit/>
        </w:trPr>
        <w:tc>
          <w:tcPr>
            <w:tcW w:type="dxa" w:w="50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Project-team total</w:t>
            </w:r>
          </w:p>
        </w:tc>
        <w:tc>
          <w:tcPr>
            <w:tcW w:type="dxa" w:w="23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264.8</w:t>
            </w:r>
          </w:p>
        </w:tc>
        <w:tc>
          <w:tcPr>
            <w:tcW w:type="dxa" w:w="2338"/>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 265 PM</w:t>
            </w:r>
          </w:p>
        </w:tc>
      </w:tr>
      <w:tr>
        <w:trPr>
          <w:cantSplit/>
        </w:trPr>
        <w:tc>
          <w:tcPr>
            <w:tcW w:type="dxa" w:w="5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Hospital data-steward review</w:t>
            </w:r>
          </w:p>
        </w:tc>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60.0</w:t>
            </w:r>
          </w:p>
        </w:tc>
        <w:tc>
          <w:tcPr>
            <w:tcW w:type="dxa" w:w="23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Outside the project team; range 40–100</w:t>
            </w:r>
          </w:p>
        </w:tc>
      </w:tr>
    </w:tbl>
    <w:p>
      <w:pPr>
        <w:spacing w:after="80" w:line="276"/>
      </w:pPr>
      <w:r>
        <w:rPr>
          <w:rFonts w:ascii="Calibri" w:cs="Calibri" w:eastAsia="Calibri" w:hAnsi="Calibri"/>
          <w:sz w:val="20"/>
          <w:szCs w:val="20"/>
        </w:rPr>
        <w:t xml:space="preserve">The migration and training items run in </w:t>
      </w:r>
      <w:r>
        <w:rPr>
          <w:rFonts w:ascii="Calibri" w:cs="Calibri" w:eastAsia="Calibri" w:hAnsi="Calibri"/>
          <w:b/>
          <w:bCs/>
          <w:sz w:val="20"/>
          <w:szCs w:val="20"/>
        </w:rPr>
        <w:t xml:space="preserve">parallel tracks</w:t>
      </w:r>
      <w:r>
        <w:rPr>
          <w:rFonts w:ascii="Calibri" w:cs="Calibri" w:eastAsia="Calibri" w:hAnsi="Calibri"/>
          <w:sz w:val="20"/>
          <w:szCs w:val="20"/>
        </w:rPr>
        <w:t xml:space="preserve"> by separate people and are not on the development critical path, which is why they do not extend the 15-month development schedule. The data-steward review does need clinical staff to be released from their normal work, and is an explicit dependency in the Project Plan and Risk Register.</w:t>
      </w:r>
    </w:p>
    <w:p>
      <w:pPr>
        <w:pStyle w:val="Heading1"/>
        <w:keepNext/>
        <w:spacing w:after="140" w:before="320"/>
      </w:pPr>
      <w:r>
        <w:rPr>
          <w:rFonts w:ascii="Calibri" w:cs="Calibri" w:eastAsia="Calibri" w:hAnsi="Calibri"/>
          <w:b/>
          <w:bCs/>
          <w:color w:val="1F3A5F"/>
          <w:sz w:val="30"/>
          <w:szCs w:val="30"/>
        </w:rPr>
        <w:t xml:space="preserve">8. Model uncertainty and sensitivity</w:t>
      </w:r>
    </w:p>
    <w:p>
      <w:pPr>
        <w:pStyle w:val="Heading2"/>
        <w:keepNext/>
        <w:spacing w:after="100" w:before="220"/>
      </w:pPr>
      <w:r>
        <w:rPr>
          <w:rFonts w:ascii="Calibri" w:cs="Calibri" w:eastAsia="Calibri" w:hAnsi="Calibri"/>
          <w:b/>
          <w:bCs/>
          <w:color w:val="1F3A5F"/>
          <w:sz w:val="24"/>
          <w:szCs w:val="24"/>
        </w:rPr>
        <w:t xml:space="preserve">8.1 Size sensitivity (semi-detached, nominal)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900"/>
        <w:gridCol w:w="1900"/>
        <w:gridCol w:w="2038"/>
      </w:tblGrid>
      <w:tr>
        <w:trPr>
          <w:tblHeader/>
        </w:trPr>
        <w:tc>
          <w:tcPr>
            <w:tcW w:type="dxa" w:w="23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Case</w:t>
            </w:r>
          </w:p>
        </w:tc>
        <w:tc>
          <w:tcPr>
            <w:tcW w:type="dxa" w:w="15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Size (KLOC)</w:t>
            </w:r>
          </w:p>
        </w:tc>
        <w:tc>
          <w:tcPr>
            <w:tcW w:type="dxa" w:w="1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Effort (PM)</w:t>
            </w:r>
          </w:p>
        </w:tc>
        <w:tc>
          <w:tcPr>
            <w:tcW w:type="dxa" w:w="19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Duration (months)</w:t>
            </w:r>
          </w:p>
        </w:tc>
        <w:tc>
          <w:tcPr>
            <w:tcW w:type="dxa" w:w="20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Average staff</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−20 %</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36.8</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170.2</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15.1</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11.3</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−10 %</w:t>
            </w:r>
          </w:p>
        </w:tc>
        <w:tc>
          <w:tcPr>
            <w:tcW w:type="dxa" w:w="1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41.4</w:t>
            </w:r>
          </w:p>
        </w:tc>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194.2</w:t>
            </w:r>
          </w:p>
        </w:tc>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15.8</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12.3</w:t>
            </w:r>
          </w:p>
        </w:tc>
      </w:tr>
      <w:tr>
        <w:trPr>
          <w:cantSplit/>
        </w:trPr>
        <w:tc>
          <w:tcPr>
            <w:tcW w:type="dxa" w:w="23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Estimate</w:t>
            </w:r>
          </w:p>
        </w:tc>
        <w:tc>
          <w:tcPr>
            <w:tcW w:type="dxa" w:w="15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sz w:val="18"/>
                <w:szCs w:val="18"/>
              </w:rPr>
              <w:t xml:space="preserve">46.0</w:t>
            </w:r>
          </w:p>
        </w:tc>
        <w:tc>
          <w:tcPr>
            <w:tcW w:type="dxa" w:w="19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sz w:val="18"/>
                <w:szCs w:val="18"/>
              </w:rPr>
              <w:t xml:space="preserve">218.5</w:t>
            </w:r>
          </w:p>
        </w:tc>
        <w:tc>
          <w:tcPr>
            <w:tcW w:type="dxa" w:w="1900"/>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sz w:val="18"/>
                <w:szCs w:val="18"/>
              </w:rPr>
              <w:t xml:space="preserve">16.5</w:t>
            </w:r>
          </w:p>
        </w:tc>
        <w:tc>
          <w:tcPr>
            <w:tcW w:type="dxa" w:w="2038"/>
            <w:tcBorders>
              <w:top w:val="single" w:color="BFC9D1" w:sz="4"/>
              <w:left w:val="single" w:color="BFC9D1" w:sz="4"/>
              <w:bottom w:val="single" w:color="BFC9D1" w:sz="4"/>
              <w:right w:val="single" w:color="BFC9D1" w:sz="4"/>
            </w:tcBorders>
            <w:shd w:fill="E8F3F5" w:color="auto" w:val="clear"/>
            <w:tcMar>
              <w:top w:type="dxa" w:w="70"/>
              <w:left w:type="dxa" w:w="110"/>
              <w:bottom w:type="dxa" w:w="70"/>
              <w:right w:type="dxa" w:w="110"/>
            </w:tcMar>
          </w:tcPr>
          <w:p>
            <w:pPr>
              <w:spacing w:after="40"/>
            </w:pPr>
            <w:r>
              <w:rPr>
                <w:rFonts w:ascii="Calibri" w:cs="Calibri" w:eastAsia="Calibri" w:hAnsi="Calibri"/>
                <w:sz w:val="18"/>
                <w:szCs w:val="18"/>
              </w:rPr>
              <w:t xml:space="preserve">13.3</w:t>
            </w:r>
          </w:p>
        </w:tc>
      </w:tr>
      <w:tr>
        <w:trPr>
          <w:cantSplit/>
        </w:trPr>
        <w:tc>
          <w:tcPr>
            <w:tcW w:type="dxa" w:w="23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+10 %</w:t>
            </w:r>
          </w:p>
        </w:tc>
        <w:tc>
          <w:tcPr>
            <w:tcW w:type="dxa" w:w="15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50.6</w:t>
            </w:r>
          </w:p>
        </w:tc>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243.1</w:t>
            </w:r>
          </w:p>
        </w:tc>
        <w:tc>
          <w:tcPr>
            <w:tcW w:type="dxa" w:w="19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17.1</w:t>
            </w:r>
          </w:p>
        </w:tc>
        <w:tc>
          <w:tcPr>
            <w:tcW w:type="dxa" w:w="2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14.2</w:t>
            </w:r>
          </w:p>
        </w:tc>
      </w:tr>
      <w:tr>
        <w:trPr>
          <w:cantSpli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+20 %</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55.2</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268.0</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17.7</w:t>
            </w:r>
          </w:p>
        </w:tc>
        <w:tc>
          <w:tcPr>
            <w:tcW w:type="dxa" w:w="2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15.1</w:t>
            </w:r>
          </w:p>
        </w:tc>
      </w:tr>
    </w:tbl>
    <w:p>
      <w:pPr>
        <w:spacing w:after="80" w:line="276"/>
      </w:pPr>
      <w:r>
        <w:rPr>
          <w:rFonts w:ascii="Calibri" w:cs="Calibri" w:eastAsia="Calibri" w:hAnsi="Calibri"/>
          <w:sz w:val="20"/>
          <w:szCs w:val="20"/>
        </w:rPr>
        <w:t xml:space="preserve">A 20 % size overrun adds about 1.2 months to the nominal duration, which is within the 1.5-month reserve but leaves almost nothing for anything else. Size growth is therefore watched through the MoSCoW rule: Could, then Should, never Must.</w:t>
      </w:r>
    </w:p>
    <w:p>
      <w:pPr>
        <w:pStyle w:val="Heading2"/>
        <w:keepNext/>
        <w:spacing w:after="100" w:before="220"/>
      </w:pPr>
      <w:r>
        <w:rPr>
          <w:rFonts w:ascii="Calibri" w:cs="Calibri" w:eastAsia="Calibri" w:hAnsi="Calibri"/>
          <w:b/>
          <w:bCs/>
          <w:color w:val="1F3A5F"/>
          <w:sz w:val="24"/>
          <w:szCs w:val="24"/>
        </w:rPr>
        <w:t xml:space="preserve">8.2 Intermediate COCOMO downside scenario</w:t>
      </w:r>
    </w:p>
    <w:p>
      <w:pPr>
        <w:spacing w:after="120" w:line="276"/>
      </w:pPr>
      <w:r>
        <w:rPr>
          <w:rFonts w:ascii="Calibri" w:cs="Calibri" w:eastAsia="Calibri" w:hAnsi="Calibri"/>
          <w:sz w:val="20"/>
          <w:szCs w:val="20"/>
        </w:rPr>
        <w:t xml:space="preserve">The case study requires the Basic model, and the baseline above uses it. A more detailed Intermediate rating is a useful warning, though. Rating required reliability as very high (1.40), database size as high (1.08) and product complexity as high (1.15), and everything else nominal for a medium-experienced team, gives an effort adjustment factor of 1.40 × 1.08 × 1.15 = </w:t>
      </w:r>
      <w:r>
        <w:rPr>
          <w:rFonts w:ascii="Calibri" w:cs="Calibri" w:eastAsia="Calibri" w:hAnsi="Calibri"/>
          <w:b/>
          <w:bCs/>
          <w:sz w:val="20"/>
          <w:szCs w:val="20"/>
        </w:rPr>
        <w:t xml:space="preserve">1.74</w:t>
      </w:r>
      <w:r>
        <w:rPr>
          <w:rFonts w:ascii="Calibri" w:cs="Calibri" w:eastAsia="Calibri" w:hAnsi="Calibri"/>
          <w:sz w:val="20"/>
          <w:szCs w:val="20"/>
        </w:rPr>
        <w:t xml:space="preserve">. Effort becomes </w:t>
      </w:r>
      <w:r>
        <w:rPr>
          <w:rFonts w:ascii="Calibri" w:cs="Calibri" w:eastAsia="Calibri" w:hAnsi="Calibri"/>
          <w:b/>
          <w:bCs/>
          <w:sz w:val="20"/>
          <w:szCs w:val="20"/>
        </w:rPr>
        <w:t xml:space="preserve">379.9 PM</w:t>
      </w:r>
      <w:r>
        <w:rPr>
          <w:rFonts w:ascii="Calibri" w:cs="Calibri" w:eastAsia="Calibri" w:hAnsi="Calibri"/>
          <w:sz w:val="20"/>
          <w:szCs w:val="20"/>
        </w:rPr>
        <w:t xml:space="preserve">, duration </w:t>
      </w:r>
      <w:r>
        <w:rPr>
          <w:rFonts w:ascii="Calibri" w:cs="Calibri" w:eastAsia="Calibri" w:hAnsi="Calibri"/>
          <w:b/>
          <w:bCs/>
          <w:sz w:val="20"/>
          <w:szCs w:val="20"/>
        </w:rPr>
        <w:t xml:space="preserve">20.0 months</w:t>
      </w:r>
      <w:r>
        <w:rPr>
          <w:rFonts w:ascii="Calibri" w:cs="Calibri" w:eastAsia="Calibri" w:hAnsi="Calibri"/>
          <w:sz w:val="20"/>
          <w:szCs w:val="20"/>
        </w:rPr>
        <w:t xml:space="preserve"> and staffing about </w:t>
      </w:r>
      <w:r>
        <w:rPr>
          <w:rFonts w:ascii="Calibri" w:cs="Calibri" w:eastAsia="Calibri" w:hAnsi="Calibri"/>
          <w:b/>
          <w:bCs/>
          <w:sz w:val="20"/>
          <w:szCs w:val="20"/>
        </w:rPr>
        <w:t xml:space="preserve">19.0</w:t>
      </w:r>
      <w:r>
        <w:rPr>
          <w:rFonts w:ascii="Calibri" w:cs="Calibri" w:eastAsia="Calibri" w:hAnsi="Calibri"/>
          <w:sz w:val="20"/>
          <w:szCs w:val="20"/>
        </w:rPr>
        <w:t xml:space="preserve"> people.</w:t>
      </w:r>
    </w:p>
    <w:p>
      <w:pPr>
        <w:spacing w:after="120" w:line="276"/>
      </w:pPr>
      <w:r>
        <w:rPr>
          <w:rFonts w:ascii="Calibri" w:cs="Calibri" w:eastAsia="Calibri" w:hAnsi="Calibri"/>
          <w:b/>
          <w:bCs/>
          <w:sz w:val="20"/>
          <w:szCs w:val="20"/>
        </w:rPr>
        <w:t xml:space="preserve">Reading of this result.</w:t>
      </w:r>
      <w:r>
        <w:rPr>
          <w:rFonts w:ascii="Calibri" w:cs="Calibri" w:eastAsia="Calibri" w:hAnsi="Calibri"/>
          <w:sz w:val="20"/>
          <w:szCs w:val="20"/>
        </w:rPr>
        <w:t xml:space="preserve"> It does not replace the baseline, but it tells us the baseline is </w:t>
      </w:r>
      <w:r>
        <w:rPr>
          <w:rFonts w:ascii="Calibri" w:cs="Calibri" w:eastAsia="Calibri" w:hAnsi="Calibri"/>
          <w:b/>
          <w:bCs/>
          <w:sz w:val="20"/>
          <w:szCs w:val="20"/>
        </w:rPr>
        <w:t xml:space="preserve">optimistic if the safety and data drivers hurt as much as the model says</w:t>
      </w:r>
      <w:r>
        <w:rPr>
          <w:rFonts w:ascii="Calibri" w:cs="Calibri" w:eastAsia="Calibri" w:hAnsi="Calibri"/>
          <w:sz w:val="20"/>
          <w:szCs w:val="20"/>
        </w:rPr>
        <w:t xml:space="preserve">, putting the 18-month ceiling at risk by about two months. We respond in three ways, all recorded in the Risk Register: (1) an estimation-risk entry with a trigger, namely effort more than 10 % over plan in two consecutive monthly reviews; (2) the pre-agreed scope-control rule; (3) early escalation to the CFO with a re-baseline decision rather than late surprise. The CFO should be told this now, not at month 12.</w:t>
      </w:r>
    </w:p>
    <w:p>
      <w:pPr>
        <w:pStyle w:val="Heading1"/>
        <w:keepNext/>
        <w:spacing w:after="140" w:before="320"/>
      </w:pPr>
      <w:r>
        <w:rPr>
          <w:rFonts w:ascii="Calibri" w:cs="Calibri" w:eastAsia="Calibri" w:hAnsi="Calibri"/>
          <w:b/>
          <w:bCs/>
          <w:color w:val="1F3A5F"/>
          <w:sz w:val="30"/>
          <w:szCs w:val="30"/>
        </w:rPr>
        <w:t xml:space="preserve">9. Cost conversion</w:t>
      </w:r>
    </w:p>
    <w:p>
      <w:pPr>
        <w:spacing w:after="120" w:line="276"/>
      </w:pPr>
      <w:r>
        <w:rPr>
          <w:rFonts w:ascii="Calibri" w:cs="Calibri" w:eastAsia="Calibri" w:hAnsi="Calibri"/>
          <w:sz w:val="20"/>
          <w:szCs w:val="20"/>
        </w:rPr>
        <w:t xml:space="preserve">The case study gives no salary or budget figure, so no rupee amount is asserted. Cost is obtained by multiplying person-months by an agreed loaded monthly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tblHeader/>
        </w:trPr>
        <w:tc>
          <w:tcPr>
            <w:tcW w:type="dxa" w:w="3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Item</w:t>
            </w:r>
          </w:p>
        </w:tc>
        <w:tc>
          <w:tcPr>
            <w:tcW w:type="dxa" w:w="30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Person-months</w:t>
            </w:r>
          </w:p>
        </w:tc>
        <w:tc>
          <w:tcPr>
            <w:tcW w:type="dxa" w:w="30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Cost</w:t>
            </w:r>
          </w:p>
        </w:tc>
      </w:tr>
      <w:tr>
        <w:trPr>
          <w:cantSpli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Project team (baseline total)</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 265</w:t>
            </w:r>
          </w:p>
        </w:tc>
        <w:tc>
          <w:tcPr>
            <w:tcW w:type="dxa" w:w="3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 PM × [ loaded rate – to be supplied by CFO ]</w:t>
            </w:r>
          </w:p>
        </w:tc>
      </w:tr>
      <w:tr>
        <w:trPr>
          <w:cantSplit/>
        </w:trPr>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Hospital data-steward review</w:t>
            </w:r>
          </w:p>
        </w:tc>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 60 (40–100)</w:t>
            </w:r>
          </w:p>
        </w:tc>
        <w:tc>
          <w:tcPr>
            <w:tcW w:type="dxa" w:w="3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Internal staff cost; [ rate – to be supplied ]</w:t>
            </w:r>
          </w:p>
        </w:tc>
      </w:tr>
      <w:tr>
        <w:trPr>
          <w:cantSpli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Infrastructure and licences</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w:t>
            </w:r>
          </w:p>
        </w:tc>
        <w:tc>
          <w:tcPr>
            <w:tcW w:type="dxa" w:w="30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sz w:val="18"/>
                <w:szCs w:val="18"/>
              </w:rPr>
              <w:t xml:space="preserve">[ to be priced by IT ]</w:t>
            </w:r>
          </w:p>
        </w:tc>
      </w:tr>
      <w:tr>
        <w:trPr>
          <w:cantSplit/>
        </w:trPr>
        <w:tc>
          <w:tcPr>
            <w:tcW w:type="dxa" w:w="3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Contingency</w:t>
            </w:r>
          </w:p>
        </w:tc>
        <w:tc>
          <w:tcPr>
            <w:tcW w:type="dxa" w:w="30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6 weeks of schedule reserve</w:t>
            </w:r>
          </w:p>
        </w:tc>
        <w:tc>
          <w:tcPr>
            <w:tcW w:type="dxa" w:w="30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sz w:val="18"/>
                <w:szCs w:val="18"/>
              </w:rPr>
              <w:t xml:space="preserve">Equal to 1.5 months of the average team (≈ 23 PM)</w:t>
            </w:r>
          </w:p>
        </w:tc>
      </w:tr>
    </w:tbl>
    <w:p>
      <w:pPr>
        <w:spacing w:after="80" w:line="276"/>
      </w:pPr>
      <w:r>
        <w:rPr>
          <w:rFonts w:ascii="Calibri" w:cs="Calibri" w:eastAsia="Calibri" w:hAnsi="Calibri"/>
          <w:sz w:val="20"/>
          <w:szCs w:val="20"/>
        </w:rPr>
        <w:t xml:space="preserve">The contingency is calculated as 1.5 months × 15.3 people ≈ 23 person-months.</w:t>
      </w:r>
    </w:p>
    <w:p>
      <w:pPr>
        <w:pStyle w:val="Heading1"/>
        <w:keepNext/>
        <w:spacing w:after="140" w:before="320"/>
      </w:pPr>
      <w:r>
        <w:rPr>
          <w:rFonts w:ascii="Calibri" w:cs="Calibri" w:eastAsia="Calibri" w:hAnsi="Calibri"/>
          <w:b/>
          <w:bCs/>
          <w:color w:val="1F3A5F"/>
          <w:sz w:val="30"/>
          <w:szCs w:val="30"/>
        </w:rPr>
        <w:t xml:space="preserve">10. Summary of figures carried to other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tblHeader/>
        </w:trPr>
        <w:tc>
          <w:tcPr>
            <w:tcW w:type="dxa" w:w="38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Figure</w:t>
            </w:r>
          </w:p>
        </w:tc>
        <w:tc>
          <w:tcPr>
            <w:tcW w:type="dxa" w:w="2600"/>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Value</w:t>
            </w:r>
          </w:p>
        </w:tc>
        <w:tc>
          <w:tcPr>
            <w:tcW w:type="dxa" w:w="3238"/>
            <w:tcBorders>
              <w:top w:val="single" w:color="BFC9D1" w:sz="4"/>
              <w:left w:val="single" w:color="BFC9D1" w:sz="4"/>
              <w:bottom w:val="single" w:color="BFC9D1" w:sz="4"/>
              <w:right w:val="single" w:color="BFC9D1"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18"/>
                <w:szCs w:val="18"/>
              </w:rPr>
              <w:t xml:space="preserve">Used in</w:t>
            </w:r>
          </w:p>
        </w:tc>
      </w:tr>
      <w:tr>
        <w:trPr>
          <w:cantSplit/>
        </w:trPr>
        <w:tc>
          <w:tcPr>
            <w:tcW w:type="dxa" w:w="3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Mode</w:t>
            </w:r>
          </w:p>
        </w:tc>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Semi-detached</w:t>
            </w:r>
          </w:p>
        </w:tc>
        <w:tc>
          <w:tcPr>
            <w:tcW w:type="dxa" w:w="3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Risk Register</w:t>
            </w:r>
          </w:p>
        </w:tc>
      </w:tr>
      <w:tr>
        <w:trPr>
          <w:cantSplit/>
        </w:trPr>
        <w:tc>
          <w:tcPr>
            <w:tcW w:type="dxa" w:w="3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Nominal Basic COCOMO</w:t>
            </w:r>
          </w:p>
        </w:tc>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218.5 PM · 16.5 months · 13.3 people</w:t>
            </w:r>
          </w:p>
        </w:tc>
        <w:tc>
          <w:tcPr>
            <w:tcW w:type="dxa" w:w="3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This report</w:t>
            </w:r>
          </w:p>
        </w:tc>
      </w:tr>
      <w:tr>
        <w:trPr>
          <w:cantSplit/>
        </w:trPr>
        <w:tc>
          <w:tcPr>
            <w:tcW w:type="dxa" w:w="3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Baseline (compressed) development</w:t>
            </w:r>
          </w:p>
        </w:tc>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228.9 PM · 15.0 months · 15.3 people</w:t>
            </w:r>
          </w:p>
        </w:tc>
        <w:tc>
          <w:tcPr>
            <w:tcW w:type="dxa" w:w="3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(Gantt, histogram)</w:t>
            </w:r>
          </w:p>
        </w:tc>
      </w:tr>
      <w:tr>
        <w:trPr>
          <w:cantSplit/>
        </w:trPr>
        <w:tc>
          <w:tcPr>
            <w:tcW w:type="dxa" w:w="3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Schedule</w:t>
            </w:r>
          </w:p>
        </w:tc>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1.5 plans and requirements + 15.0 development + 1.5 reserve = 18.0 months</w:t>
            </w:r>
          </w:p>
        </w:tc>
        <w:tc>
          <w:tcPr>
            <w:tcW w:type="dxa" w:w="3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BRD, SRS (6-week reserve)</w:t>
            </w:r>
          </w:p>
        </w:tc>
      </w:tr>
      <w:tr>
        <w:trPr>
          <w:cantSplit/>
        </w:trPr>
        <w:tc>
          <w:tcPr>
            <w:tcW w:type="dxa" w:w="3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Peak team</w:t>
            </w:r>
          </w:p>
        </w:tc>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About 20 (programming phase), in four squads</w:t>
            </w:r>
          </w:p>
        </w:tc>
        <w:tc>
          <w:tcPr>
            <w:tcW w:type="dxa" w:w="3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Resource histogram</w:t>
            </w:r>
          </w:p>
        </w:tc>
      </w:tr>
      <w:tr>
        <w:trPr>
          <w:cantSplit/>
        </w:trPr>
        <w:tc>
          <w:tcPr>
            <w:tcW w:type="dxa" w:w="3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Project-team effort including non-COCOMO items</w:t>
            </w:r>
          </w:p>
        </w:tc>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265 PM</w:t>
            </w:r>
          </w:p>
        </w:tc>
        <w:tc>
          <w:tcPr>
            <w:tcW w:type="dxa" w:w="3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BRD cost section</w:t>
            </w:r>
          </w:p>
        </w:tc>
      </w:tr>
      <w:tr>
        <w:trPr>
          <w:cantSplit/>
        </w:trPr>
        <w:tc>
          <w:tcPr>
            <w:tcW w:type="dxa" w:w="38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bCs/>
                <w:sz w:val="18"/>
                <w:szCs w:val="18"/>
              </w:rPr>
              <w:t xml:space="preserve">Data-steward effort</w:t>
            </w:r>
          </w:p>
        </w:tc>
        <w:tc>
          <w:tcPr>
            <w:tcW w:type="dxa" w:w="2600"/>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60 PM (40–100)</w:t>
            </w:r>
          </w:p>
        </w:tc>
        <w:tc>
          <w:tcPr>
            <w:tcW w:type="dxa" w:w="3238"/>
            <w:tcBorders>
              <w:top w:val="single" w:color="BFC9D1" w:sz="4"/>
              <w:left w:val="single" w:color="BFC9D1" w:sz="4"/>
              <w:bottom w:val="single" w:color="BFC9D1" w:sz="4"/>
              <w:right w:val="single" w:color="BFC9D1" w:sz="4"/>
            </w:tcBorders>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Project Plan, Risk Register</w:t>
            </w:r>
          </w:p>
        </w:tc>
      </w:tr>
      <w:tr>
        <w:trPr>
          <w:cantSplit/>
        </w:trPr>
        <w:tc>
          <w:tcPr>
            <w:tcW w:type="dxa" w:w="38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bCs/>
                <w:sz w:val="18"/>
                <w:szCs w:val="18"/>
              </w:rPr>
              <w:t xml:space="preserve">Downside scenario</w:t>
            </w:r>
          </w:p>
        </w:tc>
        <w:tc>
          <w:tcPr>
            <w:tcW w:type="dxa" w:w="2600"/>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 380 PM · ≈ 20 months (Intermediate COCOMO)</w:t>
            </w:r>
          </w:p>
        </w:tc>
        <w:tc>
          <w:tcPr>
            <w:tcW w:type="dxa" w:w="3238"/>
            <w:tcBorders>
              <w:top w:val="single" w:color="BFC9D1" w:sz="4"/>
              <w:left w:val="single" w:color="BFC9D1" w:sz="4"/>
              <w:bottom w:val="single" w:color="BFC9D1" w:sz="4"/>
              <w:right w:val="single" w:color="BFC9D1" w:sz="4"/>
            </w:tcBorders>
            <w:shd w:fill="F3F7F9" w:color="auto" w:val="clear"/>
            <w:tcMar>
              <w:top w:type="dxa" w:w="70"/>
              <w:left w:type="dxa" w:w="110"/>
              <w:bottom w:type="dxa" w:w="70"/>
              <w:right w:type="dxa" w:w="110"/>
            </w:tcMar>
          </w:tcPr>
          <w:p>
            <w:pPr>
              <w:spacing w:after="40"/>
            </w:pPr>
            <w:r>
              <w:rPr>
                <w:rFonts w:ascii="Calibri" w:cs="Calibri" w:eastAsia="Calibri" w:hAnsi="Calibri"/>
                <w:b w:val="false"/>
                <w:bCs w:val="false"/>
                <w:sz w:val="18"/>
                <w:szCs w:val="18"/>
              </w:rPr>
              <w:t xml:space="preserve">Risk Register (estimation risk)</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A"/>
        <w:sz w:val="16"/>
        <w:szCs w:val="16"/>
      </w:rPr>
      <w:t xml:space="preserve">Version 1.0 · October 2026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rFonts w:ascii="Calibri" w:cs="Calibri" w:eastAsia="Calibri" w:hAnsi="Calibri"/>
        <w:color w:val="6B7B8A"/>
        <w:sz w:val="16"/>
        <w:szCs w:val="16"/>
      </w:rPr>
      <w:t xml:space="preserve">MediTrack – Estimation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95a1a8950442955891a78323177b423893d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Report</dc:title>
  <dc:creator>MediTrack Team</dc:creator>
  <cp:lastModifiedBy>Un-named</cp:lastModifiedBy>
  <cp:revision>1</cp:revision>
  <dcterms:created xsi:type="dcterms:W3CDTF">2026-10-04T15:31:25.819Z</dcterms:created>
  <dcterms:modified xsi:type="dcterms:W3CDTF">2026-10-04T15:31:25.824Z</dcterms:modified>
</cp:coreProperties>
</file>

<file path=docProps/custom.xml><?xml version="1.0" encoding="utf-8"?>
<Properties xmlns="http://schemas.openxmlformats.org/officeDocument/2006/custom-properties" xmlns:vt="http://schemas.openxmlformats.org/officeDocument/2006/docPropsVTypes"/>
</file>