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26" w:rsidRPr="00527D26" w:rsidRDefault="00527D26" w:rsidP="00AA0834">
      <w:pPr>
        <w:rPr>
          <w:b/>
          <w:sz w:val="28"/>
          <w:szCs w:val="28"/>
        </w:rPr>
      </w:pPr>
      <w:r w:rsidRPr="00527D26">
        <w:rPr>
          <w:b/>
          <w:sz w:val="28"/>
          <w:szCs w:val="28"/>
        </w:rPr>
        <w:t xml:space="preserve">Памятный знак «Хлеб нашей памяти» </w:t>
      </w:r>
    </w:p>
    <w:p w:rsidR="00AA0834" w:rsidRPr="00527D26" w:rsidRDefault="00AA0834" w:rsidP="00AA0834">
      <w:pPr>
        <w:rPr>
          <w:b/>
          <w:sz w:val="28"/>
          <w:szCs w:val="28"/>
        </w:rPr>
      </w:pPr>
      <w:r w:rsidRPr="00527D26">
        <w:rPr>
          <w:b/>
          <w:sz w:val="28"/>
          <w:szCs w:val="28"/>
        </w:rPr>
        <w:t>Дата открытия: 2012 год</w:t>
      </w:r>
    </w:p>
    <w:p w:rsidR="003E7B11" w:rsidRDefault="00527D26" w:rsidP="00527D26">
      <w:pPr>
        <w:rPr>
          <w:sz w:val="28"/>
          <w:szCs w:val="28"/>
        </w:rPr>
      </w:pPr>
      <w:r w:rsidRPr="00527D26">
        <w:rPr>
          <w:sz w:val="28"/>
          <w:szCs w:val="28"/>
        </w:rPr>
        <w:t xml:space="preserve">Памятник «Хлеб нашей памяти» — скульптурная композиция, посвященная 200-летнему юбилею Отечественной войны 1812 года и установленная в ряде городов России. В  том числе и в Новом Уренгое.  </w:t>
      </w:r>
      <w:r w:rsidR="003E7B11">
        <w:rPr>
          <w:sz w:val="28"/>
          <w:szCs w:val="28"/>
        </w:rPr>
        <w:t>И</w:t>
      </w:r>
      <w:r w:rsidR="003E7B11" w:rsidRPr="003E7B11">
        <w:rPr>
          <w:sz w:val="28"/>
          <w:szCs w:val="28"/>
        </w:rPr>
        <w:t>нициатором выступил Екатер</w:t>
      </w:r>
      <w:r w:rsidR="003E7B11">
        <w:rPr>
          <w:sz w:val="28"/>
          <w:szCs w:val="28"/>
        </w:rPr>
        <w:t>инбургский художественный фонд в</w:t>
      </w:r>
      <w:r w:rsidR="003E7B11" w:rsidRPr="003E7B11">
        <w:rPr>
          <w:sz w:val="28"/>
          <w:szCs w:val="28"/>
        </w:rPr>
        <w:t xml:space="preserve"> рамках Всероссийского конкурса архитектурных и скульптурных произведений "Наше Отечество. Новый взгляд", группой авторов (</w:t>
      </w:r>
      <w:r w:rsidR="003E7B11" w:rsidRPr="00527D26">
        <w:rPr>
          <w:sz w:val="28"/>
          <w:szCs w:val="28"/>
        </w:rPr>
        <w:t xml:space="preserve">С. </w:t>
      </w:r>
      <w:proofErr w:type="spellStart"/>
      <w:r w:rsidR="003E7B11" w:rsidRPr="00527D26">
        <w:rPr>
          <w:sz w:val="28"/>
          <w:szCs w:val="28"/>
        </w:rPr>
        <w:t>Титлинов</w:t>
      </w:r>
      <w:proofErr w:type="spellEnd"/>
      <w:r w:rsidR="003E7B11" w:rsidRPr="00527D26">
        <w:rPr>
          <w:sz w:val="28"/>
          <w:szCs w:val="28"/>
        </w:rPr>
        <w:t>, А. Медведев, Л. Богатова, С. Савин</w:t>
      </w:r>
      <w:r w:rsidR="003E7B11" w:rsidRPr="003E7B11">
        <w:rPr>
          <w:sz w:val="28"/>
          <w:szCs w:val="28"/>
        </w:rPr>
        <w:t>) был создан Памятный знак "Хлеб нашей памяти".</w:t>
      </w:r>
    </w:p>
    <w:p w:rsidR="00EC0357" w:rsidRPr="00527D26" w:rsidRDefault="003E7B11" w:rsidP="00527D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0357">
        <w:rPr>
          <w:sz w:val="28"/>
          <w:szCs w:val="28"/>
        </w:rPr>
        <w:t>(1)</w:t>
      </w:r>
    </w:p>
    <w:p w:rsidR="00527D26" w:rsidRPr="00527D26" w:rsidRDefault="00527D26" w:rsidP="00527D26">
      <w:pPr>
        <w:rPr>
          <w:sz w:val="28"/>
          <w:szCs w:val="28"/>
        </w:rPr>
      </w:pPr>
      <w:r w:rsidRPr="00527D26">
        <w:rPr>
          <w:sz w:val="28"/>
          <w:szCs w:val="28"/>
        </w:rPr>
        <w:t xml:space="preserve">К 200-летнему юбилею победы «Хлеб нашей памяти» был установлен и торжественно открыт в одиннадцати городах России: </w:t>
      </w:r>
      <w:proofErr w:type="gramStart"/>
      <w:r w:rsidRPr="00527D26">
        <w:rPr>
          <w:sz w:val="28"/>
          <w:szCs w:val="28"/>
        </w:rPr>
        <w:t xml:space="preserve">Рассказово (Тамбовская область), Десногорске (Смоленская область), Салехарде, Новом Уренгое, </w:t>
      </w:r>
      <w:proofErr w:type="spellStart"/>
      <w:r w:rsidRPr="00527D26">
        <w:rPr>
          <w:sz w:val="28"/>
          <w:szCs w:val="28"/>
        </w:rPr>
        <w:t>Тарко-Сале</w:t>
      </w:r>
      <w:proofErr w:type="spellEnd"/>
      <w:r w:rsidRPr="00527D26">
        <w:rPr>
          <w:sz w:val="28"/>
          <w:szCs w:val="28"/>
        </w:rPr>
        <w:t xml:space="preserve">, </w:t>
      </w:r>
      <w:proofErr w:type="spellStart"/>
      <w:r w:rsidRPr="00527D26">
        <w:rPr>
          <w:sz w:val="28"/>
          <w:szCs w:val="28"/>
        </w:rPr>
        <w:t>Лабытнанги</w:t>
      </w:r>
      <w:proofErr w:type="spellEnd"/>
      <w:r w:rsidRPr="00527D26">
        <w:rPr>
          <w:sz w:val="28"/>
          <w:szCs w:val="28"/>
        </w:rPr>
        <w:t xml:space="preserve">, </w:t>
      </w:r>
      <w:proofErr w:type="spellStart"/>
      <w:r w:rsidRPr="00527D26">
        <w:rPr>
          <w:sz w:val="28"/>
          <w:szCs w:val="28"/>
        </w:rPr>
        <w:t>Губкинском</w:t>
      </w:r>
      <w:proofErr w:type="spellEnd"/>
      <w:r w:rsidRPr="00527D26">
        <w:rPr>
          <w:sz w:val="28"/>
          <w:szCs w:val="28"/>
        </w:rPr>
        <w:t xml:space="preserve">, Ноябрьске, Надыме, </w:t>
      </w:r>
      <w:proofErr w:type="spellStart"/>
      <w:r w:rsidRPr="00527D26">
        <w:rPr>
          <w:sz w:val="28"/>
          <w:szCs w:val="28"/>
        </w:rPr>
        <w:t>Муравленко</w:t>
      </w:r>
      <w:proofErr w:type="spellEnd"/>
      <w:r w:rsidRPr="00527D26">
        <w:rPr>
          <w:sz w:val="28"/>
          <w:szCs w:val="28"/>
        </w:rPr>
        <w:t xml:space="preserve"> (Ямало-Ненецкий автономный округ), Ишиме (Тюменская область).</w:t>
      </w:r>
      <w:proofErr w:type="gramEnd"/>
    </w:p>
    <w:p w:rsidR="00527D26" w:rsidRDefault="00527D26" w:rsidP="00527D26">
      <w:pPr>
        <w:rPr>
          <w:sz w:val="28"/>
          <w:szCs w:val="28"/>
        </w:rPr>
      </w:pPr>
      <w:r w:rsidRPr="00527D26">
        <w:rPr>
          <w:sz w:val="28"/>
          <w:szCs w:val="28"/>
        </w:rPr>
        <w:t>Памятный знак «Хлеб нашей памяти» представляет собой гранитный куб, сверху которого лежит буханка «Бородинского» хлеба в сочетании с георгиевской лентой и ниспадающим знаменем. На одной из граней куба расположена надпись «В память 200-летия Отечественной войны 1812 года» и указаны даты 1812—2012.</w:t>
      </w:r>
    </w:p>
    <w:p w:rsidR="00EC0357" w:rsidRPr="00527D26" w:rsidRDefault="003E7B11" w:rsidP="00527D26">
      <w:pPr>
        <w:rPr>
          <w:sz w:val="28"/>
          <w:szCs w:val="28"/>
        </w:rPr>
      </w:pPr>
      <w:r>
        <w:rPr>
          <w:sz w:val="28"/>
          <w:szCs w:val="28"/>
        </w:rPr>
        <w:t>(5)</w:t>
      </w:r>
    </w:p>
    <w:p w:rsidR="00527D26" w:rsidRDefault="00527D26" w:rsidP="00527D26">
      <w:pPr>
        <w:rPr>
          <w:sz w:val="28"/>
          <w:szCs w:val="28"/>
        </w:rPr>
      </w:pPr>
      <w:r w:rsidRPr="00527D26">
        <w:rPr>
          <w:sz w:val="28"/>
          <w:szCs w:val="28"/>
        </w:rPr>
        <w:t>Светлый цвет постамента символизирует чистые помыслы и устремления всех участников Отечественной войны, ломти «Бородинского» хлеба — память о павших известных и безымянных защитниках Отечества, георгиевская лента — символ подвигов и побед.</w:t>
      </w:r>
    </w:p>
    <w:p w:rsidR="00527D26" w:rsidRDefault="00527D26" w:rsidP="00527D26">
      <w:pPr>
        <w:rPr>
          <w:sz w:val="28"/>
          <w:szCs w:val="28"/>
        </w:rPr>
      </w:pPr>
      <w:r w:rsidRPr="00527D26">
        <w:rPr>
          <w:sz w:val="28"/>
          <w:szCs w:val="28"/>
        </w:rPr>
        <w:t>Во время торжественного открытия Памятного знака в 11 городах России в Знак была помещена специальная капсула, наполненная землёй с поля Бородинского сражения. Таким образом, города, где установлен «Хлеб нашей памяти» хранят частичку Российской национальной истории и победы. Подлинность земли подтверждена сертификатом ФБГУК «Государственный Бородинский военно-исторический музей-заповедник».</w:t>
      </w:r>
    </w:p>
    <w:p w:rsidR="003E7B11" w:rsidRPr="00527D26" w:rsidRDefault="003E7B11" w:rsidP="00527D26">
      <w:pPr>
        <w:rPr>
          <w:sz w:val="28"/>
          <w:szCs w:val="28"/>
        </w:rPr>
      </w:pPr>
      <w:r>
        <w:rPr>
          <w:sz w:val="28"/>
          <w:szCs w:val="28"/>
        </w:rPr>
        <w:t>(2) (4)</w:t>
      </w:r>
    </w:p>
    <w:p w:rsidR="00527D26" w:rsidRPr="00527D26" w:rsidRDefault="00527D26" w:rsidP="00527D26">
      <w:pPr>
        <w:rPr>
          <w:sz w:val="28"/>
          <w:szCs w:val="28"/>
        </w:rPr>
      </w:pPr>
      <w:r w:rsidRPr="00527D26">
        <w:rPr>
          <w:sz w:val="28"/>
          <w:szCs w:val="28"/>
        </w:rPr>
        <w:lastRenderedPageBreak/>
        <w:t>В 2015 году в городе Десногорске у воспитанников местного библиотечного театра «Книга на сцене» зародилась традиция проводить у знака «Хлеб нашей памяти» литературные чтения.</w:t>
      </w:r>
    </w:p>
    <w:p w:rsidR="003226B9" w:rsidRPr="00527D26" w:rsidRDefault="00527D26" w:rsidP="00527D26">
      <w:pPr>
        <w:rPr>
          <w:sz w:val="28"/>
          <w:szCs w:val="28"/>
        </w:rPr>
      </w:pPr>
      <w:r w:rsidRPr="00527D26">
        <w:rPr>
          <w:sz w:val="28"/>
          <w:szCs w:val="28"/>
        </w:rPr>
        <w:t xml:space="preserve">В 2016 году в городе </w:t>
      </w:r>
      <w:proofErr w:type="spellStart"/>
      <w:r w:rsidRPr="00527D26">
        <w:rPr>
          <w:sz w:val="28"/>
          <w:szCs w:val="28"/>
        </w:rPr>
        <w:t>Лабытнанги</w:t>
      </w:r>
      <w:proofErr w:type="spellEnd"/>
      <w:r w:rsidRPr="00527D26">
        <w:rPr>
          <w:sz w:val="28"/>
          <w:szCs w:val="28"/>
        </w:rPr>
        <w:t xml:space="preserve"> у памятного знака «Хлеб нашей памяти» участниками всероссийского эколого-патриотического проекта «Лес Победы», инициированного общероссийским экологическим общественным движением «Зелёная Россия», было высажено двадцать лиственниц и берёз.</w:t>
      </w:r>
    </w:p>
    <w:p w:rsidR="00097DD1" w:rsidRDefault="00097DD1" w:rsidP="00527D26">
      <w:pPr>
        <w:rPr>
          <w:sz w:val="28"/>
          <w:szCs w:val="28"/>
        </w:rPr>
      </w:pPr>
      <w:r>
        <w:rPr>
          <w:sz w:val="28"/>
          <w:szCs w:val="28"/>
        </w:rPr>
        <w:t>(6)</w:t>
      </w:r>
    </w:p>
    <w:p w:rsidR="00527D26" w:rsidRPr="00527D26" w:rsidRDefault="00527D26" w:rsidP="00527D26">
      <w:pPr>
        <w:rPr>
          <w:sz w:val="28"/>
          <w:szCs w:val="28"/>
        </w:rPr>
      </w:pPr>
      <w:r>
        <w:rPr>
          <w:sz w:val="28"/>
          <w:szCs w:val="28"/>
        </w:rPr>
        <w:t>В Новом Уренгое п</w:t>
      </w:r>
      <w:r w:rsidRPr="00527D26">
        <w:rPr>
          <w:sz w:val="28"/>
          <w:szCs w:val="28"/>
        </w:rPr>
        <w:t>амятник</w:t>
      </w:r>
      <w:r>
        <w:rPr>
          <w:sz w:val="28"/>
          <w:szCs w:val="28"/>
        </w:rPr>
        <w:t xml:space="preserve"> «Хлеб нашей памяти»</w:t>
      </w:r>
      <w:r w:rsidRPr="00527D26">
        <w:rPr>
          <w:sz w:val="28"/>
          <w:szCs w:val="28"/>
        </w:rPr>
        <w:t xml:space="preserve">  расположен на площади перед Храмом, в северной части города. Памятный знак был открыт в 2012 году, накануне празднования 200-летия Бородинского сражения. Возле него кадеты заложили капсулу с землей. Церемонию освещения провел Олег Нелин, </w:t>
      </w:r>
      <w:r>
        <w:rPr>
          <w:sz w:val="28"/>
          <w:szCs w:val="28"/>
        </w:rPr>
        <w:t xml:space="preserve">бывший </w:t>
      </w:r>
      <w:r w:rsidRPr="00527D26">
        <w:rPr>
          <w:sz w:val="28"/>
          <w:szCs w:val="28"/>
        </w:rPr>
        <w:t xml:space="preserve">настоятель Храма Серафима </w:t>
      </w:r>
      <w:proofErr w:type="spellStart"/>
      <w:r w:rsidRPr="00527D26">
        <w:rPr>
          <w:sz w:val="28"/>
          <w:szCs w:val="28"/>
        </w:rPr>
        <w:t>Саровского</w:t>
      </w:r>
      <w:proofErr w:type="spellEnd"/>
      <w:r w:rsidRPr="00527D26">
        <w:rPr>
          <w:sz w:val="28"/>
          <w:szCs w:val="28"/>
        </w:rPr>
        <w:t>. После все гости, присутствующие на открытии, получили кусочки бородинского хлеба.</w:t>
      </w:r>
    </w:p>
    <w:p w:rsidR="00097DD1" w:rsidRDefault="00097DD1" w:rsidP="00527D26">
      <w:pPr>
        <w:rPr>
          <w:sz w:val="28"/>
          <w:szCs w:val="28"/>
        </w:rPr>
      </w:pPr>
      <w:r>
        <w:rPr>
          <w:sz w:val="28"/>
          <w:szCs w:val="28"/>
        </w:rPr>
        <w:t>(7)</w:t>
      </w:r>
    </w:p>
    <w:p w:rsidR="00527D26" w:rsidRPr="00527D26" w:rsidRDefault="00EC0357" w:rsidP="00527D26">
      <w:pPr>
        <w:rPr>
          <w:sz w:val="28"/>
          <w:szCs w:val="28"/>
        </w:rPr>
      </w:pPr>
      <w:r w:rsidRPr="00EC0357">
        <w:rPr>
          <w:sz w:val="28"/>
          <w:szCs w:val="28"/>
        </w:rPr>
        <w:t xml:space="preserve">Как отметил </w:t>
      </w:r>
      <w:r w:rsidR="003E7B11">
        <w:rPr>
          <w:sz w:val="28"/>
          <w:szCs w:val="28"/>
        </w:rPr>
        <w:t xml:space="preserve">глава Нового Уренгоя </w:t>
      </w:r>
      <w:r w:rsidRPr="00EC0357">
        <w:rPr>
          <w:sz w:val="28"/>
          <w:szCs w:val="28"/>
        </w:rPr>
        <w:t xml:space="preserve">Иван </w:t>
      </w:r>
      <w:proofErr w:type="spellStart"/>
      <w:r w:rsidRPr="00EC0357">
        <w:rPr>
          <w:sz w:val="28"/>
          <w:szCs w:val="28"/>
        </w:rPr>
        <w:t>Костогриз</w:t>
      </w:r>
      <w:proofErr w:type="spellEnd"/>
      <w:r w:rsidRPr="00EC0357">
        <w:rPr>
          <w:sz w:val="28"/>
          <w:szCs w:val="28"/>
        </w:rPr>
        <w:t xml:space="preserve">, памятный знак открывается в Новом Уренгое, как и во многих других городах России, накануне 200-летия Бородинского сражения русской армии под командованием М.И. Кутузова с французской армией в 1812 году. «Мы отдаем дань уважения предкам, которые две сотни лет назад отстояли Родину. Это важный вклад в патриотическое воспитание подрастающего поколения, повышение интереса к российской истории», – сказал Иван </w:t>
      </w:r>
      <w:proofErr w:type="spellStart"/>
      <w:r w:rsidRPr="00EC0357">
        <w:rPr>
          <w:sz w:val="28"/>
          <w:szCs w:val="28"/>
        </w:rPr>
        <w:t>Костогриз</w:t>
      </w:r>
      <w:proofErr w:type="spellEnd"/>
    </w:p>
    <w:sectPr w:rsidR="00527D26" w:rsidRPr="00527D26" w:rsidSect="0032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0834"/>
    <w:rsid w:val="00097DD1"/>
    <w:rsid w:val="003226B9"/>
    <w:rsid w:val="003E7B11"/>
    <w:rsid w:val="00527D26"/>
    <w:rsid w:val="007D7C46"/>
    <w:rsid w:val="00AA0834"/>
    <w:rsid w:val="00EC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</dc:creator>
  <cp:lastModifiedBy>Фрол</cp:lastModifiedBy>
  <cp:revision>2</cp:revision>
  <dcterms:created xsi:type="dcterms:W3CDTF">2020-08-16T13:09:00Z</dcterms:created>
  <dcterms:modified xsi:type="dcterms:W3CDTF">2020-08-16T16:55:00Z</dcterms:modified>
</cp:coreProperties>
</file>