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/>
      </w:pPr>
      <w:bookmarkStart w:colFirst="0" w:colLast="0" w:name="_heading=h.1140conbnro4" w:id="0"/>
      <w:bookmarkEnd w:id="0"/>
      <w:r w:rsidDel="00000000" w:rsidR="00000000" w:rsidRPr="00000000">
        <w:rPr>
          <w:rtl w:val="0"/>
        </w:rPr>
        <w:t xml:space="preserve">  OSK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33958</wp:posOffset>
            </wp:positionH>
            <wp:positionV relativeFrom="paragraph">
              <wp:posOffset>207</wp:posOffset>
            </wp:positionV>
            <wp:extent cx="2032350" cy="12001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3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80" w:rightFromText="180" w:topFromText="0" w:bottomFromText="0" w:vertAnchor="text" w:horzAnchor="text" w:tblpX="4618.999999999998" w:tblpY="0"/>
        <w:tblW w:w="51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6"/>
        <w:gridCol w:w="3491"/>
        <w:tblGridChange w:id="0">
          <w:tblGrid>
            <w:gridCol w:w="1636"/>
            <w:gridCol w:w="3491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0" w:right="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адрес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77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г.Бишкек, ул.Игембердиева 1А, офис 2А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Web site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77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osk.kg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Тел.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77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+996-500-99-30-92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ПРАВОВОЕ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 является актуальным по состоянию на 27.02.2026 года и содержит юридическую информацию о строящемся объекте недвижимости и правовых рисках.</w:t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проведения правовой экспертизы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Выявление обстоятельств, которые могут стать основанием для нарушения прав клиента, или привести к ограничению, или утрате права собственности на квартиру в строящемся объекте недвижимости.</w:t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Основные характеристики объекта недвижимости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Застройщик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ОсОО «Артвин Девелопмент» </w:t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Генеральный Подрядчик: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ОсОО «Артвин Девелопмент», лицензия на выполнение строительно-монтажных работ серии КРЦ-2 за №012034 от 17.01.2025 г.,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Объект недвижимости: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Жилой комплекс «Токио Сити», расположенный по адресу: Кыргызская Республика, г. Бишкек, Октябрьский р-н, по ул. 7-апреля (бывш. Шабдан баатыра), д. 1а/1 и 160б.</w:t>
      </w:r>
    </w:p>
    <w:p w:rsidR="00000000" w:rsidDel="00000000" w:rsidP="00000000" w:rsidRDefault="00000000" w:rsidRPr="00000000" w14:paraId="00000011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Официальное наименование объекта: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«16-ти этажный жилой комплекс с объектами СКБ и подземным автопаркингом на собственной территории по ул. Курманжан Датка, 1а». 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Идентификационный код земельного участка: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1-04-19-0035-0030; 1-04-19-0035-0159;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 обозрение были представлены оригиналы и/или копии следующих документов: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Государственный акт о праве частной собственности на земельный участок серии Ч№1352649 от 10.02.2025 г.;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Технический паспорт на земельный участок от 07.05.2024 г.;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Государственный акт о праве частной собственности на земельный участок серии Ч№1304397 от 24.05.2017 г.;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Технический паспорт на земельный участок от 07.05.2024 г.;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 УМЧС за №290 от 20.06.2024 г.;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Архитектурно-градостроительное заключение за №16613 от 29.03.2024 г.;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Градостроительное заключение за №КН03-14/590ЕО от 18.04.2024 г.;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Инженерно-технические за №12199 от 13.01.2025 г.;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Лицензия на выполнение строительно-монтажных работ серии за КРЦ-2 за №012034 от 17.01.2025 г.;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Протокол общего собрание участников о государственной перерегистрации ОсОО «Артвин Деволопмент» в связи с реорганизацией путем присоединения к нему ОсОО «Береке Стрим» от 20.12.2024 г.;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Подтверждение о включении в реестр строящихся объектов за №09-01-21/46 от 23.07.2024 г.;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bov00z1l7e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Положительное заключение государственной экспертизы, за реестр. №00-1-1-366-24 на объект капитального строительства «16-ти этажный жилой комплекс с объектами СКБ и подземным автопаркингом на собственной территории по ул. Курманжан Датка, 1а» от 08.07.2024 г.;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Стандартно типовой договор долевого участия в строительстве.</w:t>
      </w:r>
    </w:p>
    <w:p w:rsidR="00000000" w:rsidDel="00000000" w:rsidP="00000000" w:rsidRDefault="00000000" w:rsidRPr="00000000" w14:paraId="00000021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Изучив вышесказанные документы, сообщаем следующее: </w:t>
      </w:r>
    </w:p>
    <w:p w:rsidR="00000000" w:rsidDel="00000000" w:rsidP="00000000" w:rsidRDefault="00000000" w:rsidRPr="00000000" w14:paraId="00000022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I. Земельный участок</w:t>
      </w:r>
    </w:p>
    <w:p w:rsidR="00000000" w:rsidDel="00000000" w:rsidP="00000000" w:rsidRDefault="00000000" w:rsidRPr="00000000" w14:paraId="00000023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Рассматриваемый объект недвижимости Жилой комплекс «Токио Сити» строится на обособленных земельных участках, то есть, на двух самостоятельных земельных участках.</w:t>
      </w:r>
    </w:p>
    <w:p w:rsidR="00000000" w:rsidDel="00000000" w:rsidP="00000000" w:rsidRDefault="00000000" w:rsidRPr="00000000" w14:paraId="00000024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земельный участок мерою 1,14 га., и 0,1375 га., над которым находится рассматриваемый объект, расположен в восточной части г. Бишкек, в Октябрьском районе, по ул. 7-апреля (бывш. Шабдан баатыра), д. 1а/1 и 160б.</w:t>
      </w:r>
    </w:p>
    <w:p w:rsidR="00000000" w:rsidDel="00000000" w:rsidP="00000000" w:rsidRDefault="00000000" w:rsidRPr="00000000" w14:paraId="00000025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выписке ГУ «Кадастра» из ЕГРППНИ от 09.07.2025 г. и Государственного акта о праве частной собственности серии Ч№1352649 от 10.02.2025 г., - земельный участок принадлежит на праве частной собственности физическому лицу – Б. Н. Н. на основании договора купли-продажи от 27.12.2023 г.</w:t>
      </w:r>
    </w:p>
    <w:p w:rsidR="00000000" w:rsidDel="00000000" w:rsidP="00000000" w:rsidRDefault="00000000" w:rsidRPr="00000000" w14:paraId="00000026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выписке ГУ «Кадастра» из ЕГРППНИ от 09.07.2025 г. и Государственного акта о праве частной собственности серии Ч№1304397 от 24.05.2017 г., - земельный участок принадлежит на праве частной собственности физическому лицу – Б. Г. М. на основании договора купли-продажи от 24.05.2017 г. </w:t>
      </w:r>
    </w:p>
    <w:p w:rsidR="00000000" w:rsidDel="00000000" w:rsidP="00000000" w:rsidRDefault="00000000" w:rsidRPr="00000000" w14:paraId="00000027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Между Застройщиком и Собственниками земельных участков заключен Договор купли-продажи в рассрочку, однако, на момент ознакомления и проверки разрешительных документов на день 09.07.2025 г., Застройщик не предоставил данный договор в полном объеме. Данное обстоятельство является рискованным, так как, является источником возникновения споров между Застройщиком и физическими лицами, и может повлиять на сроки сдачи объекта под ПСО и ввода в эксплуатацию. </w:t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I.I. Целевое назначение земельного участка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многоэтажный жилой комплекс с подземным паркингом и объектами СКБ»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соответствует нормам законодательства Кыргызской Республики и цели строительства. </w:t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I.II. Сведения из ЕГРПНИ ГУ «КАДАСТР» о наличии или отсутствии обременений (ограничений) на единицу недвижимого имущества.</w:t>
      </w:r>
    </w:p>
    <w:p w:rsidR="00000000" w:rsidDel="00000000" w:rsidP="00000000" w:rsidRDefault="00000000" w:rsidRPr="00000000" w14:paraId="0000002A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выписке из ЕГРПНИ ГУ «Кадастра» от 09.04.2025 г., на земельный участок на котором осуществляется строительство жилого комплекса «Токио Сити», не заложен и в аресте не состоит. Из обременений имеются ранее зарегистрированные договоры долевого участия.</w:t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II. Архитектурно-градостроительное заключение (АГЗ).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d8bw1e68ith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Градостроительному заключению №16613 от 29.03.2024 г., сейсмоустойчивость рассматриваемого объекта строительства определен 8 баллов. </w:t>
      </w:r>
    </w:p>
    <w:p w:rsidR="00000000" w:rsidDel="00000000" w:rsidP="00000000" w:rsidRDefault="00000000" w:rsidRPr="00000000" w14:paraId="0000002D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Территория под проектирования составляет 1,2775 га. Участок граничит: с северной, западной и восточной стороны – соседствующие субъекты, с южной стороны – ул. Исакеева. </w:t>
      </w:r>
    </w:p>
    <w:p w:rsidR="00000000" w:rsidDel="00000000" w:rsidP="00000000" w:rsidRDefault="00000000" w:rsidRPr="00000000" w14:paraId="0000002E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Градостроительному заключению за №ЕН03-14/910ЕО от 14.07.2023 г., указано «Согласно Генерального плана г. Бишкек, утвержденного постановлением Правительства КР от 21.11.2006 г. №805, земельный участок определен под территории производственных и коммунально-складских предприятий. </w:t>
      </w:r>
    </w:p>
    <w:p w:rsidR="00000000" w:rsidDel="00000000" w:rsidP="00000000" w:rsidRDefault="00000000" w:rsidRPr="00000000" w14:paraId="0000002F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также, Согласно Правилам застройки и землепользования (ПЗЗУ) г.Бишкек утвержденного постановлением Бишкекского городского кенеша от 29.06.2022 г., за №36, участок расположен в зоне промышленных, коммунальных предприятий транспорта и складирования. (глава 24).</w:t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3x3sewpf3n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III. Инженерно-технические условия (ИТУ). Документы по коммуникациям:</w:t>
      </w:r>
    </w:p>
    <w:p w:rsidR="00000000" w:rsidDel="00000000" w:rsidP="00000000" w:rsidRDefault="00000000" w:rsidRPr="00000000" w14:paraId="00000031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Инженерно-технические условия в составе единого документа ИТУ выдаваемый МП «Бишкекглавархитектура» - имеется за №12199 от 13.01.2025 г. В составе ИТУ имеется Технические условия от следующих коммунальных служб: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Теплоснабжение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(центральное) ТУ выд. ОАО «Бишкектеплосеть» за №211-Ф-2024-1/102-П от 09.02.2024 г.,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Электроснабжение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(автономная) ТУ выд. ОсОО «ЭЛЕКТРОСИЛА» за №154 от 12.12.2024 г., (без права использования на цели электроотопления).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Водоснабжение и канализация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(центральное) ТУ выд. МП «Бишкекводоканал» от 19.08.2023 г. (водостоки, холодное вода).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Газоснабжение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ТУ выд. ОсОО «Газпром Кыргызстан», в лице филала «Бишкекгаз» за №10-02-01/857 от 19.04.2024 г., (только на пищеприготовление);</w:t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IV. Заключение государственной экспертизы (основание и разрешение на начало строительство).</w:t>
      </w:r>
    </w:p>
    <w:p w:rsidR="00000000" w:rsidDel="00000000" w:rsidP="00000000" w:rsidRDefault="00000000" w:rsidRPr="00000000" w14:paraId="00000037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Положительное заключение государственной экспертизы, за реестр. №00-1-1-366-24 на объект капитального строительства «16-ти этажный жилой комплекс с объектами СКБ и подземным автопаркингом на собственной территории по ул. Курманжан Датка, 1а» от 08.07.2024 г., выдано только на 1 этап, то есть на разделы проекта: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архитектурные решения и конструктивные решения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Заключения государственной экспертизы по проектно-техническим решениям в части инженерных коммуникаций отсутствуют. 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Застройщику необходимо предоставить соответствующие разделы проектной документации 2-го этапа»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(по инженерной части).</w:t>
      </w:r>
    </w:p>
    <w:p w:rsidR="00000000" w:rsidDel="00000000" w:rsidP="00000000" w:rsidRDefault="00000000" w:rsidRPr="00000000" w14:paraId="0000003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V. Лицензия на выполнение строительно-монтажных работ.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Застройщик предоставил Лицензию на выполнение строительно-монтажных работ, выданное на имя ОсОО «Артвин Девелопмент», серии КРЦ-2 за №012034 от 17.01.2025 г., и выполнение строительно-монтажных работ на объектах I уровня ответственности. То есть, Лицензия Застройщика соответствует нормам законодательства Кыргызской Республики и цели строительства </w:t>
      </w:r>
    </w:p>
    <w:p w:rsidR="00000000" w:rsidDel="00000000" w:rsidP="00000000" w:rsidRDefault="00000000" w:rsidRPr="00000000" w14:paraId="0000003B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Информация о Застройщике: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Официальное наименование: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ОсОО «Артвин Девелопмент»;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Учредители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Төөбаева Гулипа Асекеевна, Абдыкадырова Клара Ысаковна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Директор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Асанов Аскар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Юридический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адрес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20.12.2024 г.,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первичной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регистрации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01.03.2023 г.,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перерегистрации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г. Бишкек, Ленинский р-н, пр. Ч.Айтматова, д. 243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Регистрационный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номер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215217-3301-ООО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ИИН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00103202310062</w:t>
      </w:r>
    </w:p>
    <w:p w:rsidR="00000000" w:rsidDel="00000000" w:rsidP="00000000" w:rsidRDefault="00000000" w:rsidRPr="00000000" w14:paraId="00000044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данным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https://budget.okmot.kg/ru/income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период 2022-2025 гг. налог с продаж, земельный налог, страховые взносы, оплачивались налоги, начисленные по подоходному налогу, налог на прибыль, налог на нежилое помещение, налог на имущество итд.</w:t>
      </w:r>
    </w:p>
    <w:p w:rsidR="00000000" w:rsidDel="00000000" w:rsidP="00000000" w:rsidRDefault="00000000" w:rsidRPr="00000000" w14:paraId="00000045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Рекомендации (по приобретению недвижимости в строящемся многоквартирном доме). Учесть нижеуказанные риски при приобретении единицы недвижимого имущества: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Учесть статус земельного участка;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Отсутствие заключение государственной экспертизы 2-этапа (решение по инженерной части).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договор долевого участия необходимо внести идентификационный код второго земельного участка (0,1375). А также, необходимо внести ответственность Застройщика в случае просрочки сроков (срок сдачи под ПСО и ввода объекта в эксплуатацию).</w:t>
      </w:r>
    </w:p>
    <w:p w:rsidR="00000000" w:rsidDel="00000000" w:rsidP="00000000" w:rsidRDefault="00000000" w:rsidRPr="00000000" w14:paraId="00000049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Настоящее заключение составлено на основании актуальных и предоставленных данных на момент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27.02.2026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 и носит описательно-рекомендательный характер за изменения исходных данных,  исполнитель ответственности не несет.</w:t>
      </w:r>
    </w:p>
    <w:p w:rsidR="00000000" w:rsidDel="00000000" w:rsidP="00000000" w:rsidRDefault="00000000" w:rsidRPr="00000000" w14:paraId="0000004A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Справка (свидетельство) о юридическом лице, филиале (представительстве) ОсОО «Артвин Девелопмент»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03.03.2026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года;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Выписки ГУ «Кадастра» из ЕГРПНИ от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03.03.2026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года;</w:t>
      </w:r>
    </w:p>
    <w:p w:rsidR="00000000" w:rsidDel="00000000" w:rsidP="00000000" w:rsidRDefault="00000000" w:rsidRPr="00000000" w14:paraId="0000004D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Исполнитель: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Юрист ОСК                                                                                  Эсенбекова И.</w:t>
      </w:r>
    </w:p>
    <w:p w:rsidR="00000000" w:rsidDel="00000000" w:rsidP="00000000" w:rsidRDefault="00000000" w:rsidRPr="00000000" w14:paraId="0000004F">
      <w:pPr>
        <w:spacing w:after="0" w:line="276" w:lineRule="auto"/>
        <w:ind w:left="576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03.03.2026 г.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 правовым заключением, и со всеми рисками ознакомлен(-а), претензии не имею</w:t>
      </w:r>
    </w:p>
    <w:p w:rsidR="00000000" w:rsidDel="00000000" w:rsidP="00000000" w:rsidRDefault="00000000" w:rsidRPr="00000000" w14:paraId="00000053">
      <w:pPr>
        <w:spacing w:after="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Заказчик, _________________________________________             _________________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(ФИО)                                                                                                    (подпись)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472c4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472c4"/>
        <w:sz w:val="20"/>
        <w:szCs w:val="20"/>
        <w:u w:val="none"/>
        <w:shd w:fill="auto" w:val="clear"/>
        <w:vertAlign w:val="baseline"/>
        <w:rtl w:val="0"/>
      </w:rPr>
      <w:t xml:space="preserve">Страница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472c4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472c4"/>
        <w:sz w:val="20"/>
        <w:szCs w:val="20"/>
        <w:u w:val="none"/>
        <w:shd w:fill="auto" w:val="clear"/>
        <w:vertAlign w:val="baseline"/>
        <w:rtl w:val="0"/>
      </w:rPr>
      <w:t xml:space="preserve"> из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472c4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74" w:line="240" w:lineRule="auto"/>
      <w:ind w:left="1205"/>
    </w:pPr>
    <w:rPr>
      <w:rFonts w:ascii="Tahoma" w:cs="Tahoma" w:eastAsia="Tahoma" w:hAnsi="Tahoma"/>
      <w:sz w:val="96"/>
      <w:szCs w:val="9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rsid w:val="007668A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a4" w:customStyle="1">
    <w:name w:val="Заголовок Знак"/>
    <w:basedOn w:val="a0"/>
    <w:link w:val="a3"/>
    <w:uiPriority w:val="1"/>
    <w:rsid w:val="007668A4"/>
    <w:rPr>
      <w:rFonts w:ascii="Tahoma" w:cs="Tahoma" w:eastAsia="Tahoma" w:hAnsi="Tahoma"/>
      <w:sz w:val="96"/>
      <w:szCs w:val="96"/>
      <w:lang w:val="ru-RU"/>
    </w:rPr>
  </w:style>
  <w:style w:type="paragraph" w:styleId="TableParagraph" w:customStyle="1">
    <w:name w:val="Table Paragraph"/>
    <w:basedOn w:val="a"/>
    <w:uiPriority w:val="1"/>
    <w:qFormat w:val="1"/>
    <w:rsid w:val="007668A4"/>
    <w:pPr>
      <w:widowControl w:val="0"/>
      <w:autoSpaceDE w:val="0"/>
      <w:autoSpaceDN w:val="0"/>
      <w:spacing w:after="0" w:before="83" w:line="240" w:lineRule="auto"/>
    </w:pPr>
    <w:rPr>
      <w:rFonts w:ascii="Tahoma" w:cs="Tahoma" w:eastAsia="Tahoma" w:hAnsi="Tahoma"/>
      <w:lang w:val="ru-RU"/>
    </w:rPr>
  </w:style>
  <w:style w:type="paragraph" w:styleId="a5">
    <w:name w:val="List Paragraph"/>
    <w:basedOn w:val="a"/>
    <w:uiPriority w:val="34"/>
    <w:qFormat w:val="1"/>
    <w:rsid w:val="007668A4"/>
    <w:pPr>
      <w:ind w:left="720"/>
      <w:contextualSpacing w:val="1"/>
    </w:pPr>
  </w:style>
  <w:style w:type="character" w:styleId="a6">
    <w:name w:val="Hyperlink"/>
    <w:basedOn w:val="a0"/>
    <w:uiPriority w:val="99"/>
    <w:unhideWhenUsed w:val="1"/>
    <w:rsid w:val="007668A4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 w:val="1"/>
    <w:rsid w:val="00E1248B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Верхний колонтитул Знак"/>
    <w:basedOn w:val="a0"/>
    <w:link w:val="a7"/>
    <w:uiPriority w:val="99"/>
    <w:rsid w:val="00E1248B"/>
  </w:style>
  <w:style w:type="paragraph" w:styleId="a9">
    <w:name w:val="footer"/>
    <w:basedOn w:val="a"/>
    <w:link w:val="aa"/>
    <w:uiPriority w:val="99"/>
    <w:unhideWhenUsed w:val="1"/>
    <w:rsid w:val="00E1248B"/>
    <w:pPr>
      <w:tabs>
        <w:tab w:val="center" w:pos="4677"/>
        <w:tab w:val="right" w:pos="9355"/>
      </w:tabs>
      <w:spacing w:after="0" w:line="240" w:lineRule="auto"/>
    </w:pPr>
  </w:style>
  <w:style w:type="character" w:styleId="aa" w:customStyle="1">
    <w:name w:val="Нижний колонтитул Знак"/>
    <w:basedOn w:val="a0"/>
    <w:link w:val="a9"/>
    <w:uiPriority w:val="99"/>
    <w:rsid w:val="00E1248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budget.okmot.kg/ru/inco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Dc/1yQTQWhfsra9cftvgaLJj9A==">CgMxLjAyDmguMTE0MGNvbmJucm80Mg5oLnVib3YwMHoxbDdlcjIOaC50ZDhidzFlNjhpdGgyDWguM3gzc2V3cGYzbmc4AHIhMWJpUHRFeERHeEpjQ1lHUk83MnR0ZnlTUWtkVVVlckZR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2025-07-09T13:56:00Z</dcterms:created>
  <dc:creator>Иса Эсенбеков</dc:creator>
</cp:coreProperties>
</file>