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D9D4A" w14:textId="77777777" w:rsidR="00500721" w:rsidRDefault="00500721">
      <w:pPr>
        <w:spacing w:before="50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9420"/>
      </w:tblGrid>
      <w:tr w:rsidR="00500721" w14:paraId="0BB95413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A886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C7FA65" w14:textId="77777777" w:rsidR="00500721" w:rsidRDefault="00500721"/>
        </w:tc>
        <w:tc>
          <w:tcPr>
            <w:tcW w:w="9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10" w:type="dxa"/>
              <w:left w:w="340" w:type="dxa"/>
              <w:bottom w:w="210" w:type="dxa"/>
              <w:right w:w="0" w:type="dxa"/>
            </w:tcMar>
          </w:tcPr>
          <w:p w14:paraId="58DDDEB7" w14:textId="040C07E1" w:rsidR="00500721" w:rsidRPr="005B45CF" w:rsidRDefault="00FD1035">
            <w:pPr>
              <w:spacing w:after="90"/>
              <w:rPr>
                <w:color w:val="0070C0"/>
              </w:rPr>
            </w:pPr>
            <w:r w:rsidRPr="005B45CF">
              <w:rPr>
                <w:b/>
                <w:bCs/>
                <w:color w:val="0070C0"/>
                <w:sz w:val="15"/>
                <w:szCs w:val="15"/>
              </w:rPr>
              <w:t>PORTFOLIO PROJECT</w:t>
            </w:r>
          </w:p>
          <w:p w14:paraId="52B5ED38" w14:textId="77777777" w:rsidR="00500721" w:rsidRDefault="00FD1035">
            <w:pPr>
              <w:spacing w:after="60"/>
            </w:pPr>
            <w:r>
              <w:rPr>
                <w:b/>
                <w:bCs/>
                <w:color w:val="0D1B2A"/>
                <w:sz w:val="76"/>
                <w:szCs w:val="76"/>
              </w:rPr>
              <w:t>Stock Market</w:t>
            </w:r>
          </w:p>
          <w:p w14:paraId="285A55E9" w14:textId="77777777" w:rsidR="00500721" w:rsidRDefault="00FD1035">
            <w:pPr>
              <w:spacing w:after="110"/>
            </w:pPr>
            <w:r>
              <w:rPr>
                <w:b/>
                <w:bCs/>
                <w:color w:val="0D1B2A"/>
                <w:sz w:val="76"/>
                <w:szCs w:val="76"/>
              </w:rPr>
              <w:t>Analysis Report</w:t>
            </w:r>
          </w:p>
          <w:p w14:paraId="2C9E99F2" w14:textId="77777777" w:rsidR="00500721" w:rsidRDefault="00FD1035">
            <w:pPr>
              <w:spacing w:after="45"/>
            </w:pPr>
            <w:r>
              <w:rPr>
                <w:color w:val="5E7A96"/>
                <w:sz w:val="24"/>
                <w:szCs w:val="24"/>
              </w:rPr>
              <w:t>Five years of daily market data across 491 global companies,</w:t>
            </w:r>
          </w:p>
          <w:p w14:paraId="5B84ABA2" w14:textId="77777777" w:rsidR="00500721" w:rsidRDefault="00FD1035">
            <w:r>
              <w:rPr>
                <w:color w:val="5E7A96"/>
                <w:sz w:val="24"/>
                <w:szCs w:val="24"/>
              </w:rPr>
              <w:t>analysed end-to-end in Power BI with custom DAX modelling.</w:t>
            </w:r>
          </w:p>
        </w:tc>
      </w:tr>
    </w:tbl>
    <w:p w14:paraId="5FDB17CB" w14:textId="77777777" w:rsidR="00500721" w:rsidRDefault="00500721" w:rsidP="00706D33">
      <w:pPr>
        <w:spacing w:before="340"/>
        <w:ind w:left="-180" w:firstLine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00721" w14:paraId="01BCDEF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190" w:type="dxa"/>
              <w:left w:w="210" w:type="dxa"/>
              <w:bottom w:w="190" w:type="dxa"/>
              <w:right w:w="210" w:type="dxa"/>
            </w:tcMar>
          </w:tcPr>
          <w:p w14:paraId="732CBE1B" w14:textId="77777777" w:rsidR="00500721" w:rsidRDefault="00FD1035">
            <w:pPr>
              <w:spacing w:after="45"/>
            </w:pPr>
            <w:r>
              <w:rPr>
                <w:b/>
                <w:bCs/>
                <w:color w:val="00A886"/>
                <w:sz w:val="34"/>
                <w:szCs w:val="34"/>
              </w:rPr>
              <w:t>491</w:t>
            </w:r>
          </w:p>
          <w:p w14:paraId="1685F936" w14:textId="77777777" w:rsidR="00500721" w:rsidRDefault="00FD1035">
            <w:r>
              <w:rPr>
                <w:color w:val="8FA5BA"/>
                <w:sz w:val="18"/>
                <w:szCs w:val="18"/>
              </w:rPr>
              <w:t>COMPANIES ANALYSED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190" w:type="dxa"/>
              <w:left w:w="210" w:type="dxa"/>
              <w:bottom w:w="190" w:type="dxa"/>
              <w:right w:w="210" w:type="dxa"/>
            </w:tcMar>
          </w:tcPr>
          <w:p w14:paraId="2CB65992" w14:textId="77777777" w:rsidR="00500721" w:rsidRDefault="00FD1035">
            <w:pPr>
              <w:spacing w:after="45"/>
            </w:pPr>
            <w:r>
              <w:rPr>
                <w:b/>
                <w:bCs/>
                <w:color w:val="E8A020"/>
                <w:sz w:val="34"/>
                <w:szCs w:val="34"/>
              </w:rPr>
              <w:t>1,258</w:t>
            </w:r>
          </w:p>
          <w:p w14:paraId="6A96FE6B" w14:textId="77777777" w:rsidR="00500721" w:rsidRDefault="00FD1035">
            <w:r>
              <w:rPr>
                <w:color w:val="8FA5BA"/>
                <w:sz w:val="18"/>
                <w:szCs w:val="18"/>
              </w:rPr>
              <w:t>TRADING DAYS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190" w:type="dxa"/>
              <w:left w:w="210" w:type="dxa"/>
              <w:bottom w:w="190" w:type="dxa"/>
              <w:right w:w="210" w:type="dxa"/>
            </w:tcMar>
          </w:tcPr>
          <w:p w14:paraId="3DAB3A8B" w14:textId="77777777" w:rsidR="00500721" w:rsidRDefault="00FD1035">
            <w:pPr>
              <w:spacing w:after="45"/>
            </w:pPr>
            <w:r>
              <w:rPr>
                <w:b/>
                <w:bCs/>
                <w:color w:val="00A886"/>
                <w:sz w:val="34"/>
                <w:szCs w:val="34"/>
              </w:rPr>
              <w:t>3.55T</w:t>
            </w:r>
          </w:p>
          <w:p w14:paraId="6CF1C102" w14:textId="77777777" w:rsidR="00500721" w:rsidRDefault="00FD1035">
            <w:r>
              <w:rPr>
                <w:color w:val="8FA5BA"/>
                <w:sz w:val="18"/>
                <w:szCs w:val="18"/>
              </w:rPr>
              <w:t>SHARES TRADED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190" w:type="dxa"/>
              <w:left w:w="210" w:type="dxa"/>
              <w:bottom w:w="190" w:type="dxa"/>
              <w:right w:w="210" w:type="dxa"/>
            </w:tcMar>
          </w:tcPr>
          <w:p w14:paraId="118653C1" w14:textId="77777777" w:rsidR="00500721" w:rsidRDefault="00FD1035">
            <w:pPr>
              <w:spacing w:after="45"/>
            </w:pPr>
            <w:r>
              <w:rPr>
                <w:b/>
                <w:bCs/>
                <w:color w:val="E8A020"/>
                <w:sz w:val="34"/>
                <w:szCs w:val="34"/>
              </w:rPr>
              <w:t>39</w:t>
            </w:r>
          </w:p>
          <w:p w14:paraId="6947C77C" w14:textId="77777777" w:rsidR="00500721" w:rsidRDefault="00FD1035">
            <w:r>
              <w:rPr>
                <w:color w:val="8FA5BA"/>
                <w:sz w:val="18"/>
                <w:szCs w:val="18"/>
              </w:rPr>
              <w:t>DAX MEASURES</w:t>
            </w:r>
          </w:p>
        </w:tc>
      </w:tr>
    </w:tbl>
    <w:p w14:paraId="45C2EB1F" w14:textId="77777777" w:rsidR="00500721" w:rsidRDefault="00500721">
      <w:pPr>
        <w:spacing w:before="9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00721" w14:paraId="2B5B7B6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190" w:type="dxa"/>
              <w:left w:w="210" w:type="dxa"/>
              <w:bottom w:w="190" w:type="dxa"/>
              <w:right w:w="210" w:type="dxa"/>
            </w:tcMar>
          </w:tcPr>
          <w:p w14:paraId="61C2D6FC" w14:textId="77777777" w:rsidR="00500721" w:rsidRDefault="00FD1035">
            <w:pPr>
              <w:spacing w:after="45"/>
            </w:pPr>
            <w:r>
              <w:rPr>
                <w:b/>
                <w:bCs/>
                <w:color w:val="E8A020"/>
                <w:sz w:val="34"/>
                <w:szCs w:val="34"/>
              </w:rPr>
              <w:t>8</w:t>
            </w:r>
          </w:p>
          <w:p w14:paraId="0ABE6069" w14:textId="77777777" w:rsidR="00500721" w:rsidRDefault="00FD1035">
            <w:r>
              <w:rPr>
                <w:color w:val="8FA5BA"/>
                <w:sz w:val="18"/>
                <w:szCs w:val="18"/>
              </w:rPr>
              <w:t>INTERACTIVE DASHBOARDS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190" w:type="dxa"/>
              <w:left w:w="210" w:type="dxa"/>
              <w:bottom w:w="190" w:type="dxa"/>
              <w:right w:w="210" w:type="dxa"/>
            </w:tcMar>
          </w:tcPr>
          <w:p w14:paraId="44854DF9" w14:textId="77777777" w:rsidR="00500721" w:rsidRDefault="00FD1035">
            <w:pPr>
              <w:spacing w:after="45"/>
            </w:pPr>
            <w:r>
              <w:rPr>
                <w:b/>
                <w:bCs/>
                <w:color w:val="00A886"/>
                <w:sz w:val="34"/>
                <w:szCs w:val="34"/>
              </w:rPr>
              <w:t>11</w:t>
            </w:r>
          </w:p>
          <w:p w14:paraId="490D1B47" w14:textId="77777777" w:rsidR="00500721" w:rsidRDefault="00FD1035">
            <w:r>
              <w:rPr>
                <w:color w:val="8FA5BA"/>
                <w:sz w:val="18"/>
                <w:szCs w:val="18"/>
              </w:rPr>
              <w:t>SECTORS MAPPED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190" w:type="dxa"/>
              <w:left w:w="210" w:type="dxa"/>
              <w:bottom w:w="190" w:type="dxa"/>
              <w:right w:w="210" w:type="dxa"/>
            </w:tcMar>
          </w:tcPr>
          <w:p w14:paraId="16DC5A1F" w14:textId="77777777" w:rsidR="00500721" w:rsidRDefault="00FD1035">
            <w:pPr>
              <w:spacing w:after="45"/>
            </w:pPr>
            <w:r>
              <w:rPr>
                <w:b/>
                <w:bCs/>
                <w:color w:val="E8A020"/>
                <w:sz w:val="34"/>
                <w:szCs w:val="34"/>
              </w:rPr>
              <w:t>6</w:t>
            </w:r>
          </w:p>
          <w:p w14:paraId="1E7A1D3F" w14:textId="77777777" w:rsidR="00500721" w:rsidRDefault="00FD1035">
            <w:r>
              <w:rPr>
                <w:color w:val="8FA5BA"/>
                <w:sz w:val="18"/>
                <w:szCs w:val="18"/>
              </w:rPr>
              <w:t>MACRO EVENTS TRACKED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190" w:type="dxa"/>
              <w:left w:w="210" w:type="dxa"/>
              <w:bottom w:w="190" w:type="dxa"/>
              <w:right w:w="210" w:type="dxa"/>
            </w:tcMar>
          </w:tcPr>
          <w:p w14:paraId="4DC0C663" w14:textId="77777777" w:rsidR="00500721" w:rsidRDefault="00FD1035">
            <w:pPr>
              <w:spacing w:after="45"/>
            </w:pPr>
            <w:r>
              <w:rPr>
                <w:b/>
                <w:bCs/>
                <w:color w:val="00A886"/>
                <w:sz w:val="34"/>
                <w:szCs w:val="34"/>
              </w:rPr>
              <w:t>0.29</w:t>
            </w:r>
          </w:p>
          <w:p w14:paraId="7787AF42" w14:textId="77777777" w:rsidR="00500721" w:rsidRDefault="00FD1035">
            <w:r>
              <w:rPr>
                <w:color w:val="8FA5BA"/>
                <w:sz w:val="18"/>
                <w:szCs w:val="18"/>
              </w:rPr>
              <w:t>VOLUME-RETURN CORRELATION</w:t>
            </w:r>
          </w:p>
        </w:tc>
      </w:tr>
    </w:tbl>
    <w:p w14:paraId="6A06594B" w14:textId="77777777" w:rsidR="00706D33" w:rsidRDefault="00706D33"/>
    <w:p w14:paraId="155F6081" w14:textId="4EDE9BBF" w:rsidR="00500721" w:rsidRDefault="00FD1035" w:rsidP="00706D33">
      <w:r w:rsidRPr="00706D33">
        <w:rPr>
          <w:b/>
          <w:bCs/>
          <w:color w:val="0070C0"/>
          <w:sz w:val="34"/>
          <w:szCs w:val="34"/>
        </w:rPr>
        <w:t xml:space="preserve">01  </w:t>
      </w:r>
      <w:r w:rsidR="00706D33">
        <w:rPr>
          <w:b/>
          <w:bCs/>
          <w:color w:val="0D1B2A"/>
          <w:sz w:val="34"/>
          <w:szCs w:val="34"/>
        </w:rPr>
        <w:t>EXECUTIVE SUMMARY</w:t>
      </w:r>
    </w:p>
    <w:p w14:paraId="104BFFC6" w14:textId="59077E67" w:rsidR="00500721" w:rsidRDefault="00FD1035" w:rsidP="00706D33">
      <w:pPr>
        <w:spacing w:before="60" w:after="100"/>
      </w:pPr>
      <w:r>
        <w:t>This project analyses five years of daily stock market data for 491 globally listed companies, spanning November 2018 to November 2023 — a period covering the COVID-19 crash, the fastest recovery in market history, a 40-year inflation peak, an aggressive rate hike cycle, and the arrival of AI as a defining market theme.</w:t>
      </w:r>
      <w:r w:rsidR="00706D33">
        <w:t xml:space="preserve"> </w:t>
      </w:r>
      <w:r>
        <w:t>The entire analysis was built in Power BI Desktop: a custom semantic model with 41 DAX measures across 13 display folders, 4 calculated tables including a hand-built 489-ticker sector mapping, and 8 fully interactive dashboards covering market overview, per-stock deep-dives, performance comparison, liquidity, dividends, sector analysis, risk, and time series with macroeconomic event markers.</w:t>
      </w:r>
    </w:p>
    <w:p w14:paraId="4E9FF6DE" w14:textId="77777777" w:rsidR="00500721" w:rsidRPr="00706D33" w:rsidRDefault="00FD1035">
      <w:pPr>
        <w:pStyle w:val="Heading2"/>
        <w:rPr>
          <w:color w:val="0070C0"/>
        </w:rPr>
      </w:pPr>
      <w:r w:rsidRPr="00706D33">
        <w:rPr>
          <w:color w:val="0070C0"/>
        </w:rPr>
        <w:t>Headline findings</w:t>
      </w:r>
    </w:p>
    <w:p w14:paraId="69CE755E" w14:textId="77777777" w:rsidR="00500721" w:rsidRDefault="00FD1035">
      <w:pPr>
        <w:spacing w:before="55" w:after="55"/>
        <w:ind w:left="460" w:hanging="230"/>
      </w:pPr>
      <w:r>
        <w:rPr>
          <w:b/>
          <w:bCs/>
          <w:color w:val="00A886"/>
          <w:sz w:val="20"/>
          <w:szCs w:val="20"/>
        </w:rPr>
        <w:t>▸</w:t>
      </w:r>
      <w:r>
        <w:rPr>
          <w:b/>
          <w:bCs/>
          <w:color w:val="00A886"/>
          <w:sz w:val="20"/>
          <w:szCs w:val="20"/>
        </w:rPr>
        <w:t xml:space="preserve">  </w:t>
      </w:r>
      <w:r>
        <w:t>Energy was the best performing sector over the full five years (average return 530%), ahead of Technology (410%) — contrary to the common narrative that tech dominated the period.</w:t>
      </w:r>
    </w:p>
    <w:p w14:paraId="3079855F" w14:textId="77777777" w:rsidR="00500721" w:rsidRDefault="00FD1035">
      <w:pPr>
        <w:spacing w:before="55" w:after="55"/>
        <w:ind w:left="460" w:hanging="230"/>
      </w:pPr>
      <w:r>
        <w:rPr>
          <w:b/>
          <w:bCs/>
          <w:color w:val="00A886"/>
          <w:sz w:val="20"/>
          <w:szCs w:val="20"/>
        </w:rPr>
        <w:t>▸</w:t>
      </w:r>
      <w:r>
        <w:rPr>
          <w:b/>
          <w:bCs/>
          <w:color w:val="00A886"/>
          <w:sz w:val="20"/>
          <w:szCs w:val="20"/>
        </w:rPr>
        <w:t xml:space="preserve">  </w:t>
      </w:r>
      <w:r>
        <w:t>Every stock that returned over 3,000% also collapsed more than 95% from its peak at some point. MRNA returned 3,752% overall yet fell 97.5% peak-to-trough. Entry timing mattered as much as stock selection.</w:t>
      </w:r>
    </w:p>
    <w:p w14:paraId="40FE4868" w14:textId="77777777" w:rsidR="00500721" w:rsidRDefault="00FD1035">
      <w:pPr>
        <w:spacing w:before="55" w:after="55"/>
        <w:ind w:left="460" w:hanging="230"/>
      </w:pPr>
      <w:r>
        <w:rPr>
          <w:b/>
          <w:bCs/>
          <w:color w:val="00A886"/>
          <w:sz w:val="20"/>
          <w:szCs w:val="20"/>
        </w:rPr>
        <w:t>▸</w:t>
      </w:r>
      <w:r>
        <w:rPr>
          <w:b/>
          <w:bCs/>
          <w:color w:val="00A886"/>
          <w:sz w:val="20"/>
          <w:szCs w:val="20"/>
        </w:rPr>
        <w:t xml:space="preserve">  </w:t>
      </w:r>
      <w:r>
        <w:t>Trading volume is a weak predictor of returns: the Pearson correlation between average daily volume and five-year price change across all 491 stocks is just 0.29.</w:t>
      </w:r>
    </w:p>
    <w:p w14:paraId="762C8EC7" w14:textId="77777777" w:rsidR="00500721" w:rsidRDefault="00FD1035">
      <w:pPr>
        <w:spacing w:before="55" w:after="55"/>
        <w:ind w:left="460" w:hanging="230"/>
      </w:pPr>
      <w:r>
        <w:rPr>
          <w:b/>
          <w:bCs/>
          <w:color w:val="00A886"/>
          <w:sz w:val="20"/>
          <w:szCs w:val="20"/>
        </w:rPr>
        <w:t>▸</w:t>
      </w:r>
      <w:r>
        <w:rPr>
          <w:b/>
          <w:bCs/>
          <w:color w:val="00A886"/>
          <w:sz w:val="20"/>
          <w:szCs w:val="20"/>
        </w:rPr>
        <w:t xml:space="preserve">  </w:t>
      </w:r>
      <w:r>
        <w:t>On a risk-adjusted basis (Sharpe ratio), Targa Resources (TRGP) — a midstream energy company — outranked most of the celebrated tech and biotech names, delivering strong returns on markedly lower volatility.</w:t>
      </w:r>
    </w:p>
    <w:p w14:paraId="266E4FB2" w14:textId="77777777" w:rsidR="00500721" w:rsidRDefault="00FD1035">
      <w:pPr>
        <w:spacing w:before="55" w:after="55"/>
        <w:ind w:left="460" w:hanging="230"/>
      </w:pPr>
      <w:r>
        <w:rPr>
          <w:b/>
          <w:bCs/>
          <w:color w:val="00A886"/>
          <w:sz w:val="20"/>
          <w:szCs w:val="20"/>
        </w:rPr>
        <w:t>▸</w:t>
      </w:r>
      <w:r>
        <w:rPr>
          <w:b/>
          <w:bCs/>
          <w:color w:val="00A886"/>
          <w:sz w:val="20"/>
          <w:szCs w:val="20"/>
        </w:rPr>
        <w:t xml:space="preserve">  </w:t>
      </w:r>
      <w:r>
        <w:t>Moving average crossovers (golden cross / death cross) aligned closely with the boundaries of major macro events, correctly flagging both the 2022 drawdown and the 2023 recovery in high-growth names.</w:t>
      </w:r>
    </w:p>
    <w:p w14:paraId="1BE6BCF0" w14:textId="7DEB10BC" w:rsidR="00706D33" w:rsidRDefault="00FD1035" w:rsidP="00706D33">
      <w:r>
        <w:br w:type="page"/>
      </w:r>
    </w:p>
    <w:p w14:paraId="6DF9AC73" w14:textId="77777777" w:rsidR="00706D33" w:rsidRPr="00706D33" w:rsidRDefault="00706D33" w:rsidP="00706D33"/>
    <w:p w14:paraId="28F9CB1E" w14:textId="7E478DBE" w:rsidR="00500721" w:rsidRDefault="00FD1035" w:rsidP="00706D33">
      <w:pPr>
        <w:pStyle w:val="Heading1"/>
      </w:pPr>
      <w:r w:rsidRPr="00706D33">
        <w:rPr>
          <w:color w:val="0070C0"/>
        </w:rPr>
        <w:t>02</w:t>
      </w:r>
      <w:r>
        <w:rPr>
          <w:color w:val="00A886"/>
        </w:rPr>
        <w:t xml:space="preserve">  </w:t>
      </w:r>
      <w:r w:rsidR="00706D33">
        <w:t>DATASET OVERVIEW</w:t>
      </w:r>
    </w:p>
    <w:p w14:paraId="0BF64855" w14:textId="6FD7ADD3" w:rsidR="00500721" w:rsidRDefault="00FD1035" w:rsidP="00706D33">
      <w:pPr>
        <w:spacing w:before="60" w:after="100"/>
      </w:pPr>
      <w:r>
        <w:t>T</w:t>
      </w:r>
      <w:r>
        <w:t>he source is a public Kaggle dataset of daily open, high, low, close, volume, dividend, and stock split records. Each of the 491 companies carries up to 1,258 trading days of history — roughly 620,000 rows in total.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0"/>
        <w:gridCol w:w="3060"/>
        <w:gridCol w:w="3240"/>
      </w:tblGrid>
      <w:tr w:rsidR="00500721" w14:paraId="3CBFF8A4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0D1B2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024199EF" w14:textId="77777777" w:rsidR="00500721" w:rsidRDefault="00FD1035"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306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0D1B2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29BB0A04" w14:textId="77777777" w:rsidR="00500721" w:rsidRDefault="00FD1035"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  <w:tc>
          <w:tcPr>
            <w:tcW w:w="324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0D1B2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077C0B08" w14:textId="77777777" w:rsidR="00500721" w:rsidRDefault="00FD1035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500721" w14:paraId="2301379D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2BB2710A" w14:textId="77777777" w:rsidR="00500721" w:rsidRDefault="00FD1035">
            <w:r>
              <w:rPr>
                <w:sz w:val="19"/>
                <w:szCs w:val="19"/>
              </w:rPr>
              <w:t>Companies</w:t>
            </w:r>
          </w:p>
        </w:tc>
        <w:tc>
          <w:tcPr>
            <w:tcW w:w="306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77A74EB7" w14:textId="77777777" w:rsidR="00500721" w:rsidRDefault="00FD1035">
            <w:pPr>
              <w:jc w:val="right"/>
            </w:pPr>
            <w:r>
              <w:rPr>
                <w:sz w:val="19"/>
                <w:szCs w:val="19"/>
              </w:rPr>
              <w:t>491 unique tickers</w:t>
            </w:r>
          </w:p>
        </w:tc>
        <w:tc>
          <w:tcPr>
            <w:tcW w:w="324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6883CA9F" w14:textId="77777777" w:rsidR="00500721" w:rsidRDefault="00FD1035">
            <w:r>
              <w:rPr>
                <w:sz w:val="19"/>
                <w:szCs w:val="19"/>
              </w:rPr>
              <w:t>US-listed, global businesses</w:t>
            </w:r>
          </w:p>
        </w:tc>
      </w:tr>
      <w:tr w:rsidR="00500721" w14:paraId="253A4BEF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F4F7F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00BF5390" w14:textId="77777777" w:rsidR="00500721" w:rsidRDefault="00FD1035">
            <w:r>
              <w:rPr>
                <w:sz w:val="19"/>
                <w:szCs w:val="19"/>
              </w:rPr>
              <w:t>Period</w:t>
            </w:r>
          </w:p>
        </w:tc>
        <w:tc>
          <w:tcPr>
            <w:tcW w:w="306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F4F7F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46F56067" w14:textId="77777777" w:rsidR="00500721" w:rsidRDefault="00FD1035">
            <w:pPr>
              <w:jc w:val="right"/>
            </w:pPr>
            <w:r>
              <w:rPr>
                <w:sz w:val="19"/>
                <w:szCs w:val="19"/>
              </w:rPr>
              <w:t>Nov 2018 – Nov 2023</w:t>
            </w:r>
          </w:p>
        </w:tc>
        <w:tc>
          <w:tcPr>
            <w:tcW w:w="324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F4F7F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4E8025E3" w14:textId="77777777" w:rsidR="00500721" w:rsidRDefault="00FD1035">
            <w:r>
              <w:rPr>
                <w:sz w:val="19"/>
                <w:szCs w:val="19"/>
              </w:rPr>
              <w:t>5 years, daily frequency</w:t>
            </w:r>
          </w:p>
        </w:tc>
      </w:tr>
      <w:tr w:rsidR="00500721" w14:paraId="315193D9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487FDAD4" w14:textId="77777777" w:rsidR="00500721" w:rsidRDefault="00FD1035">
            <w:r>
              <w:rPr>
                <w:sz w:val="19"/>
                <w:szCs w:val="19"/>
              </w:rPr>
              <w:t>Trading days</w:t>
            </w:r>
          </w:p>
        </w:tc>
        <w:tc>
          <w:tcPr>
            <w:tcW w:w="306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6BFACA09" w14:textId="77777777" w:rsidR="00500721" w:rsidRDefault="00FD1035">
            <w:pPr>
              <w:jc w:val="right"/>
            </w:pPr>
            <w:r>
              <w:rPr>
                <w:sz w:val="19"/>
                <w:szCs w:val="19"/>
              </w:rPr>
              <w:t>1,258 per company</w:t>
            </w:r>
          </w:p>
        </w:tc>
        <w:tc>
          <w:tcPr>
            <w:tcW w:w="324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0F259F01" w14:textId="77777777" w:rsidR="00500721" w:rsidRDefault="00FD1035">
            <w:r>
              <w:rPr>
                <w:sz w:val="19"/>
                <w:szCs w:val="19"/>
              </w:rPr>
              <w:t>~620K rows total</w:t>
            </w:r>
          </w:p>
        </w:tc>
      </w:tr>
      <w:tr w:rsidR="00500721" w14:paraId="4D0AE6F2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F4F7F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21A1C54C" w14:textId="77777777" w:rsidR="00500721" w:rsidRDefault="00FD1035">
            <w:r>
              <w:rPr>
                <w:sz w:val="19"/>
                <w:szCs w:val="19"/>
              </w:rPr>
              <w:t>Average close price</w:t>
            </w:r>
          </w:p>
        </w:tc>
        <w:tc>
          <w:tcPr>
            <w:tcW w:w="306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F4F7F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561AC9CD" w14:textId="77777777" w:rsidR="00500721" w:rsidRDefault="00FD1035">
            <w:pPr>
              <w:jc w:val="right"/>
            </w:pPr>
            <w:r>
              <w:rPr>
                <w:sz w:val="19"/>
                <w:szCs w:val="19"/>
              </w:rPr>
              <w:t>$140.10</w:t>
            </w:r>
          </w:p>
        </w:tc>
        <w:tc>
          <w:tcPr>
            <w:tcW w:w="324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F4F7F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5CBCAB77" w14:textId="77777777" w:rsidR="00500721" w:rsidRDefault="00FD1035">
            <w:r>
              <w:rPr>
                <w:sz w:val="19"/>
                <w:szCs w:val="19"/>
              </w:rPr>
              <w:t>Across all stocks and dates</w:t>
            </w:r>
          </w:p>
        </w:tc>
      </w:tr>
      <w:tr w:rsidR="00500721" w14:paraId="72E717E6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364AAF47" w14:textId="77777777" w:rsidR="00500721" w:rsidRDefault="00FD1035">
            <w:r>
              <w:rPr>
                <w:sz w:val="19"/>
                <w:szCs w:val="19"/>
              </w:rPr>
              <w:t>Total volume traded</w:t>
            </w:r>
          </w:p>
        </w:tc>
        <w:tc>
          <w:tcPr>
            <w:tcW w:w="306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6A32F6B4" w14:textId="77777777" w:rsidR="00500721" w:rsidRDefault="00FD1035">
            <w:pPr>
              <w:jc w:val="right"/>
            </w:pPr>
            <w:r>
              <w:rPr>
                <w:sz w:val="19"/>
                <w:szCs w:val="19"/>
              </w:rPr>
              <w:t>3.55 trillion shares</w:t>
            </w:r>
          </w:p>
        </w:tc>
        <w:tc>
          <w:tcPr>
            <w:tcW w:w="324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402F5545" w14:textId="77777777" w:rsidR="00500721" w:rsidRDefault="00FD1035">
            <w:r>
              <w:rPr>
                <w:sz w:val="19"/>
                <w:szCs w:val="19"/>
              </w:rPr>
              <w:t>All companies combined</w:t>
            </w:r>
          </w:p>
        </w:tc>
      </w:tr>
      <w:tr w:rsidR="00500721" w14:paraId="46FE668E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F4F7F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268CB89C" w14:textId="77777777" w:rsidR="00500721" w:rsidRDefault="00FD1035">
            <w:r>
              <w:rPr>
                <w:sz w:val="19"/>
                <w:szCs w:val="19"/>
              </w:rPr>
              <w:t>Cumulative dividends</w:t>
            </w:r>
          </w:p>
        </w:tc>
        <w:tc>
          <w:tcPr>
            <w:tcW w:w="306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F4F7F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7F92FB6E" w14:textId="77777777" w:rsidR="00500721" w:rsidRDefault="00FD1035">
            <w:pPr>
              <w:jc w:val="right"/>
            </w:pPr>
            <w:r>
              <w:rPr>
                <w:sz w:val="19"/>
                <w:szCs w:val="19"/>
              </w:rPr>
              <w:t>$4,407.47 per share</w:t>
            </w:r>
          </w:p>
        </w:tc>
        <w:tc>
          <w:tcPr>
            <w:tcW w:w="324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F4F7F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44C4A518" w14:textId="77777777" w:rsidR="00500721" w:rsidRDefault="00FD1035">
            <w:r>
              <w:rPr>
                <w:sz w:val="19"/>
                <w:szCs w:val="19"/>
              </w:rPr>
              <w:t>Summed across the dataset</w:t>
            </w:r>
          </w:p>
        </w:tc>
      </w:tr>
      <w:tr w:rsidR="00500721" w14:paraId="1A93C635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28B13173" w14:textId="77777777" w:rsidR="00500721" w:rsidRDefault="00FD1035">
            <w:r>
              <w:rPr>
                <w:sz w:val="19"/>
                <w:szCs w:val="19"/>
              </w:rPr>
              <w:t>Sector coverage</w:t>
            </w:r>
          </w:p>
        </w:tc>
        <w:tc>
          <w:tcPr>
            <w:tcW w:w="306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30C2D6C7" w14:textId="77777777" w:rsidR="00500721" w:rsidRDefault="00FD1035">
            <w:pPr>
              <w:jc w:val="right"/>
            </w:pPr>
            <w:r>
              <w:rPr>
                <w:sz w:val="19"/>
                <w:szCs w:val="19"/>
              </w:rPr>
              <w:t>489 of 491 mapped</w:t>
            </w:r>
          </w:p>
        </w:tc>
        <w:tc>
          <w:tcPr>
            <w:tcW w:w="324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3DB66D81" w14:textId="77777777" w:rsidR="00500721" w:rsidRDefault="00FD1035">
            <w:r>
              <w:rPr>
                <w:sz w:val="19"/>
                <w:szCs w:val="19"/>
              </w:rPr>
              <w:t>11 GICS sectors, custom-built</w:t>
            </w:r>
          </w:p>
        </w:tc>
      </w:tr>
    </w:tbl>
    <w:p w14:paraId="167A7E10" w14:textId="77777777" w:rsidR="00500721" w:rsidRDefault="00FD1035">
      <w:pPr>
        <w:pStyle w:val="Heading2"/>
      </w:pPr>
      <w:r>
        <w:t>Semantic model</w:t>
      </w:r>
    </w:p>
    <w:p w14:paraId="7442F145" w14:textId="77777777" w:rsidR="00500721" w:rsidRDefault="00FD1035">
      <w:pPr>
        <w:spacing w:before="60" w:after="100"/>
      </w:pPr>
      <w:r>
        <w:t>The Power BI model contains four custom tables beyond the source data: a Sector Map (489 tickers hand-mapped to 11 GICS sectors and 60+ industries), a Market Events table annotating six macroeconomic periods, and a Company Stats table pre-computing per-company Sharpe inputs for use in legends and slicers. Forty-one DAX measures cover price, performance, volume, risk, sector aggregation, moving averages, drawdown, risk-adjusted returns, correlation, Value at Risk, and event labelling.</w:t>
      </w:r>
    </w:p>
    <w:p w14:paraId="73915A89" w14:textId="77777777" w:rsidR="00706D33" w:rsidRDefault="00706D33" w:rsidP="00706D33">
      <w:pPr>
        <w:rPr>
          <w:b/>
          <w:bCs/>
          <w:color w:val="00A886"/>
          <w:sz w:val="34"/>
          <w:szCs w:val="34"/>
        </w:rPr>
      </w:pPr>
    </w:p>
    <w:p w14:paraId="1EA3692E" w14:textId="77777777" w:rsidR="00706D33" w:rsidRDefault="00706D33" w:rsidP="00706D33">
      <w:pPr>
        <w:rPr>
          <w:b/>
          <w:bCs/>
          <w:color w:val="00A886"/>
          <w:sz w:val="34"/>
          <w:szCs w:val="34"/>
        </w:rPr>
      </w:pPr>
    </w:p>
    <w:p w14:paraId="66CDA6FE" w14:textId="77777777" w:rsidR="00706D33" w:rsidRDefault="00706D33" w:rsidP="00706D33">
      <w:pPr>
        <w:rPr>
          <w:b/>
          <w:bCs/>
          <w:color w:val="00A886"/>
          <w:sz w:val="34"/>
          <w:szCs w:val="34"/>
        </w:rPr>
      </w:pPr>
    </w:p>
    <w:p w14:paraId="713D3799" w14:textId="77777777" w:rsidR="00706D33" w:rsidRDefault="00706D33" w:rsidP="00706D33">
      <w:pPr>
        <w:rPr>
          <w:b/>
          <w:bCs/>
          <w:color w:val="00A886"/>
          <w:sz w:val="34"/>
          <w:szCs w:val="34"/>
        </w:rPr>
      </w:pPr>
    </w:p>
    <w:p w14:paraId="7119ACDE" w14:textId="77777777" w:rsidR="00706D33" w:rsidRDefault="00706D33" w:rsidP="00706D33">
      <w:pPr>
        <w:rPr>
          <w:b/>
          <w:bCs/>
          <w:color w:val="00A886"/>
          <w:sz w:val="34"/>
          <w:szCs w:val="34"/>
        </w:rPr>
      </w:pPr>
    </w:p>
    <w:p w14:paraId="6A1F0C38" w14:textId="77777777" w:rsidR="00706D33" w:rsidRDefault="00706D33" w:rsidP="00706D33">
      <w:pPr>
        <w:rPr>
          <w:b/>
          <w:bCs/>
          <w:color w:val="00A886"/>
          <w:sz w:val="34"/>
          <w:szCs w:val="34"/>
        </w:rPr>
      </w:pPr>
    </w:p>
    <w:p w14:paraId="4E74D518" w14:textId="77777777" w:rsidR="00706D33" w:rsidRDefault="00706D33" w:rsidP="00706D33">
      <w:pPr>
        <w:rPr>
          <w:b/>
          <w:bCs/>
          <w:color w:val="00A886"/>
          <w:sz w:val="34"/>
          <w:szCs w:val="34"/>
        </w:rPr>
      </w:pPr>
    </w:p>
    <w:p w14:paraId="26B929FC" w14:textId="77777777" w:rsidR="00706D33" w:rsidRDefault="00706D33" w:rsidP="00706D33">
      <w:pPr>
        <w:rPr>
          <w:b/>
          <w:bCs/>
          <w:color w:val="00A886"/>
          <w:sz w:val="34"/>
          <w:szCs w:val="34"/>
        </w:rPr>
      </w:pPr>
    </w:p>
    <w:p w14:paraId="3030F01F" w14:textId="77777777" w:rsidR="00706D33" w:rsidRDefault="00706D33" w:rsidP="00706D33">
      <w:pPr>
        <w:rPr>
          <w:b/>
          <w:bCs/>
          <w:color w:val="00A886"/>
          <w:sz w:val="34"/>
          <w:szCs w:val="34"/>
        </w:rPr>
      </w:pPr>
    </w:p>
    <w:p w14:paraId="10FF08D4" w14:textId="77777777" w:rsidR="00706D33" w:rsidRDefault="00706D33" w:rsidP="00706D33">
      <w:pPr>
        <w:rPr>
          <w:b/>
          <w:bCs/>
          <w:color w:val="00A886"/>
          <w:sz w:val="34"/>
          <w:szCs w:val="34"/>
        </w:rPr>
      </w:pPr>
    </w:p>
    <w:p w14:paraId="2CBE1923" w14:textId="77777777" w:rsidR="00706D33" w:rsidRDefault="00706D33" w:rsidP="00706D33">
      <w:pPr>
        <w:rPr>
          <w:b/>
          <w:bCs/>
          <w:color w:val="00A886"/>
          <w:sz w:val="34"/>
          <w:szCs w:val="34"/>
        </w:rPr>
      </w:pPr>
    </w:p>
    <w:p w14:paraId="3F57C524" w14:textId="77777777" w:rsidR="00706D33" w:rsidRDefault="00706D33" w:rsidP="00706D33">
      <w:pPr>
        <w:rPr>
          <w:b/>
          <w:bCs/>
          <w:color w:val="00A886"/>
          <w:sz w:val="34"/>
          <w:szCs w:val="34"/>
        </w:rPr>
      </w:pPr>
    </w:p>
    <w:p w14:paraId="277C51C6" w14:textId="77777777" w:rsidR="00706D33" w:rsidRDefault="00706D33" w:rsidP="00706D33">
      <w:pPr>
        <w:rPr>
          <w:b/>
          <w:bCs/>
          <w:color w:val="00A886"/>
          <w:sz w:val="34"/>
          <w:szCs w:val="34"/>
        </w:rPr>
      </w:pPr>
    </w:p>
    <w:p w14:paraId="7B37411F" w14:textId="77777777" w:rsidR="00706D33" w:rsidRDefault="00706D33" w:rsidP="00706D33">
      <w:pPr>
        <w:rPr>
          <w:b/>
          <w:bCs/>
          <w:color w:val="00A886"/>
          <w:sz w:val="34"/>
          <w:szCs w:val="34"/>
        </w:rPr>
      </w:pPr>
    </w:p>
    <w:p w14:paraId="17B51D5C" w14:textId="77777777" w:rsidR="00706D33" w:rsidRDefault="00706D33" w:rsidP="00706D33">
      <w:pPr>
        <w:rPr>
          <w:b/>
          <w:bCs/>
          <w:color w:val="00A886"/>
          <w:sz w:val="34"/>
          <w:szCs w:val="34"/>
        </w:rPr>
      </w:pPr>
    </w:p>
    <w:p w14:paraId="59C1AF7E" w14:textId="77777777" w:rsidR="00706D33" w:rsidRDefault="00706D33" w:rsidP="00706D33">
      <w:pPr>
        <w:rPr>
          <w:b/>
          <w:bCs/>
          <w:color w:val="00A886"/>
          <w:sz w:val="34"/>
          <w:szCs w:val="34"/>
        </w:rPr>
      </w:pPr>
    </w:p>
    <w:p w14:paraId="341D09EC" w14:textId="77777777" w:rsidR="00706D33" w:rsidRDefault="00706D33" w:rsidP="00706D33">
      <w:pPr>
        <w:rPr>
          <w:b/>
          <w:bCs/>
          <w:color w:val="00A886"/>
          <w:sz w:val="34"/>
          <w:szCs w:val="34"/>
        </w:rPr>
      </w:pPr>
    </w:p>
    <w:p w14:paraId="3558E40A" w14:textId="77777777" w:rsidR="00706D33" w:rsidRDefault="00706D33" w:rsidP="00706D33">
      <w:pPr>
        <w:rPr>
          <w:b/>
          <w:bCs/>
          <w:color w:val="00A886"/>
          <w:sz w:val="34"/>
          <w:szCs w:val="34"/>
        </w:rPr>
      </w:pPr>
    </w:p>
    <w:p w14:paraId="737C5873" w14:textId="5207077E" w:rsidR="00500721" w:rsidRDefault="00FD1035" w:rsidP="00706D33">
      <w:r w:rsidRPr="00706D33">
        <w:rPr>
          <w:b/>
          <w:bCs/>
          <w:color w:val="0070C0"/>
          <w:sz w:val="34"/>
          <w:szCs w:val="34"/>
        </w:rPr>
        <w:t xml:space="preserve">03  </w:t>
      </w:r>
      <w:r w:rsidR="00706D33">
        <w:rPr>
          <w:b/>
          <w:bCs/>
          <w:color w:val="0D1B2A"/>
          <w:sz w:val="34"/>
          <w:szCs w:val="34"/>
        </w:rPr>
        <w:t>SECTOR ANALYSIS</w:t>
      </w:r>
    </w:p>
    <w:p w14:paraId="10025E8B" w14:textId="08A2B844" w:rsidR="00500721" w:rsidRDefault="00FD1035" w:rsidP="00706D33">
      <w:pPr>
        <w:spacing w:before="60" w:after="100"/>
      </w:pPr>
      <w:r>
        <w:t>The original dataset contained no sector information. A custom mapping table was built covering 489 of the 491 tickers across 11 sectors, enabling institutional-style sector comparison.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1440"/>
        <w:gridCol w:w="1920"/>
        <w:gridCol w:w="1800"/>
        <w:gridCol w:w="1440"/>
      </w:tblGrid>
      <w:tr w:rsidR="00500721" w14:paraId="25BB8C4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0D1B2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45F1AA27" w14:textId="77777777" w:rsidR="00500721" w:rsidRDefault="00FD1035">
            <w:r>
              <w:rPr>
                <w:b/>
                <w:bCs/>
                <w:color w:val="FFFFFF"/>
                <w:sz w:val="19"/>
                <w:szCs w:val="19"/>
              </w:rPr>
              <w:t>Sector</w:t>
            </w:r>
          </w:p>
        </w:tc>
        <w:tc>
          <w:tcPr>
            <w:tcW w:w="144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0D1B2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631961B9" w14:textId="77777777" w:rsidR="00500721" w:rsidRDefault="00FD1035">
            <w:r>
              <w:rPr>
                <w:b/>
                <w:bCs/>
                <w:color w:val="FFFFFF"/>
                <w:sz w:val="19"/>
                <w:szCs w:val="19"/>
              </w:rPr>
              <w:t>Companies</w:t>
            </w:r>
          </w:p>
        </w:tc>
        <w:tc>
          <w:tcPr>
            <w:tcW w:w="192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0D1B2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5FC6E1F4" w14:textId="77777777" w:rsidR="00500721" w:rsidRDefault="00FD1035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Avg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5-yr return</w:t>
            </w:r>
          </w:p>
        </w:tc>
        <w:tc>
          <w:tcPr>
            <w:tcW w:w="180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0D1B2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6BD72F1F" w14:textId="77777777" w:rsidR="00500721" w:rsidRDefault="00FD1035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Avg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volatility</w:t>
            </w:r>
          </w:p>
        </w:tc>
        <w:tc>
          <w:tcPr>
            <w:tcW w:w="144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0D1B2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39379E2A" w14:textId="77777777" w:rsidR="00500721" w:rsidRDefault="00FD1035">
            <w:r>
              <w:rPr>
                <w:b/>
                <w:bCs/>
                <w:color w:val="FFFFFF"/>
                <w:sz w:val="19"/>
                <w:szCs w:val="19"/>
              </w:rPr>
              <w:t>Top stock</w:t>
            </w:r>
          </w:p>
        </w:tc>
      </w:tr>
      <w:tr w:rsidR="00500721" w14:paraId="1D70F02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27020DB0" w14:textId="77777777" w:rsidR="00500721" w:rsidRDefault="00FD1035">
            <w:r>
              <w:rPr>
                <w:b/>
                <w:bCs/>
                <w:sz w:val="19"/>
                <w:szCs w:val="19"/>
              </w:rPr>
              <w:t>Energy</w:t>
            </w:r>
          </w:p>
        </w:tc>
        <w:tc>
          <w:tcPr>
            <w:tcW w:w="144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14D3D6C2" w14:textId="77777777" w:rsidR="00500721" w:rsidRDefault="00FD1035">
            <w:pPr>
              <w:jc w:val="right"/>
            </w:pPr>
            <w:r>
              <w:rPr>
                <w:sz w:val="19"/>
                <w:szCs w:val="19"/>
              </w:rPr>
              <w:t>40</w:t>
            </w:r>
          </w:p>
        </w:tc>
        <w:tc>
          <w:tcPr>
            <w:tcW w:w="192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1DE27E56" w14:textId="77777777" w:rsidR="00500721" w:rsidRDefault="00FD1035">
            <w:pPr>
              <w:jc w:val="right"/>
            </w:pPr>
            <w:r>
              <w:rPr>
                <w:b/>
                <w:bCs/>
                <w:color w:val="007A64"/>
                <w:sz w:val="19"/>
                <w:szCs w:val="19"/>
              </w:rPr>
              <w:t>530%</w:t>
            </w:r>
          </w:p>
        </w:tc>
        <w:tc>
          <w:tcPr>
            <w:tcW w:w="180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15156304" w14:textId="77777777" w:rsidR="00500721" w:rsidRDefault="00FD1035">
            <w:pPr>
              <w:jc w:val="right"/>
            </w:pPr>
            <w:r>
              <w:rPr>
                <w:sz w:val="19"/>
                <w:szCs w:val="19"/>
              </w:rPr>
              <w:t>$14.98</w:t>
            </w:r>
          </w:p>
        </w:tc>
        <w:tc>
          <w:tcPr>
            <w:tcW w:w="144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708445A6" w14:textId="77777777" w:rsidR="00500721" w:rsidRDefault="00FD1035">
            <w:r>
              <w:rPr>
                <w:sz w:val="19"/>
                <w:szCs w:val="19"/>
              </w:rPr>
              <w:t>TRGP</w:t>
            </w:r>
          </w:p>
        </w:tc>
      </w:tr>
      <w:tr w:rsidR="00500721" w14:paraId="0194BDD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F4F7F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10BA1C4E" w14:textId="77777777" w:rsidR="00500721" w:rsidRDefault="00FD1035">
            <w:r>
              <w:rPr>
                <w:b/>
                <w:bCs/>
                <w:sz w:val="19"/>
                <w:szCs w:val="19"/>
              </w:rPr>
              <w:t>Consumer Discretionary</w:t>
            </w:r>
          </w:p>
        </w:tc>
        <w:tc>
          <w:tcPr>
            <w:tcW w:w="144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F4F7F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4EDC93C8" w14:textId="77777777" w:rsidR="00500721" w:rsidRDefault="00FD1035">
            <w:pPr>
              <w:jc w:val="right"/>
            </w:pPr>
            <w:r>
              <w:rPr>
                <w:sz w:val="19"/>
                <w:szCs w:val="19"/>
              </w:rPr>
              <w:t>45</w:t>
            </w:r>
          </w:p>
        </w:tc>
        <w:tc>
          <w:tcPr>
            <w:tcW w:w="192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F4F7F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7F1E4960" w14:textId="77777777" w:rsidR="00500721" w:rsidRDefault="00FD1035">
            <w:pPr>
              <w:jc w:val="right"/>
            </w:pPr>
            <w:r>
              <w:rPr>
                <w:b/>
                <w:bCs/>
                <w:color w:val="007A64"/>
                <w:sz w:val="19"/>
                <w:szCs w:val="19"/>
              </w:rPr>
              <w:t>470%</w:t>
            </w:r>
          </w:p>
        </w:tc>
        <w:tc>
          <w:tcPr>
            <w:tcW w:w="180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F4F7F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47F1F364" w14:textId="77777777" w:rsidR="00500721" w:rsidRDefault="00FD1035">
            <w:pPr>
              <w:jc w:val="right"/>
            </w:pPr>
            <w:r>
              <w:rPr>
                <w:sz w:val="19"/>
                <w:szCs w:val="19"/>
              </w:rPr>
              <w:t>$92.12</w:t>
            </w:r>
          </w:p>
        </w:tc>
        <w:tc>
          <w:tcPr>
            <w:tcW w:w="144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F4F7F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28132590" w14:textId="77777777" w:rsidR="00500721" w:rsidRDefault="00FD1035">
            <w:r>
              <w:rPr>
                <w:sz w:val="19"/>
                <w:szCs w:val="19"/>
              </w:rPr>
              <w:t>TSLA</w:t>
            </w:r>
          </w:p>
        </w:tc>
      </w:tr>
      <w:tr w:rsidR="00500721" w14:paraId="51796D7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42428664" w14:textId="77777777" w:rsidR="00500721" w:rsidRDefault="00FD1035">
            <w:r>
              <w:rPr>
                <w:b/>
                <w:bCs/>
                <w:sz w:val="19"/>
                <w:szCs w:val="19"/>
              </w:rPr>
              <w:t>Technology</w:t>
            </w:r>
          </w:p>
        </w:tc>
        <w:tc>
          <w:tcPr>
            <w:tcW w:w="144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0D2A7C28" w14:textId="77777777" w:rsidR="00500721" w:rsidRDefault="00FD1035">
            <w:pPr>
              <w:jc w:val="right"/>
            </w:pPr>
            <w:r>
              <w:rPr>
                <w:sz w:val="19"/>
                <w:szCs w:val="19"/>
              </w:rPr>
              <w:t>84</w:t>
            </w:r>
          </w:p>
        </w:tc>
        <w:tc>
          <w:tcPr>
            <w:tcW w:w="192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31E9B099" w14:textId="77777777" w:rsidR="00500721" w:rsidRDefault="00FD1035">
            <w:pPr>
              <w:jc w:val="right"/>
            </w:pPr>
            <w:r>
              <w:rPr>
                <w:b/>
                <w:bCs/>
                <w:color w:val="007A64"/>
                <w:sz w:val="19"/>
                <w:szCs w:val="19"/>
              </w:rPr>
              <w:t>410%</w:t>
            </w:r>
          </w:p>
        </w:tc>
        <w:tc>
          <w:tcPr>
            <w:tcW w:w="180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6D289B8C" w14:textId="77777777" w:rsidR="00500721" w:rsidRDefault="00FD1035">
            <w:pPr>
              <w:jc w:val="right"/>
            </w:pPr>
            <w:r>
              <w:rPr>
                <w:sz w:val="19"/>
                <w:szCs w:val="19"/>
              </w:rPr>
              <w:t>$48.73</w:t>
            </w:r>
          </w:p>
        </w:tc>
        <w:tc>
          <w:tcPr>
            <w:tcW w:w="144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49E42C04" w14:textId="77777777" w:rsidR="00500721" w:rsidRDefault="00FD1035">
            <w:r>
              <w:rPr>
                <w:sz w:val="19"/>
                <w:szCs w:val="19"/>
              </w:rPr>
              <w:t>SNAP</w:t>
            </w:r>
          </w:p>
        </w:tc>
      </w:tr>
      <w:tr w:rsidR="00500721" w14:paraId="5720D30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F4F7F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3A6A6506" w14:textId="77777777" w:rsidR="00500721" w:rsidRDefault="00FD1035">
            <w:r>
              <w:rPr>
                <w:b/>
                <w:bCs/>
                <w:sz w:val="19"/>
                <w:szCs w:val="19"/>
              </w:rPr>
              <w:t>Healthcare</w:t>
            </w:r>
          </w:p>
        </w:tc>
        <w:tc>
          <w:tcPr>
            <w:tcW w:w="144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F4F7F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1EB26063" w14:textId="77777777" w:rsidR="00500721" w:rsidRDefault="00FD1035">
            <w:pPr>
              <w:jc w:val="right"/>
            </w:pPr>
            <w:r>
              <w:rPr>
                <w:sz w:val="19"/>
                <w:szCs w:val="19"/>
              </w:rPr>
              <w:t>58</w:t>
            </w:r>
          </w:p>
        </w:tc>
        <w:tc>
          <w:tcPr>
            <w:tcW w:w="192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F4F7F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3C287B33" w14:textId="77777777" w:rsidR="00500721" w:rsidRDefault="00FD1035">
            <w:pPr>
              <w:jc w:val="right"/>
            </w:pPr>
            <w:r>
              <w:rPr>
                <w:color w:val="007A64"/>
                <w:sz w:val="19"/>
                <w:szCs w:val="19"/>
              </w:rPr>
              <w:t>321%</w:t>
            </w:r>
          </w:p>
        </w:tc>
        <w:tc>
          <w:tcPr>
            <w:tcW w:w="180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F4F7F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780B2712" w14:textId="77777777" w:rsidR="00500721" w:rsidRDefault="00FD1035">
            <w:pPr>
              <w:jc w:val="right"/>
            </w:pPr>
            <w:r>
              <w:rPr>
                <w:sz w:val="19"/>
                <w:szCs w:val="19"/>
              </w:rPr>
              <w:t>$50.61</w:t>
            </w:r>
          </w:p>
        </w:tc>
        <w:tc>
          <w:tcPr>
            <w:tcW w:w="144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F4F7F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5EE6CBAF" w14:textId="77777777" w:rsidR="00500721" w:rsidRDefault="00FD1035">
            <w:r>
              <w:rPr>
                <w:sz w:val="19"/>
                <w:szCs w:val="19"/>
              </w:rPr>
              <w:t>MRNA</w:t>
            </w:r>
          </w:p>
        </w:tc>
      </w:tr>
      <w:tr w:rsidR="00500721" w14:paraId="7AB5B5D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214BFD26" w14:textId="77777777" w:rsidR="00500721" w:rsidRDefault="00FD1035">
            <w:r>
              <w:rPr>
                <w:b/>
                <w:bCs/>
                <w:sz w:val="19"/>
                <w:szCs w:val="19"/>
              </w:rPr>
              <w:t>Materials</w:t>
            </w:r>
          </w:p>
        </w:tc>
        <w:tc>
          <w:tcPr>
            <w:tcW w:w="144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7B3B5339" w14:textId="77777777" w:rsidR="00500721" w:rsidRDefault="00FD1035">
            <w:pPr>
              <w:jc w:val="right"/>
            </w:pPr>
            <w:r>
              <w:rPr>
                <w:sz w:val="19"/>
                <w:szCs w:val="19"/>
              </w:rPr>
              <w:t>27</w:t>
            </w:r>
          </w:p>
        </w:tc>
        <w:tc>
          <w:tcPr>
            <w:tcW w:w="192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2DF4A94B" w14:textId="77777777" w:rsidR="00500721" w:rsidRDefault="00FD1035">
            <w:pPr>
              <w:jc w:val="right"/>
            </w:pPr>
            <w:r>
              <w:rPr>
                <w:sz w:val="19"/>
                <w:szCs w:val="19"/>
              </w:rPr>
              <w:t>268%</w:t>
            </w:r>
          </w:p>
        </w:tc>
        <w:tc>
          <w:tcPr>
            <w:tcW w:w="180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1E0F7831" w14:textId="77777777" w:rsidR="00500721" w:rsidRDefault="00FD1035">
            <w:pPr>
              <w:jc w:val="right"/>
            </w:pPr>
            <w:r>
              <w:rPr>
                <w:sz w:val="19"/>
                <w:szCs w:val="19"/>
              </w:rPr>
              <w:t>$22.32</w:t>
            </w:r>
          </w:p>
        </w:tc>
        <w:tc>
          <w:tcPr>
            <w:tcW w:w="144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5282B063" w14:textId="77777777" w:rsidR="00500721" w:rsidRDefault="00FD1035">
            <w:r>
              <w:rPr>
                <w:sz w:val="19"/>
                <w:szCs w:val="19"/>
              </w:rPr>
              <w:t>FCX</w:t>
            </w:r>
          </w:p>
        </w:tc>
      </w:tr>
      <w:tr w:rsidR="00500721" w14:paraId="4141B0C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F4F7F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280D8D7D" w14:textId="77777777" w:rsidR="00500721" w:rsidRDefault="00FD1035">
            <w:r>
              <w:rPr>
                <w:b/>
                <w:bCs/>
                <w:sz w:val="19"/>
                <w:szCs w:val="19"/>
              </w:rPr>
              <w:t>Financials</w:t>
            </w:r>
          </w:p>
        </w:tc>
        <w:tc>
          <w:tcPr>
            <w:tcW w:w="144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F4F7F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2AF9B779" w14:textId="77777777" w:rsidR="00500721" w:rsidRDefault="00FD1035">
            <w:pPr>
              <w:jc w:val="right"/>
            </w:pPr>
            <w:r>
              <w:rPr>
                <w:sz w:val="19"/>
                <w:szCs w:val="19"/>
              </w:rPr>
              <w:t>84</w:t>
            </w:r>
          </w:p>
        </w:tc>
        <w:tc>
          <w:tcPr>
            <w:tcW w:w="192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F4F7F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4900663D" w14:textId="77777777" w:rsidR="00500721" w:rsidRDefault="00FD1035">
            <w:pPr>
              <w:jc w:val="right"/>
            </w:pPr>
            <w:r>
              <w:rPr>
                <w:sz w:val="19"/>
                <w:szCs w:val="19"/>
              </w:rPr>
              <w:t>241%</w:t>
            </w:r>
          </w:p>
        </w:tc>
        <w:tc>
          <w:tcPr>
            <w:tcW w:w="180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F4F7F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2F5EFE5D" w14:textId="77777777" w:rsidR="00500721" w:rsidRDefault="00FD1035">
            <w:pPr>
              <w:jc w:val="right"/>
            </w:pPr>
            <w:r>
              <w:rPr>
                <w:sz w:val="19"/>
                <w:szCs w:val="19"/>
              </w:rPr>
              <w:t>$26.89</w:t>
            </w:r>
          </w:p>
        </w:tc>
        <w:tc>
          <w:tcPr>
            <w:tcW w:w="144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F4F7F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6A510535" w14:textId="77777777" w:rsidR="00500721" w:rsidRDefault="00FD1035">
            <w:r>
              <w:rPr>
                <w:sz w:val="19"/>
                <w:szCs w:val="19"/>
              </w:rPr>
              <w:t>COIN</w:t>
            </w:r>
          </w:p>
        </w:tc>
      </w:tr>
      <w:tr w:rsidR="00500721" w14:paraId="44E5F13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102772B3" w14:textId="77777777" w:rsidR="00500721" w:rsidRDefault="00FD1035">
            <w:r>
              <w:rPr>
                <w:b/>
                <w:bCs/>
                <w:sz w:val="19"/>
                <w:szCs w:val="19"/>
              </w:rPr>
              <w:t>Industrials</w:t>
            </w:r>
          </w:p>
        </w:tc>
        <w:tc>
          <w:tcPr>
            <w:tcW w:w="144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5467FD8A" w14:textId="77777777" w:rsidR="00500721" w:rsidRDefault="00FD1035">
            <w:pPr>
              <w:jc w:val="right"/>
            </w:pPr>
            <w:r>
              <w:rPr>
                <w:sz w:val="19"/>
                <w:szCs w:val="19"/>
              </w:rPr>
              <w:t>57</w:t>
            </w:r>
          </w:p>
        </w:tc>
        <w:tc>
          <w:tcPr>
            <w:tcW w:w="192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34768009" w14:textId="77777777" w:rsidR="00500721" w:rsidRDefault="00FD1035">
            <w:pPr>
              <w:jc w:val="right"/>
            </w:pPr>
            <w:r>
              <w:rPr>
                <w:sz w:val="19"/>
                <w:szCs w:val="19"/>
              </w:rPr>
              <w:t>233%</w:t>
            </w:r>
          </w:p>
        </w:tc>
        <w:tc>
          <w:tcPr>
            <w:tcW w:w="180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411A9822" w14:textId="77777777" w:rsidR="00500721" w:rsidRDefault="00FD1035">
            <w:pPr>
              <w:jc w:val="right"/>
            </w:pPr>
            <w:r>
              <w:rPr>
                <w:sz w:val="19"/>
                <w:szCs w:val="19"/>
              </w:rPr>
              <w:t>$38.48</w:t>
            </w:r>
          </w:p>
        </w:tc>
        <w:tc>
          <w:tcPr>
            <w:tcW w:w="144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344B3967" w14:textId="77777777" w:rsidR="00500721" w:rsidRDefault="00FD1035">
            <w:r>
              <w:rPr>
                <w:sz w:val="19"/>
                <w:szCs w:val="19"/>
              </w:rPr>
              <w:t>PWR</w:t>
            </w:r>
          </w:p>
        </w:tc>
      </w:tr>
      <w:tr w:rsidR="00500721" w14:paraId="4D0DE1D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F4F7F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4463D227" w14:textId="77777777" w:rsidR="00500721" w:rsidRDefault="00FD1035">
            <w:r>
              <w:rPr>
                <w:b/>
                <w:bCs/>
                <w:sz w:val="19"/>
                <w:szCs w:val="19"/>
              </w:rPr>
              <w:t>Real Estate</w:t>
            </w:r>
          </w:p>
        </w:tc>
        <w:tc>
          <w:tcPr>
            <w:tcW w:w="144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F4F7F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4481EFB8" w14:textId="77777777" w:rsidR="00500721" w:rsidRDefault="00FD1035">
            <w:pPr>
              <w:jc w:val="right"/>
            </w:pPr>
            <w:r>
              <w:rPr>
                <w:sz w:val="19"/>
                <w:szCs w:val="19"/>
              </w:rPr>
              <w:t>19</w:t>
            </w:r>
          </w:p>
        </w:tc>
        <w:tc>
          <w:tcPr>
            <w:tcW w:w="192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F4F7F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47D63F9C" w14:textId="77777777" w:rsidR="00500721" w:rsidRDefault="00FD1035">
            <w:pPr>
              <w:jc w:val="right"/>
            </w:pPr>
            <w:r>
              <w:rPr>
                <w:sz w:val="19"/>
                <w:szCs w:val="19"/>
              </w:rPr>
              <w:t>215%</w:t>
            </w:r>
          </w:p>
        </w:tc>
        <w:tc>
          <w:tcPr>
            <w:tcW w:w="180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F4F7F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01530E61" w14:textId="77777777" w:rsidR="00500721" w:rsidRDefault="00FD1035">
            <w:pPr>
              <w:jc w:val="right"/>
            </w:pPr>
            <w:r>
              <w:rPr>
                <w:sz w:val="19"/>
                <w:szCs w:val="19"/>
              </w:rPr>
              <w:t>$27.10</w:t>
            </w:r>
          </w:p>
        </w:tc>
        <w:tc>
          <w:tcPr>
            <w:tcW w:w="144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F4F7F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6A5B5662" w14:textId="77777777" w:rsidR="00500721" w:rsidRDefault="00FD1035">
            <w:r>
              <w:rPr>
                <w:sz w:val="19"/>
                <w:szCs w:val="19"/>
              </w:rPr>
              <w:t>BEKE</w:t>
            </w:r>
          </w:p>
        </w:tc>
      </w:tr>
      <w:tr w:rsidR="00500721" w14:paraId="0F92855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289CE9AA" w14:textId="77777777" w:rsidR="00500721" w:rsidRDefault="00FD1035">
            <w:r>
              <w:rPr>
                <w:b/>
                <w:bCs/>
                <w:sz w:val="19"/>
                <w:szCs w:val="19"/>
              </w:rPr>
              <w:t>Communication Services</w:t>
            </w:r>
          </w:p>
        </w:tc>
        <w:tc>
          <w:tcPr>
            <w:tcW w:w="144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26BCF753" w14:textId="77777777" w:rsidR="00500721" w:rsidRDefault="00FD1035">
            <w:pPr>
              <w:jc w:val="right"/>
            </w:pPr>
            <w:r>
              <w:rPr>
                <w:sz w:val="19"/>
                <w:szCs w:val="19"/>
              </w:rPr>
              <w:t>19</w:t>
            </w:r>
          </w:p>
        </w:tc>
        <w:tc>
          <w:tcPr>
            <w:tcW w:w="192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3A68F974" w14:textId="77777777" w:rsidR="00500721" w:rsidRDefault="00FD1035">
            <w:pPr>
              <w:jc w:val="right"/>
            </w:pPr>
            <w:r>
              <w:rPr>
                <w:color w:val="8B1A27"/>
                <w:sz w:val="19"/>
                <w:szCs w:val="19"/>
              </w:rPr>
              <w:t>185%</w:t>
            </w:r>
          </w:p>
        </w:tc>
        <w:tc>
          <w:tcPr>
            <w:tcW w:w="180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6836A9DC" w14:textId="77777777" w:rsidR="00500721" w:rsidRDefault="00FD1035">
            <w:pPr>
              <w:jc w:val="right"/>
            </w:pPr>
            <w:r>
              <w:rPr>
                <w:sz w:val="19"/>
                <w:szCs w:val="19"/>
              </w:rPr>
              <w:t>$23.30</w:t>
            </w:r>
          </w:p>
        </w:tc>
        <w:tc>
          <w:tcPr>
            <w:tcW w:w="144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141F4B25" w14:textId="77777777" w:rsidR="00500721" w:rsidRDefault="00FD1035">
            <w:r>
              <w:rPr>
                <w:sz w:val="19"/>
                <w:szCs w:val="19"/>
              </w:rPr>
              <w:t>WBD</w:t>
            </w:r>
          </w:p>
        </w:tc>
      </w:tr>
      <w:tr w:rsidR="00500721" w14:paraId="3DFE8FE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F4F7F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0312053E" w14:textId="77777777" w:rsidR="00500721" w:rsidRDefault="00FD1035">
            <w:r>
              <w:rPr>
                <w:b/>
                <w:bCs/>
                <w:sz w:val="19"/>
                <w:szCs w:val="19"/>
              </w:rPr>
              <w:t>Consumer Staples</w:t>
            </w:r>
          </w:p>
        </w:tc>
        <w:tc>
          <w:tcPr>
            <w:tcW w:w="144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F4F7F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655FDC8F" w14:textId="77777777" w:rsidR="00500721" w:rsidRDefault="00FD1035">
            <w:pPr>
              <w:jc w:val="right"/>
            </w:pPr>
            <w:r>
              <w:rPr>
                <w:sz w:val="19"/>
                <w:szCs w:val="19"/>
              </w:rPr>
              <w:t>32</w:t>
            </w:r>
          </w:p>
        </w:tc>
        <w:tc>
          <w:tcPr>
            <w:tcW w:w="192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F4F7F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299D4D45" w14:textId="77777777" w:rsidR="00500721" w:rsidRDefault="00FD1035">
            <w:pPr>
              <w:jc w:val="right"/>
            </w:pPr>
            <w:r>
              <w:rPr>
                <w:color w:val="8B1A27"/>
                <w:sz w:val="19"/>
                <w:szCs w:val="19"/>
              </w:rPr>
              <w:t>146%</w:t>
            </w:r>
          </w:p>
        </w:tc>
        <w:tc>
          <w:tcPr>
            <w:tcW w:w="180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F4F7F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12AA0917" w14:textId="77777777" w:rsidR="00500721" w:rsidRDefault="00FD1035">
            <w:pPr>
              <w:jc w:val="right"/>
            </w:pPr>
            <w:r>
              <w:rPr>
                <w:sz w:val="19"/>
                <w:szCs w:val="19"/>
              </w:rPr>
              <w:t>$19.75</w:t>
            </w:r>
          </w:p>
        </w:tc>
        <w:tc>
          <w:tcPr>
            <w:tcW w:w="144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F4F7F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202B739A" w14:textId="77777777" w:rsidR="00500721" w:rsidRDefault="00FD1035">
            <w:r>
              <w:rPr>
                <w:sz w:val="19"/>
                <w:szCs w:val="19"/>
              </w:rPr>
              <w:t>TGT</w:t>
            </w:r>
          </w:p>
        </w:tc>
      </w:tr>
      <w:tr w:rsidR="00500721" w14:paraId="3921B3E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69E41451" w14:textId="77777777" w:rsidR="00500721" w:rsidRDefault="00FD1035">
            <w:r>
              <w:rPr>
                <w:b/>
                <w:bCs/>
                <w:sz w:val="19"/>
                <w:szCs w:val="19"/>
              </w:rPr>
              <w:t>Utilities</w:t>
            </w:r>
          </w:p>
        </w:tc>
        <w:tc>
          <w:tcPr>
            <w:tcW w:w="144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6DEC617B" w14:textId="77777777" w:rsidR="00500721" w:rsidRDefault="00FD1035">
            <w:pPr>
              <w:jc w:val="right"/>
            </w:pPr>
            <w:r>
              <w:rPr>
                <w:sz w:val="19"/>
                <w:szCs w:val="19"/>
              </w:rPr>
              <w:t>24</w:t>
            </w:r>
          </w:p>
        </w:tc>
        <w:tc>
          <w:tcPr>
            <w:tcW w:w="192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2064A7C4" w14:textId="77777777" w:rsidR="00500721" w:rsidRDefault="00FD1035">
            <w:pPr>
              <w:jc w:val="right"/>
            </w:pPr>
            <w:r>
              <w:rPr>
                <w:color w:val="8B1A27"/>
                <w:sz w:val="19"/>
                <w:szCs w:val="19"/>
              </w:rPr>
              <w:t>135%</w:t>
            </w:r>
          </w:p>
        </w:tc>
        <w:tc>
          <w:tcPr>
            <w:tcW w:w="180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5084DC40" w14:textId="77777777" w:rsidR="00500721" w:rsidRDefault="00FD1035">
            <w:pPr>
              <w:jc w:val="right"/>
            </w:pPr>
            <w:r>
              <w:rPr>
                <w:sz w:val="19"/>
                <w:szCs w:val="19"/>
              </w:rPr>
              <w:t>$8.94</w:t>
            </w:r>
          </w:p>
        </w:tc>
        <w:tc>
          <w:tcPr>
            <w:tcW w:w="144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1402591F" w14:textId="77777777" w:rsidR="00500721" w:rsidRDefault="00FD1035">
            <w:r>
              <w:rPr>
                <w:sz w:val="19"/>
                <w:szCs w:val="19"/>
              </w:rPr>
              <w:t>PCG</w:t>
            </w:r>
          </w:p>
        </w:tc>
      </w:tr>
    </w:tbl>
    <w:p w14:paraId="321B6A4E" w14:textId="77777777" w:rsidR="00500721" w:rsidRDefault="00500721">
      <w:pPr>
        <w:spacing w:before="90" w:after="60"/>
      </w:pPr>
    </w:p>
    <w:p w14:paraId="60C9F8EB" w14:textId="77777777" w:rsidR="00500721" w:rsidRDefault="00FD1035">
      <w:pPr>
        <w:spacing w:before="60" w:after="100"/>
      </w:pPr>
      <w:r>
        <w:t xml:space="preserve">Energy tops the ranking with the second-lowest average volatility of any sector — the 2022 oil price surge delivered outsized gains on comparatively stable prices, making it the strongest sector on both raw and risk-adjusted terms. Consumer </w:t>
      </w:r>
      <w:proofErr w:type="spellStart"/>
      <w:r>
        <w:t>Discretionary's</w:t>
      </w:r>
      <w:proofErr w:type="spellEnd"/>
      <w:r>
        <w:t xml:space="preserve"> second place is heavily driven by Tesla, and comes with by far the highest volatility ($92.12). Defensive sectors — Utilities and Consumer Staples — sit at the bottom on returns exactly as financial theory predicts, trading growth for stability.</w:t>
      </w:r>
    </w:p>
    <w:p w14:paraId="30680418" w14:textId="77777777" w:rsidR="00706D33" w:rsidRDefault="00706D33" w:rsidP="00706D33">
      <w:pPr>
        <w:rPr>
          <w:b/>
          <w:bCs/>
          <w:color w:val="00A886"/>
          <w:sz w:val="34"/>
          <w:szCs w:val="34"/>
        </w:rPr>
      </w:pPr>
    </w:p>
    <w:p w14:paraId="29115459" w14:textId="77777777" w:rsidR="00706D33" w:rsidRDefault="00706D33" w:rsidP="00706D33">
      <w:pPr>
        <w:rPr>
          <w:b/>
          <w:bCs/>
          <w:color w:val="00A886"/>
          <w:sz w:val="34"/>
          <w:szCs w:val="34"/>
        </w:rPr>
      </w:pPr>
    </w:p>
    <w:p w14:paraId="09E329DA" w14:textId="77777777" w:rsidR="00706D33" w:rsidRDefault="00706D33" w:rsidP="00706D33">
      <w:pPr>
        <w:rPr>
          <w:b/>
          <w:bCs/>
          <w:color w:val="00A886"/>
          <w:sz w:val="34"/>
          <w:szCs w:val="34"/>
        </w:rPr>
      </w:pPr>
    </w:p>
    <w:p w14:paraId="488BD442" w14:textId="77777777" w:rsidR="00706D33" w:rsidRDefault="00706D33" w:rsidP="00706D33">
      <w:pPr>
        <w:rPr>
          <w:b/>
          <w:bCs/>
          <w:color w:val="00A886"/>
          <w:sz w:val="34"/>
          <w:szCs w:val="34"/>
        </w:rPr>
      </w:pPr>
    </w:p>
    <w:p w14:paraId="2DC4D7E1" w14:textId="77777777" w:rsidR="00706D33" w:rsidRDefault="00706D33" w:rsidP="00706D33">
      <w:pPr>
        <w:rPr>
          <w:b/>
          <w:bCs/>
          <w:color w:val="00A886"/>
          <w:sz w:val="34"/>
          <w:szCs w:val="34"/>
        </w:rPr>
      </w:pPr>
    </w:p>
    <w:p w14:paraId="0BF8E830" w14:textId="77777777" w:rsidR="00706D33" w:rsidRDefault="00706D33" w:rsidP="00706D33">
      <w:pPr>
        <w:rPr>
          <w:b/>
          <w:bCs/>
          <w:color w:val="00A886"/>
          <w:sz w:val="34"/>
          <w:szCs w:val="34"/>
        </w:rPr>
      </w:pPr>
    </w:p>
    <w:p w14:paraId="27DDD456" w14:textId="77777777" w:rsidR="00706D33" w:rsidRDefault="00706D33" w:rsidP="00706D33">
      <w:pPr>
        <w:rPr>
          <w:b/>
          <w:bCs/>
          <w:color w:val="00A886"/>
          <w:sz w:val="34"/>
          <w:szCs w:val="34"/>
        </w:rPr>
      </w:pPr>
    </w:p>
    <w:p w14:paraId="00ABFC65" w14:textId="77777777" w:rsidR="00706D33" w:rsidRDefault="00706D33" w:rsidP="00706D33">
      <w:pPr>
        <w:rPr>
          <w:b/>
          <w:bCs/>
          <w:color w:val="00A886"/>
          <w:sz w:val="34"/>
          <w:szCs w:val="34"/>
        </w:rPr>
      </w:pPr>
    </w:p>
    <w:p w14:paraId="1BB24A28" w14:textId="77777777" w:rsidR="00706D33" w:rsidRDefault="00706D33" w:rsidP="00706D33">
      <w:pPr>
        <w:rPr>
          <w:b/>
          <w:bCs/>
          <w:color w:val="00A886"/>
          <w:sz w:val="34"/>
          <w:szCs w:val="34"/>
        </w:rPr>
      </w:pPr>
    </w:p>
    <w:p w14:paraId="4F1DE8A9" w14:textId="77777777" w:rsidR="00706D33" w:rsidRDefault="00706D33" w:rsidP="00706D33">
      <w:pPr>
        <w:rPr>
          <w:b/>
          <w:bCs/>
          <w:color w:val="00A886"/>
          <w:sz w:val="34"/>
          <w:szCs w:val="34"/>
        </w:rPr>
      </w:pPr>
    </w:p>
    <w:p w14:paraId="70E907FD" w14:textId="77777777" w:rsidR="00706D33" w:rsidRDefault="00706D33" w:rsidP="00706D33">
      <w:pPr>
        <w:rPr>
          <w:b/>
          <w:bCs/>
          <w:color w:val="00A886"/>
          <w:sz w:val="34"/>
          <w:szCs w:val="34"/>
        </w:rPr>
      </w:pPr>
    </w:p>
    <w:p w14:paraId="71C77563" w14:textId="77777777" w:rsidR="00706D33" w:rsidRDefault="00706D33" w:rsidP="00706D33">
      <w:pPr>
        <w:rPr>
          <w:b/>
          <w:bCs/>
          <w:color w:val="00A886"/>
          <w:sz w:val="34"/>
          <w:szCs w:val="34"/>
        </w:rPr>
      </w:pPr>
    </w:p>
    <w:p w14:paraId="73B42F32" w14:textId="77777777" w:rsidR="00706D33" w:rsidRDefault="00706D33" w:rsidP="00706D33">
      <w:pPr>
        <w:rPr>
          <w:b/>
          <w:bCs/>
          <w:color w:val="00A886"/>
          <w:sz w:val="34"/>
          <w:szCs w:val="34"/>
        </w:rPr>
      </w:pPr>
    </w:p>
    <w:p w14:paraId="6B8F3EED" w14:textId="77777777" w:rsidR="00706D33" w:rsidRDefault="00706D33" w:rsidP="00706D33">
      <w:pPr>
        <w:rPr>
          <w:b/>
          <w:bCs/>
          <w:color w:val="00A886"/>
          <w:sz w:val="34"/>
          <w:szCs w:val="34"/>
        </w:rPr>
      </w:pPr>
    </w:p>
    <w:p w14:paraId="7EDDD39E" w14:textId="77777777" w:rsidR="00706D33" w:rsidRDefault="00706D33" w:rsidP="00706D33">
      <w:pPr>
        <w:rPr>
          <w:b/>
          <w:bCs/>
          <w:color w:val="00A886"/>
          <w:sz w:val="34"/>
          <w:szCs w:val="34"/>
        </w:rPr>
      </w:pPr>
    </w:p>
    <w:p w14:paraId="691D1C5E" w14:textId="2A45E968" w:rsidR="00500721" w:rsidRDefault="00FD1035" w:rsidP="00706D33">
      <w:r w:rsidRPr="00706D33">
        <w:rPr>
          <w:b/>
          <w:bCs/>
          <w:color w:val="0070C0"/>
          <w:sz w:val="34"/>
          <w:szCs w:val="34"/>
        </w:rPr>
        <w:t>04</w:t>
      </w:r>
      <w:r>
        <w:rPr>
          <w:b/>
          <w:bCs/>
          <w:color w:val="00A886"/>
          <w:sz w:val="34"/>
          <w:szCs w:val="34"/>
        </w:rPr>
        <w:t xml:space="preserve">  </w:t>
      </w:r>
      <w:r w:rsidR="00706D33">
        <w:rPr>
          <w:b/>
          <w:bCs/>
          <w:color w:val="0D1B2A"/>
          <w:sz w:val="34"/>
          <w:szCs w:val="34"/>
        </w:rPr>
        <w:t>TOP PERFORMERS AND THE COST OF RETURNS</w:t>
      </w:r>
    </w:p>
    <w:p w14:paraId="5E471BB5" w14:textId="2A02EA61" w:rsidR="00500721" w:rsidRDefault="00FD1035" w:rsidP="00706D33">
      <w:pPr>
        <w:spacing w:before="60" w:after="100"/>
      </w:pPr>
      <w:r>
        <w:t>The five best-performing stocks were concentrated in biotechnology, electric vehicles, e-commerce and energy infrastructure. Each carried an extraordinary price of admission: a peak-to-trough collapse of 95% or worse at some point in the period.</w:t>
      </w: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800"/>
        <w:gridCol w:w="1800"/>
        <w:gridCol w:w="1920"/>
        <w:gridCol w:w="1680"/>
      </w:tblGrid>
      <w:tr w:rsidR="00500721" w14:paraId="05AE45D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0D1B2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68FEE0F1" w14:textId="77777777" w:rsidR="00500721" w:rsidRDefault="00FD1035">
            <w:r>
              <w:rPr>
                <w:b/>
                <w:bCs/>
                <w:color w:val="FFFFFF"/>
                <w:sz w:val="19"/>
                <w:szCs w:val="19"/>
              </w:rPr>
              <w:t>Ticker</w:t>
            </w:r>
          </w:p>
        </w:tc>
        <w:tc>
          <w:tcPr>
            <w:tcW w:w="180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0D1B2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150876DD" w14:textId="77777777" w:rsidR="00500721" w:rsidRDefault="00FD1035">
            <w:r>
              <w:rPr>
                <w:b/>
                <w:bCs/>
                <w:color w:val="FFFFFF"/>
                <w:sz w:val="19"/>
                <w:szCs w:val="19"/>
              </w:rPr>
              <w:t>5-yr return</w:t>
            </w:r>
          </w:p>
        </w:tc>
        <w:tc>
          <w:tcPr>
            <w:tcW w:w="180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0D1B2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00C4B2B0" w14:textId="77777777" w:rsidR="00500721" w:rsidRDefault="00FD1035">
            <w:r>
              <w:rPr>
                <w:b/>
                <w:bCs/>
                <w:color w:val="FFFFFF"/>
                <w:sz w:val="19"/>
                <w:szCs w:val="19"/>
              </w:rPr>
              <w:t>Sharpe ratio</w:t>
            </w:r>
          </w:p>
        </w:tc>
        <w:tc>
          <w:tcPr>
            <w:tcW w:w="192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0D1B2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1507B879" w14:textId="77777777" w:rsidR="00500721" w:rsidRDefault="00FD1035">
            <w:r>
              <w:rPr>
                <w:b/>
                <w:bCs/>
                <w:color w:val="FFFFFF"/>
                <w:sz w:val="19"/>
                <w:szCs w:val="19"/>
              </w:rPr>
              <w:t>Max drawdown</w:t>
            </w:r>
          </w:p>
        </w:tc>
        <w:tc>
          <w:tcPr>
            <w:tcW w:w="168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0D1B2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643CA5B7" w14:textId="77777777" w:rsidR="00500721" w:rsidRDefault="00FD1035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Avg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close</w:t>
            </w:r>
          </w:p>
        </w:tc>
      </w:tr>
      <w:tr w:rsidR="00500721" w14:paraId="08C84E7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09B94D7A" w14:textId="77777777" w:rsidR="00500721" w:rsidRDefault="00FD1035">
            <w:r>
              <w:rPr>
                <w:sz w:val="19"/>
                <w:szCs w:val="19"/>
              </w:rPr>
              <w:t>MRNA</w:t>
            </w:r>
          </w:p>
        </w:tc>
        <w:tc>
          <w:tcPr>
            <w:tcW w:w="180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24DE000A" w14:textId="77777777" w:rsidR="00500721" w:rsidRDefault="00FD1035">
            <w:pPr>
              <w:jc w:val="right"/>
            </w:pPr>
            <w:r>
              <w:rPr>
                <w:b/>
                <w:bCs/>
                <w:color w:val="007A64"/>
                <w:sz w:val="19"/>
                <w:szCs w:val="19"/>
              </w:rPr>
              <w:t>3,752%</w:t>
            </w:r>
          </w:p>
        </w:tc>
        <w:tc>
          <w:tcPr>
            <w:tcW w:w="180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73B43461" w14:textId="77777777" w:rsidR="00500721" w:rsidRDefault="00FD1035">
            <w:pPr>
              <w:jc w:val="right"/>
            </w:pPr>
            <w:r>
              <w:rPr>
                <w:sz w:val="19"/>
                <w:szCs w:val="19"/>
              </w:rPr>
              <w:t>21.91</w:t>
            </w:r>
          </w:p>
        </w:tc>
        <w:tc>
          <w:tcPr>
            <w:tcW w:w="192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634A68A5" w14:textId="77777777" w:rsidR="00500721" w:rsidRDefault="00FD1035">
            <w:pPr>
              <w:jc w:val="right"/>
            </w:pPr>
            <w:r>
              <w:rPr>
                <w:b/>
                <w:bCs/>
                <w:color w:val="8B1A27"/>
                <w:sz w:val="19"/>
                <w:szCs w:val="19"/>
              </w:rPr>
              <w:t>-97.5%</w:t>
            </w:r>
          </w:p>
        </w:tc>
        <w:tc>
          <w:tcPr>
            <w:tcW w:w="168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389D6213" w14:textId="77777777" w:rsidR="00500721" w:rsidRDefault="00FD1035">
            <w:pPr>
              <w:jc w:val="right"/>
            </w:pPr>
            <w:r>
              <w:rPr>
                <w:sz w:val="19"/>
                <w:szCs w:val="19"/>
              </w:rPr>
              <w:t>$120.82</w:t>
            </w:r>
          </w:p>
        </w:tc>
      </w:tr>
      <w:tr w:rsidR="00500721" w14:paraId="0999741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F4F7F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077703B9" w14:textId="77777777" w:rsidR="00500721" w:rsidRDefault="00FD1035">
            <w:r>
              <w:rPr>
                <w:sz w:val="19"/>
                <w:szCs w:val="19"/>
              </w:rPr>
              <w:t>BNTX</w:t>
            </w:r>
          </w:p>
        </w:tc>
        <w:tc>
          <w:tcPr>
            <w:tcW w:w="180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F4F7F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7BD69789" w14:textId="77777777" w:rsidR="00500721" w:rsidRDefault="00FD1035">
            <w:pPr>
              <w:jc w:val="right"/>
            </w:pPr>
            <w:r>
              <w:rPr>
                <w:b/>
                <w:bCs/>
                <w:color w:val="007A64"/>
                <w:sz w:val="19"/>
                <w:szCs w:val="19"/>
              </w:rPr>
              <w:t>3,408%</w:t>
            </w:r>
          </w:p>
        </w:tc>
        <w:tc>
          <w:tcPr>
            <w:tcW w:w="180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F4F7F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72805FF9" w14:textId="77777777" w:rsidR="00500721" w:rsidRDefault="00FD1035">
            <w:pPr>
              <w:jc w:val="right"/>
            </w:pPr>
            <w:r>
              <w:rPr>
                <w:b/>
                <w:bCs/>
                <w:color w:val="007A64"/>
                <w:sz w:val="19"/>
                <w:szCs w:val="19"/>
              </w:rPr>
              <w:t>28.57</w:t>
            </w:r>
          </w:p>
        </w:tc>
        <w:tc>
          <w:tcPr>
            <w:tcW w:w="192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F4F7F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41EEC161" w14:textId="77777777" w:rsidR="00500721" w:rsidRDefault="00FD1035">
            <w:pPr>
              <w:jc w:val="right"/>
            </w:pPr>
            <w:r>
              <w:rPr>
                <w:color w:val="8B1A27"/>
                <w:sz w:val="19"/>
                <w:szCs w:val="19"/>
              </w:rPr>
              <w:t>-97.1%</w:t>
            </w:r>
          </w:p>
        </w:tc>
        <w:tc>
          <w:tcPr>
            <w:tcW w:w="168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F4F7F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7F7D6BB1" w14:textId="77777777" w:rsidR="00500721" w:rsidRDefault="00FD1035">
            <w:pPr>
              <w:jc w:val="right"/>
            </w:pPr>
            <w:r>
              <w:rPr>
                <w:sz w:val="19"/>
                <w:szCs w:val="19"/>
              </w:rPr>
              <w:t>$133.18</w:t>
            </w:r>
          </w:p>
        </w:tc>
      </w:tr>
      <w:tr w:rsidR="00500721" w14:paraId="17E6A5C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5F085E77" w14:textId="77777777" w:rsidR="00500721" w:rsidRDefault="00FD1035">
            <w:r>
              <w:rPr>
                <w:sz w:val="19"/>
                <w:szCs w:val="19"/>
              </w:rPr>
              <w:t>TSLA</w:t>
            </w:r>
          </w:p>
        </w:tc>
        <w:tc>
          <w:tcPr>
            <w:tcW w:w="180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5F1CE494" w14:textId="77777777" w:rsidR="00500721" w:rsidRDefault="00FD1035">
            <w:pPr>
              <w:jc w:val="right"/>
            </w:pPr>
            <w:r>
              <w:rPr>
                <w:b/>
                <w:bCs/>
                <w:color w:val="007A64"/>
                <w:sz w:val="19"/>
                <w:szCs w:val="19"/>
              </w:rPr>
              <w:t>3,236%</w:t>
            </w:r>
          </w:p>
        </w:tc>
        <w:tc>
          <w:tcPr>
            <w:tcW w:w="180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7279EA70" w14:textId="77777777" w:rsidR="00500721" w:rsidRDefault="00FD1035">
            <w:pPr>
              <w:jc w:val="right"/>
            </w:pPr>
            <w:r>
              <w:rPr>
                <w:sz w:val="19"/>
                <w:szCs w:val="19"/>
              </w:rPr>
              <w:t>22.65</w:t>
            </w:r>
          </w:p>
        </w:tc>
        <w:tc>
          <w:tcPr>
            <w:tcW w:w="192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4A23C160" w14:textId="77777777" w:rsidR="00500721" w:rsidRDefault="00FD1035">
            <w:pPr>
              <w:jc w:val="right"/>
            </w:pPr>
            <w:r>
              <w:rPr>
                <w:color w:val="8B1A27"/>
                <w:sz w:val="19"/>
                <w:szCs w:val="19"/>
              </w:rPr>
              <w:t>-97.1%</w:t>
            </w:r>
          </w:p>
        </w:tc>
        <w:tc>
          <w:tcPr>
            <w:tcW w:w="168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58BE4EEC" w14:textId="77777777" w:rsidR="00500721" w:rsidRDefault="00FD1035">
            <w:pPr>
              <w:jc w:val="right"/>
            </w:pPr>
            <w:r>
              <w:rPr>
                <w:sz w:val="19"/>
                <w:szCs w:val="19"/>
              </w:rPr>
              <w:t>$167.15</w:t>
            </w:r>
          </w:p>
        </w:tc>
      </w:tr>
      <w:tr w:rsidR="00500721" w14:paraId="3F32276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F4F7F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0672884E" w14:textId="77777777" w:rsidR="00500721" w:rsidRDefault="00FD1035">
            <w:r>
              <w:rPr>
                <w:sz w:val="19"/>
                <w:szCs w:val="19"/>
              </w:rPr>
              <w:t>SE</w:t>
            </w:r>
          </w:p>
        </w:tc>
        <w:tc>
          <w:tcPr>
            <w:tcW w:w="180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F4F7F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72E3D6F9" w14:textId="77777777" w:rsidR="00500721" w:rsidRDefault="00FD1035">
            <w:pPr>
              <w:jc w:val="right"/>
            </w:pPr>
            <w:r>
              <w:rPr>
                <w:b/>
                <w:bCs/>
                <w:color w:val="007A64"/>
                <w:sz w:val="19"/>
                <w:szCs w:val="19"/>
              </w:rPr>
              <w:t>3,223%</w:t>
            </w:r>
          </w:p>
        </w:tc>
        <w:tc>
          <w:tcPr>
            <w:tcW w:w="180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F4F7F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29BB08F7" w14:textId="77777777" w:rsidR="00500721" w:rsidRDefault="00FD1035">
            <w:pPr>
              <w:jc w:val="right"/>
            </w:pPr>
            <w:r>
              <w:rPr>
                <w:sz w:val="19"/>
                <w:szCs w:val="19"/>
              </w:rPr>
              <w:t>17.43</w:t>
            </w:r>
          </w:p>
        </w:tc>
        <w:tc>
          <w:tcPr>
            <w:tcW w:w="192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F4F7F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0753C4F9" w14:textId="77777777" w:rsidR="00500721" w:rsidRDefault="00FD1035">
            <w:pPr>
              <w:jc w:val="right"/>
            </w:pPr>
            <w:r>
              <w:rPr>
                <w:color w:val="8B1A27"/>
                <w:sz w:val="19"/>
                <w:szCs w:val="19"/>
              </w:rPr>
              <w:t>-97.1%</w:t>
            </w:r>
          </w:p>
        </w:tc>
        <w:tc>
          <w:tcPr>
            <w:tcW w:w="168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F4F7F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33B844BF" w14:textId="77777777" w:rsidR="00500721" w:rsidRDefault="00FD1035">
            <w:pPr>
              <w:jc w:val="right"/>
            </w:pPr>
            <w:r>
              <w:rPr>
                <w:sz w:val="19"/>
                <w:szCs w:val="19"/>
              </w:rPr>
              <w:t>$110.48</w:t>
            </w:r>
          </w:p>
        </w:tc>
      </w:tr>
      <w:tr w:rsidR="00500721" w14:paraId="11B9034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021DA5D5" w14:textId="77777777" w:rsidR="00500721" w:rsidRDefault="00FD1035">
            <w:r>
              <w:rPr>
                <w:sz w:val="19"/>
                <w:szCs w:val="19"/>
              </w:rPr>
              <w:t>TRGP</w:t>
            </w:r>
          </w:p>
        </w:tc>
        <w:tc>
          <w:tcPr>
            <w:tcW w:w="180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466F9DF1" w14:textId="77777777" w:rsidR="00500721" w:rsidRDefault="00FD1035">
            <w:pPr>
              <w:jc w:val="right"/>
            </w:pPr>
            <w:r>
              <w:rPr>
                <w:b/>
                <w:bCs/>
                <w:color w:val="007A64"/>
                <w:sz w:val="19"/>
                <w:szCs w:val="19"/>
              </w:rPr>
              <w:t>1,957%</w:t>
            </w:r>
          </w:p>
        </w:tc>
        <w:tc>
          <w:tcPr>
            <w:tcW w:w="180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430AFDEB" w14:textId="77777777" w:rsidR="00500721" w:rsidRDefault="00FD1035">
            <w:pPr>
              <w:jc w:val="right"/>
            </w:pPr>
            <w:r>
              <w:rPr>
                <w:sz w:val="19"/>
                <w:szCs w:val="19"/>
              </w:rPr>
              <w:t>18.45</w:t>
            </w:r>
          </w:p>
        </w:tc>
        <w:tc>
          <w:tcPr>
            <w:tcW w:w="192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17BC0946" w14:textId="77777777" w:rsidR="00500721" w:rsidRDefault="00FD1035">
            <w:pPr>
              <w:jc w:val="right"/>
            </w:pPr>
            <w:r>
              <w:rPr>
                <w:color w:val="8B1A27"/>
                <w:sz w:val="19"/>
                <w:szCs w:val="19"/>
              </w:rPr>
              <w:t>-95.1%</w:t>
            </w:r>
          </w:p>
        </w:tc>
        <w:tc>
          <w:tcPr>
            <w:tcW w:w="168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23BC814C" w14:textId="77777777" w:rsidR="00500721" w:rsidRDefault="00FD1035">
            <w:pPr>
              <w:jc w:val="right"/>
            </w:pPr>
            <w:r>
              <w:rPr>
                <w:sz w:val="19"/>
                <w:szCs w:val="19"/>
              </w:rPr>
              <w:t>$46.48</w:t>
            </w:r>
          </w:p>
        </w:tc>
      </w:tr>
    </w:tbl>
    <w:p w14:paraId="488067F4" w14:textId="77777777" w:rsidR="00500721" w:rsidRDefault="00500721">
      <w:pPr>
        <w:spacing w:before="90" w:after="60"/>
      </w:pPr>
    </w:p>
    <w:p w14:paraId="61D34D91" w14:textId="4CE66706" w:rsidR="00500721" w:rsidRDefault="00FD1035" w:rsidP="00706D33">
      <w:pPr>
        <w:spacing w:before="60" w:after="100"/>
      </w:pPr>
      <w:r>
        <w:t>The pattern is unambiguous: extraordinary returns and catastrophic drawdowns are two sides of the same coin. An investor who bought MRNA at its 2021 peak of $484 watched it fall to $12.26 — a 97.5% loss — despite the stock's five-year return being the best in the dataset. The buy-and-hold figures in this report describe one specific path; investors who entered at different points experienced radically different outcomes.</w:t>
      </w:r>
    </w:p>
    <w:p w14:paraId="02539BAE" w14:textId="77777777" w:rsidR="00500721" w:rsidRPr="00706D33" w:rsidRDefault="00FD1035">
      <w:pPr>
        <w:pStyle w:val="Heading2"/>
        <w:rPr>
          <w:color w:val="0070C0"/>
        </w:rPr>
      </w:pPr>
      <w:r w:rsidRPr="00706D33">
        <w:rPr>
          <w:color w:val="0070C0"/>
        </w:rPr>
        <w:t>Risk-adjusted ranking</w:t>
      </w:r>
    </w:p>
    <w:p w14:paraId="5C8825A5" w14:textId="77777777" w:rsidR="00500721" w:rsidRDefault="00FD1035">
      <w:pPr>
        <w:spacing w:before="60" w:after="100"/>
      </w:pPr>
      <w:r>
        <w:t>The Sharpe ratio (annualised return minus a 4.5% risk-free rate, divided by annualised volatility) reshuffles the leaderboard. BioNTech leads at 28.57. More telling is Targa Resources at 18.45: its 392% annualised-equivalent return came with volatility of only 21% — roughly a third less risk than the biotech names above it. Risk-adjusted analysis surfaces quality that raw return rankings hide.</w:t>
      </w:r>
    </w:p>
    <w:p w14:paraId="57C85B99" w14:textId="54F8CFC1" w:rsidR="00500721" w:rsidRDefault="00FD1035" w:rsidP="00706D33">
      <w:r w:rsidRPr="00706D33">
        <w:rPr>
          <w:b/>
          <w:bCs/>
          <w:color w:val="0070C0"/>
          <w:sz w:val="34"/>
          <w:szCs w:val="34"/>
        </w:rPr>
        <w:t>05</w:t>
      </w:r>
      <w:r>
        <w:rPr>
          <w:b/>
          <w:bCs/>
          <w:color w:val="00A886"/>
          <w:sz w:val="34"/>
          <w:szCs w:val="34"/>
        </w:rPr>
        <w:t xml:space="preserve">  </w:t>
      </w:r>
      <w:r>
        <w:rPr>
          <w:b/>
          <w:bCs/>
          <w:color w:val="0D1B2A"/>
          <w:sz w:val="34"/>
          <w:szCs w:val="34"/>
        </w:rPr>
        <w:t>Value at Risk</w:t>
      </w:r>
    </w:p>
    <w:p w14:paraId="3C6EE149" w14:textId="77777777" w:rsidR="00500721" w:rsidRDefault="00FD1035">
      <w:pPr>
        <w:spacing w:before="60" w:after="100"/>
      </w:pPr>
      <w:r>
        <w:t>Value at Risk (</w:t>
      </w:r>
      <w:proofErr w:type="spellStart"/>
      <w:r>
        <w:t>VaR</w:t>
      </w:r>
      <w:proofErr w:type="spellEnd"/>
      <w:r>
        <w:t xml:space="preserve">) answers a question every investor and risk manager cares about: what is the most this position could realistically lose in a single day? It is one of the most widely used risk measures in finance and forms the basis of bank regulatory capital requirements. Two </w:t>
      </w:r>
      <w:proofErr w:type="spellStart"/>
      <w:r>
        <w:t>VaR</w:t>
      </w:r>
      <w:proofErr w:type="spellEnd"/>
      <w:r>
        <w:t xml:space="preserve"> measures were built in DAX using the historical (percentile) method on each stock's daily returns.</w:t>
      </w:r>
    </w:p>
    <w:p w14:paraId="299E9DD2" w14:textId="6AE0FA43" w:rsidR="00500721" w:rsidRDefault="00FD1035" w:rsidP="00706D33">
      <w:pPr>
        <w:spacing w:before="60" w:after="100"/>
      </w:pPr>
      <w:proofErr w:type="spellStart"/>
      <w:r>
        <w:t>VaR</w:t>
      </w:r>
      <w:proofErr w:type="spellEnd"/>
      <w:r>
        <w:t xml:space="preserve"> 95% reports the daily loss that is exceeded on only the worst 5% of trading days; </w:t>
      </w:r>
      <w:proofErr w:type="spellStart"/>
      <w:r>
        <w:t>VaR</w:t>
      </w:r>
      <w:proofErr w:type="spellEnd"/>
      <w:r>
        <w:t xml:space="preserve"> 99% is the deeper, rarer tail — the loss exceeded on only the worst 1% of days.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280"/>
        <w:gridCol w:w="2280"/>
        <w:gridCol w:w="3240"/>
      </w:tblGrid>
      <w:tr w:rsidR="00500721" w14:paraId="0916E9F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0D1B2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4519391C" w14:textId="77777777" w:rsidR="00500721" w:rsidRDefault="00FD1035">
            <w:r>
              <w:rPr>
                <w:b/>
                <w:bCs/>
                <w:color w:val="FFFFFF"/>
                <w:sz w:val="19"/>
                <w:szCs w:val="19"/>
              </w:rPr>
              <w:t>Ticker</w:t>
            </w:r>
          </w:p>
        </w:tc>
        <w:tc>
          <w:tcPr>
            <w:tcW w:w="228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0D1B2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73B0CD5F" w14:textId="77777777" w:rsidR="00500721" w:rsidRDefault="00FD1035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VaR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95% (1-day)</w:t>
            </w:r>
          </w:p>
        </w:tc>
        <w:tc>
          <w:tcPr>
            <w:tcW w:w="228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0D1B2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60C3AC6C" w14:textId="77777777" w:rsidR="00500721" w:rsidRDefault="00FD1035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VaR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99% (1-day)</w:t>
            </w:r>
          </w:p>
        </w:tc>
        <w:tc>
          <w:tcPr>
            <w:tcW w:w="324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0D1B2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4DBA8F43" w14:textId="77777777" w:rsidR="00500721" w:rsidRDefault="00FD1035">
            <w:r>
              <w:rPr>
                <w:b/>
                <w:bCs/>
                <w:color w:val="FFFFFF"/>
                <w:sz w:val="19"/>
                <w:szCs w:val="19"/>
              </w:rPr>
              <w:t>Risk profile</w:t>
            </w:r>
          </w:p>
        </w:tc>
      </w:tr>
      <w:tr w:rsidR="00500721" w14:paraId="790E8C1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4F1B50EC" w14:textId="77777777" w:rsidR="00500721" w:rsidRDefault="00FD1035">
            <w:r>
              <w:rPr>
                <w:sz w:val="19"/>
                <w:szCs w:val="19"/>
              </w:rPr>
              <w:t>KO</w:t>
            </w:r>
          </w:p>
        </w:tc>
        <w:tc>
          <w:tcPr>
            <w:tcW w:w="228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65FC488C" w14:textId="77777777" w:rsidR="00500721" w:rsidRDefault="00FD1035">
            <w:pPr>
              <w:jc w:val="right"/>
            </w:pPr>
            <w:r>
              <w:rPr>
                <w:b/>
                <w:bCs/>
                <w:color w:val="007A64"/>
                <w:sz w:val="19"/>
                <w:szCs w:val="19"/>
              </w:rPr>
              <w:t>-1.73%</w:t>
            </w:r>
          </w:p>
        </w:tc>
        <w:tc>
          <w:tcPr>
            <w:tcW w:w="228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1A780265" w14:textId="77777777" w:rsidR="00500721" w:rsidRDefault="00FD1035">
            <w:pPr>
              <w:jc w:val="right"/>
            </w:pPr>
            <w:r>
              <w:rPr>
                <w:color w:val="007A64"/>
                <w:sz w:val="19"/>
                <w:szCs w:val="19"/>
              </w:rPr>
              <w:t>-4.08%</w:t>
            </w:r>
          </w:p>
        </w:tc>
        <w:tc>
          <w:tcPr>
            <w:tcW w:w="324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0900A6E0" w14:textId="77777777" w:rsidR="00500721" w:rsidRDefault="00FD1035">
            <w:r>
              <w:rPr>
                <w:sz w:val="19"/>
                <w:szCs w:val="19"/>
              </w:rPr>
              <w:t>Defensive — mild daily swings</w:t>
            </w:r>
          </w:p>
        </w:tc>
      </w:tr>
      <w:tr w:rsidR="00500721" w14:paraId="59EA7B3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F4F7F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3E21D282" w14:textId="77777777" w:rsidR="00500721" w:rsidRDefault="00FD1035">
            <w:r>
              <w:rPr>
                <w:sz w:val="19"/>
                <w:szCs w:val="19"/>
              </w:rPr>
              <w:t>A</w:t>
            </w:r>
          </w:p>
        </w:tc>
        <w:tc>
          <w:tcPr>
            <w:tcW w:w="228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F4F7F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329591E1" w14:textId="77777777" w:rsidR="00500721" w:rsidRDefault="00FD1035">
            <w:pPr>
              <w:jc w:val="right"/>
            </w:pPr>
            <w:r>
              <w:rPr>
                <w:sz w:val="19"/>
                <w:szCs w:val="19"/>
              </w:rPr>
              <w:t>-3.13%</w:t>
            </w:r>
          </w:p>
        </w:tc>
        <w:tc>
          <w:tcPr>
            <w:tcW w:w="228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F4F7F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2F0A379C" w14:textId="77777777" w:rsidR="00500721" w:rsidRDefault="00FD1035">
            <w:pPr>
              <w:jc w:val="right"/>
            </w:pPr>
            <w:r>
              <w:rPr>
                <w:sz w:val="19"/>
                <w:szCs w:val="19"/>
              </w:rPr>
              <w:t>-4.52%</w:t>
            </w:r>
          </w:p>
        </w:tc>
        <w:tc>
          <w:tcPr>
            <w:tcW w:w="324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F4F7F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36043177" w14:textId="77777777" w:rsidR="00500721" w:rsidRDefault="00FD1035">
            <w:r>
              <w:rPr>
                <w:sz w:val="19"/>
                <w:szCs w:val="19"/>
              </w:rPr>
              <w:t>Moderate</w:t>
            </w:r>
          </w:p>
        </w:tc>
      </w:tr>
      <w:tr w:rsidR="00500721" w14:paraId="186529B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1386F1A3" w14:textId="77777777" w:rsidR="00500721" w:rsidRDefault="00FD1035">
            <w:r>
              <w:rPr>
                <w:sz w:val="19"/>
                <w:szCs w:val="19"/>
              </w:rPr>
              <w:t>TSLA</w:t>
            </w:r>
          </w:p>
        </w:tc>
        <w:tc>
          <w:tcPr>
            <w:tcW w:w="228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3AF0B436" w14:textId="77777777" w:rsidR="00500721" w:rsidRDefault="00FD1035">
            <w:pPr>
              <w:jc w:val="right"/>
            </w:pPr>
            <w:r>
              <w:rPr>
                <w:color w:val="8B1A27"/>
                <w:sz w:val="19"/>
                <w:szCs w:val="19"/>
              </w:rPr>
              <w:t>-5.81%</w:t>
            </w:r>
          </w:p>
        </w:tc>
        <w:tc>
          <w:tcPr>
            <w:tcW w:w="228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3F3E45B9" w14:textId="77777777" w:rsidR="00500721" w:rsidRDefault="00FD1035">
            <w:pPr>
              <w:jc w:val="right"/>
            </w:pPr>
            <w:r>
              <w:rPr>
                <w:color w:val="8B1A27"/>
                <w:sz w:val="19"/>
                <w:szCs w:val="19"/>
              </w:rPr>
              <w:t>-10.31%</w:t>
            </w:r>
          </w:p>
        </w:tc>
        <w:tc>
          <w:tcPr>
            <w:tcW w:w="324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53059655" w14:textId="77777777" w:rsidR="00500721" w:rsidRDefault="00FD1035">
            <w:r>
              <w:rPr>
                <w:sz w:val="19"/>
                <w:szCs w:val="19"/>
              </w:rPr>
              <w:t>High — large daily downside</w:t>
            </w:r>
          </w:p>
        </w:tc>
      </w:tr>
      <w:tr w:rsidR="00500721" w14:paraId="1956DB0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F4F7F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7BFD844D" w14:textId="77777777" w:rsidR="00500721" w:rsidRDefault="00FD1035">
            <w:r>
              <w:rPr>
                <w:sz w:val="19"/>
                <w:szCs w:val="19"/>
              </w:rPr>
              <w:t>MRNA</w:t>
            </w:r>
          </w:p>
        </w:tc>
        <w:tc>
          <w:tcPr>
            <w:tcW w:w="228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F4F7F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47C97ABA" w14:textId="77777777" w:rsidR="00500721" w:rsidRDefault="00FD1035">
            <w:pPr>
              <w:jc w:val="right"/>
            </w:pPr>
            <w:r>
              <w:rPr>
                <w:color w:val="8B1A27"/>
                <w:sz w:val="19"/>
                <w:szCs w:val="19"/>
              </w:rPr>
              <w:t>-6.52%</w:t>
            </w:r>
          </w:p>
        </w:tc>
        <w:tc>
          <w:tcPr>
            <w:tcW w:w="228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F4F7F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17761C0C" w14:textId="77777777" w:rsidR="00500721" w:rsidRDefault="00FD1035">
            <w:pPr>
              <w:jc w:val="right"/>
            </w:pPr>
            <w:r>
              <w:rPr>
                <w:color w:val="8B1A27"/>
                <w:sz w:val="19"/>
                <w:szCs w:val="19"/>
              </w:rPr>
              <w:t>-9.86%</w:t>
            </w:r>
          </w:p>
        </w:tc>
        <w:tc>
          <w:tcPr>
            <w:tcW w:w="324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F4F7F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291EB01C" w14:textId="77777777" w:rsidR="00500721" w:rsidRDefault="00FD1035">
            <w:r>
              <w:rPr>
                <w:sz w:val="19"/>
                <w:szCs w:val="19"/>
              </w:rPr>
              <w:t>High</w:t>
            </w:r>
          </w:p>
        </w:tc>
      </w:tr>
      <w:tr w:rsidR="00500721" w14:paraId="513C790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341E09AB" w14:textId="77777777" w:rsidR="00500721" w:rsidRDefault="00FD1035">
            <w:r>
              <w:rPr>
                <w:sz w:val="19"/>
                <w:szCs w:val="19"/>
              </w:rPr>
              <w:t>BNTX</w:t>
            </w:r>
          </w:p>
        </w:tc>
        <w:tc>
          <w:tcPr>
            <w:tcW w:w="228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7F65A255" w14:textId="77777777" w:rsidR="00500721" w:rsidRDefault="00FD1035">
            <w:pPr>
              <w:jc w:val="right"/>
            </w:pPr>
            <w:r>
              <w:rPr>
                <w:b/>
                <w:bCs/>
                <w:color w:val="8B1A27"/>
                <w:sz w:val="19"/>
                <w:szCs w:val="19"/>
              </w:rPr>
              <w:t>-6.90%</w:t>
            </w:r>
          </w:p>
        </w:tc>
        <w:tc>
          <w:tcPr>
            <w:tcW w:w="228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7911A670" w14:textId="77777777" w:rsidR="00500721" w:rsidRDefault="00FD1035">
            <w:pPr>
              <w:jc w:val="right"/>
            </w:pPr>
            <w:r>
              <w:rPr>
                <w:b/>
                <w:bCs/>
                <w:color w:val="8B1A27"/>
                <w:sz w:val="19"/>
                <w:szCs w:val="19"/>
              </w:rPr>
              <w:t>-13.72%</w:t>
            </w:r>
          </w:p>
        </w:tc>
        <w:tc>
          <w:tcPr>
            <w:tcW w:w="324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352B17CA" w14:textId="77777777" w:rsidR="00500721" w:rsidRDefault="00FD1035">
            <w:r>
              <w:rPr>
                <w:sz w:val="19"/>
                <w:szCs w:val="19"/>
              </w:rPr>
              <w:t>Highest — deepest tail risk</w:t>
            </w:r>
          </w:p>
        </w:tc>
      </w:tr>
    </w:tbl>
    <w:p w14:paraId="6857C4BF" w14:textId="3897985D" w:rsidR="00706D33" w:rsidRDefault="00706D33" w:rsidP="00706D33">
      <w:pPr>
        <w:tabs>
          <w:tab w:val="left" w:pos="1600"/>
        </w:tabs>
        <w:spacing w:before="60" w:after="100"/>
      </w:pPr>
    </w:p>
    <w:p w14:paraId="600E2378" w14:textId="4EDF51F3" w:rsidR="00500721" w:rsidRDefault="00FD1035">
      <w:pPr>
        <w:spacing w:before="60" w:after="100"/>
      </w:pPr>
      <w:r>
        <w:t xml:space="preserve">The contrast is stark and intuitive. Coca-Cola (KO), a classic defensive stock, has a 95% </w:t>
      </w:r>
      <w:proofErr w:type="spellStart"/>
      <w:r>
        <w:t>VaR</w:t>
      </w:r>
      <w:proofErr w:type="spellEnd"/>
      <w:r>
        <w:t xml:space="preserve"> of just -1.73% — its bad days are gentle. BioNTech (BNTX) sits at the opposite extreme: on its worst 1% of days it can fall almost 14%. This is the same BNTX that tops the Sharpe ratio ranking — a reminder that even the best risk-adjusted performer carries severe daily tail risk. </w:t>
      </w:r>
      <w:proofErr w:type="spellStart"/>
      <w:r>
        <w:t>VaR</w:t>
      </w:r>
      <w:proofErr w:type="spellEnd"/>
      <w:r>
        <w:t xml:space="preserve"> captures a dimension of risk that neither Sharpe ratio nor drawdown fully expresses: the size of a typical bad day.</w:t>
      </w:r>
    </w:p>
    <w:p w14:paraId="2EA997AC" w14:textId="77777777" w:rsidR="00706D33" w:rsidRDefault="00706D33" w:rsidP="00706D33">
      <w:pPr>
        <w:rPr>
          <w:b/>
          <w:bCs/>
          <w:color w:val="00A886"/>
          <w:sz w:val="34"/>
          <w:szCs w:val="34"/>
        </w:rPr>
      </w:pPr>
    </w:p>
    <w:p w14:paraId="785A4556" w14:textId="0B44CB64" w:rsidR="00500721" w:rsidRDefault="00FD1035" w:rsidP="00706D33">
      <w:r w:rsidRPr="00706D33">
        <w:rPr>
          <w:b/>
          <w:bCs/>
          <w:color w:val="0070C0"/>
          <w:sz w:val="34"/>
          <w:szCs w:val="34"/>
        </w:rPr>
        <w:t>06</w:t>
      </w:r>
      <w:r>
        <w:rPr>
          <w:b/>
          <w:bCs/>
          <w:color w:val="00A886"/>
          <w:sz w:val="34"/>
          <w:szCs w:val="34"/>
        </w:rPr>
        <w:t xml:space="preserve">  </w:t>
      </w:r>
      <w:r w:rsidR="00706D33">
        <w:rPr>
          <w:b/>
          <w:bCs/>
          <w:color w:val="0D1B2A"/>
          <w:sz w:val="34"/>
          <w:szCs w:val="34"/>
        </w:rPr>
        <w:t>CORRELATION, VOLUME AND LIQUIDITY</w:t>
      </w:r>
    </w:p>
    <w:p w14:paraId="3A22FC50" w14:textId="77777777" w:rsidR="00500721" w:rsidRDefault="00FD1035">
      <w:pPr>
        <w:spacing w:before="60" w:after="100"/>
      </w:pPr>
      <w:r>
        <w:t>A Pearson correlation coefficient was computed in DAX between each company's average daily volume and its five-year price change, across all 491 stocks.</w:t>
      </w:r>
    </w:p>
    <w:p w14:paraId="6B36690B" w14:textId="77777777" w:rsidR="00500721" w:rsidRDefault="00500721">
      <w:pPr>
        <w:spacing w:before="110"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500721" w14:paraId="6B70F70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60" w:type="dxa"/>
              <w:left w:w="260" w:type="dxa"/>
              <w:bottom w:w="260" w:type="dxa"/>
              <w:right w:w="260" w:type="dxa"/>
            </w:tcMar>
          </w:tcPr>
          <w:p w14:paraId="2168BEFD" w14:textId="77777777" w:rsidR="00500721" w:rsidRDefault="00FD1035">
            <w:pPr>
              <w:spacing w:after="50"/>
              <w:jc w:val="center"/>
            </w:pPr>
            <w:r>
              <w:rPr>
                <w:b/>
                <w:bCs/>
                <w:color w:val="00A886"/>
                <w:sz w:val="72"/>
                <w:szCs w:val="72"/>
              </w:rPr>
              <w:t>0.29</w:t>
            </w:r>
          </w:p>
          <w:p w14:paraId="4A73AA47" w14:textId="77777777" w:rsidR="00500721" w:rsidRDefault="00FD1035">
            <w:pPr>
              <w:jc w:val="center"/>
            </w:pPr>
            <w:r>
              <w:rPr>
                <w:b/>
                <w:bCs/>
                <w:color w:val="8FA5BA"/>
                <w:sz w:val="17"/>
                <w:szCs w:val="17"/>
              </w:rPr>
              <w:t>VOLUME vs RETURN</w:t>
            </w:r>
          </w:p>
          <w:p w14:paraId="525852BD" w14:textId="77777777" w:rsidR="00500721" w:rsidRDefault="00FD1035">
            <w:pPr>
              <w:jc w:val="center"/>
            </w:pPr>
            <w:r>
              <w:rPr>
                <w:color w:val="8FA5BA"/>
                <w:sz w:val="17"/>
                <w:szCs w:val="17"/>
              </w:rPr>
              <w:t>Pearson correlation</w:t>
            </w:r>
          </w:p>
        </w:tc>
        <w:tc>
          <w:tcPr>
            <w:tcW w:w="624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tcMar>
              <w:top w:w="200" w:type="dxa"/>
              <w:left w:w="260" w:type="dxa"/>
              <w:bottom w:w="200" w:type="dxa"/>
              <w:right w:w="260" w:type="dxa"/>
            </w:tcMar>
          </w:tcPr>
          <w:p w14:paraId="216AFA8C" w14:textId="77777777" w:rsidR="00500721" w:rsidRDefault="00FD1035">
            <w:pPr>
              <w:spacing w:after="60"/>
            </w:pPr>
            <w:r>
              <w:rPr>
                <w:b/>
                <w:bCs/>
                <w:color w:val="0D1B2A"/>
                <w:sz w:val="23"/>
                <w:szCs w:val="23"/>
              </w:rPr>
              <w:t>A weak positive relationship</w:t>
            </w:r>
          </w:p>
          <w:p w14:paraId="201A9731" w14:textId="77777777" w:rsidR="00500721" w:rsidRDefault="00FD1035">
            <w:pPr>
              <w:spacing w:after="60"/>
            </w:pPr>
            <w:r>
              <w:rPr>
                <w:sz w:val="21"/>
                <w:szCs w:val="21"/>
              </w:rPr>
              <w:t>Heavily traded stocks performed slightly better on average, largely because high volume proxies for large, fundamentally strong companies. But at 0.29 the relationship is far too weak to be predictive.</w:t>
            </w:r>
          </w:p>
          <w:p w14:paraId="3726ED78" w14:textId="77777777" w:rsidR="00500721" w:rsidRDefault="00FD1035">
            <w:r>
              <w:rPr>
                <w:sz w:val="21"/>
                <w:szCs w:val="21"/>
              </w:rPr>
              <w:t>Several quiet names (TRGP, DVN, FANG) delivered outstanding returns on modest volume, while some of the most traded stocks (F, AMZN) produced middling gains.</w:t>
            </w:r>
          </w:p>
        </w:tc>
      </w:tr>
    </w:tbl>
    <w:p w14:paraId="67C27B1F" w14:textId="77777777" w:rsidR="00500721" w:rsidRDefault="00500721" w:rsidP="00706D33">
      <w:pPr>
        <w:spacing w:before="140" w:after="60"/>
      </w:pPr>
    </w:p>
    <w:p w14:paraId="2AFA4687" w14:textId="77777777" w:rsidR="00500721" w:rsidRPr="00706D33" w:rsidRDefault="00FD1035">
      <w:pPr>
        <w:pStyle w:val="Heading2"/>
        <w:rPr>
          <w:color w:val="0070C0"/>
        </w:rPr>
      </w:pPr>
      <w:r w:rsidRPr="00706D33">
        <w:rPr>
          <w:color w:val="0070C0"/>
        </w:rPr>
        <w:t>Liquidity highlights</w:t>
      </w:r>
    </w:p>
    <w:p w14:paraId="5E7082F5" w14:textId="77777777" w:rsidR="00500721" w:rsidRDefault="00FD1035">
      <w:pPr>
        <w:spacing w:before="55" w:after="55"/>
        <w:ind w:left="460" w:hanging="230"/>
      </w:pPr>
      <w:r>
        <w:rPr>
          <w:b/>
          <w:bCs/>
          <w:color w:val="00A886"/>
          <w:sz w:val="20"/>
          <w:szCs w:val="20"/>
        </w:rPr>
        <w:t>▸</w:t>
      </w:r>
      <w:r>
        <w:rPr>
          <w:b/>
          <w:bCs/>
          <w:color w:val="00A886"/>
          <w:sz w:val="20"/>
          <w:szCs w:val="20"/>
        </w:rPr>
        <w:t xml:space="preserve">  </w:t>
      </w:r>
      <w:r>
        <w:t>Tesla recorded 168.5 billion shares traded — 29% more than second-placed Apple (130.6B) — reflecting extreme retail participation throughout the period.</w:t>
      </w:r>
    </w:p>
    <w:p w14:paraId="1D5CC9A6" w14:textId="77777777" w:rsidR="00500721" w:rsidRDefault="00FD1035">
      <w:pPr>
        <w:spacing w:before="55" w:after="55"/>
        <w:ind w:left="460" w:hanging="230"/>
      </w:pPr>
      <w:r>
        <w:rPr>
          <w:b/>
          <w:bCs/>
          <w:color w:val="00A886"/>
          <w:sz w:val="20"/>
          <w:szCs w:val="20"/>
        </w:rPr>
        <w:t>▸</w:t>
      </w:r>
      <w:r>
        <w:rPr>
          <w:b/>
          <w:bCs/>
          <w:color w:val="00A886"/>
          <w:sz w:val="20"/>
          <w:szCs w:val="20"/>
        </w:rPr>
        <w:t xml:space="preserve">  </w:t>
      </w:r>
      <w:r>
        <w:t>Ford appears in the top five most-traded despite a ~$10 share price, a function of its very large float and active retail base.</w:t>
      </w:r>
    </w:p>
    <w:p w14:paraId="0BB09437" w14:textId="77777777" w:rsidR="00500721" w:rsidRDefault="00FD1035">
      <w:pPr>
        <w:spacing w:before="55" w:after="55"/>
        <w:ind w:left="460" w:hanging="230"/>
      </w:pPr>
      <w:r>
        <w:rPr>
          <w:b/>
          <w:bCs/>
          <w:color w:val="00A886"/>
          <w:sz w:val="20"/>
          <w:szCs w:val="20"/>
        </w:rPr>
        <w:t>▸</w:t>
      </w:r>
      <w:r>
        <w:rPr>
          <w:b/>
          <w:bCs/>
          <w:color w:val="00A886"/>
          <w:sz w:val="20"/>
          <w:szCs w:val="20"/>
        </w:rPr>
        <w:t xml:space="preserve">  </w:t>
      </w:r>
      <w:r>
        <w:t>Average intraday high-low spread widened sharply during the COVID crash and the 2022 rate shock — a measurable liquidity stress signal built into the Volume &amp; Liquidity dashboard.</w:t>
      </w:r>
    </w:p>
    <w:p w14:paraId="30BB3C69" w14:textId="77777777" w:rsidR="00706D33" w:rsidRDefault="00FD1035" w:rsidP="00706D33">
      <w:r>
        <w:br w:type="page"/>
      </w:r>
    </w:p>
    <w:p w14:paraId="7057E7E3" w14:textId="77777777" w:rsidR="00706D33" w:rsidRDefault="00706D33" w:rsidP="00706D33"/>
    <w:p w14:paraId="0BA55B24" w14:textId="2B1BE3B9" w:rsidR="00500721" w:rsidRDefault="00FD1035" w:rsidP="00706D33">
      <w:r w:rsidRPr="00706D33">
        <w:rPr>
          <w:b/>
          <w:bCs/>
          <w:color w:val="0070C0"/>
          <w:sz w:val="34"/>
          <w:szCs w:val="34"/>
        </w:rPr>
        <w:t xml:space="preserve">07  </w:t>
      </w:r>
      <w:r w:rsidR="00706D33">
        <w:rPr>
          <w:b/>
          <w:bCs/>
          <w:color w:val="0D1B2A"/>
          <w:sz w:val="34"/>
          <w:szCs w:val="34"/>
        </w:rPr>
        <w:t>TIME SERIES AND MACRO EVENTS</w:t>
      </w:r>
    </w:p>
    <w:p w14:paraId="3F9E6BDD" w14:textId="3AC75129" w:rsidR="00500721" w:rsidRDefault="00FD1035" w:rsidP="00706D33">
      <w:pPr>
        <w:spacing w:before="60" w:after="100"/>
      </w:pPr>
      <w:r>
        <w:t>Six macroeconomic events were annotated in the model and drawn as reference lines on the time series dashboard, connecting price behaviour to real-world drivers.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0"/>
        <w:gridCol w:w="2280"/>
        <w:gridCol w:w="4800"/>
      </w:tblGrid>
      <w:tr w:rsidR="00500721" w14:paraId="0219829F" w14:textId="77777777">
        <w:tblPrEx>
          <w:tblCellMar>
            <w:top w:w="0" w:type="dxa"/>
            <w:bottom w:w="0" w:type="dxa"/>
          </w:tblCellMar>
        </w:tblPrEx>
        <w:tc>
          <w:tcPr>
            <w:tcW w:w="228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0D1B2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3B9CC6A4" w14:textId="77777777" w:rsidR="00500721" w:rsidRDefault="00FD1035">
            <w:r>
              <w:rPr>
                <w:b/>
                <w:bCs/>
                <w:color w:val="FFFFFF"/>
                <w:sz w:val="19"/>
                <w:szCs w:val="19"/>
              </w:rPr>
              <w:t>Event</w:t>
            </w:r>
          </w:p>
        </w:tc>
        <w:tc>
          <w:tcPr>
            <w:tcW w:w="228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0D1B2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087D54C1" w14:textId="77777777" w:rsidR="00500721" w:rsidRDefault="00FD1035">
            <w:r>
              <w:rPr>
                <w:b/>
                <w:bCs/>
                <w:color w:val="FFFFFF"/>
                <w:sz w:val="19"/>
                <w:szCs w:val="19"/>
              </w:rPr>
              <w:t>Period</w:t>
            </w:r>
          </w:p>
        </w:tc>
        <w:tc>
          <w:tcPr>
            <w:tcW w:w="480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0D1B2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4B29150D" w14:textId="77777777" w:rsidR="00500721" w:rsidRDefault="00FD1035">
            <w:r>
              <w:rPr>
                <w:b/>
                <w:bCs/>
                <w:color w:val="FFFFFF"/>
                <w:sz w:val="19"/>
                <w:szCs w:val="19"/>
              </w:rPr>
              <w:t>Market impact</w:t>
            </w:r>
          </w:p>
        </w:tc>
      </w:tr>
      <w:tr w:rsidR="00500721" w14:paraId="562A903E" w14:textId="77777777">
        <w:tblPrEx>
          <w:tblCellMar>
            <w:top w:w="0" w:type="dxa"/>
            <w:bottom w:w="0" w:type="dxa"/>
          </w:tblCellMar>
        </w:tblPrEx>
        <w:tc>
          <w:tcPr>
            <w:tcW w:w="228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27B4BAA5" w14:textId="77777777" w:rsidR="00500721" w:rsidRDefault="00FD1035">
            <w:r>
              <w:rPr>
                <w:sz w:val="19"/>
                <w:szCs w:val="19"/>
              </w:rPr>
              <w:t>COVID crash</w:t>
            </w:r>
          </w:p>
        </w:tc>
        <w:tc>
          <w:tcPr>
            <w:tcW w:w="228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5B691E37" w14:textId="77777777" w:rsidR="00500721" w:rsidRDefault="00FD1035">
            <w:r>
              <w:rPr>
                <w:sz w:val="19"/>
                <w:szCs w:val="19"/>
              </w:rPr>
              <w:t>Feb – Mar 2020</w:t>
            </w:r>
          </w:p>
        </w:tc>
        <w:tc>
          <w:tcPr>
            <w:tcW w:w="480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6AB8FF64" w14:textId="77777777" w:rsidR="00500721" w:rsidRDefault="00FD1035">
            <w:r>
              <w:rPr>
                <w:sz w:val="19"/>
                <w:szCs w:val="19"/>
              </w:rPr>
              <w:t>S&amp;P 500 fell 34% in 33 days — fastest bear market on record</w:t>
            </w:r>
          </w:p>
        </w:tc>
      </w:tr>
      <w:tr w:rsidR="00500721" w14:paraId="4C24A574" w14:textId="77777777">
        <w:tblPrEx>
          <w:tblCellMar>
            <w:top w:w="0" w:type="dxa"/>
            <w:bottom w:w="0" w:type="dxa"/>
          </w:tblCellMar>
        </w:tblPrEx>
        <w:tc>
          <w:tcPr>
            <w:tcW w:w="228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F4F7F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39EC9076" w14:textId="77777777" w:rsidR="00500721" w:rsidRDefault="00FD1035">
            <w:r>
              <w:rPr>
                <w:sz w:val="19"/>
                <w:szCs w:val="19"/>
              </w:rPr>
              <w:t>COVID recovery</w:t>
            </w:r>
          </w:p>
        </w:tc>
        <w:tc>
          <w:tcPr>
            <w:tcW w:w="228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F4F7F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436ED4F6" w14:textId="77777777" w:rsidR="00500721" w:rsidRDefault="00FD1035">
            <w:r>
              <w:rPr>
                <w:sz w:val="19"/>
                <w:szCs w:val="19"/>
              </w:rPr>
              <w:t>Mar – Aug 2020</w:t>
            </w:r>
          </w:p>
        </w:tc>
        <w:tc>
          <w:tcPr>
            <w:tcW w:w="480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F4F7F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0DECAFE5" w14:textId="77777777" w:rsidR="00500721" w:rsidRDefault="00FD1035">
            <w:r>
              <w:rPr>
                <w:sz w:val="19"/>
                <w:szCs w:val="19"/>
              </w:rPr>
              <w:t>V-shaped rebound on stimulus and reopening</w:t>
            </w:r>
          </w:p>
        </w:tc>
      </w:tr>
      <w:tr w:rsidR="00500721" w14:paraId="19B4BA33" w14:textId="77777777">
        <w:tblPrEx>
          <w:tblCellMar>
            <w:top w:w="0" w:type="dxa"/>
            <w:bottom w:w="0" w:type="dxa"/>
          </w:tblCellMar>
        </w:tblPrEx>
        <w:tc>
          <w:tcPr>
            <w:tcW w:w="228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34EC34FF" w14:textId="77777777" w:rsidR="00500721" w:rsidRDefault="00FD1035">
            <w:r>
              <w:rPr>
                <w:sz w:val="19"/>
                <w:szCs w:val="19"/>
              </w:rPr>
              <w:t>Tech rally</w:t>
            </w:r>
          </w:p>
        </w:tc>
        <w:tc>
          <w:tcPr>
            <w:tcW w:w="228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64B9FD04" w14:textId="77777777" w:rsidR="00500721" w:rsidRDefault="00FD1035">
            <w:r>
              <w:rPr>
                <w:sz w:val="19"/>
                <w:szCs w:val="19"/>
              </w:rPr>
              <w:t>Jan – Nov 2021</w:t>
            </w:r>
          </w:p>
        </w:tc>
        <w:tc>
          <w:tcPr>
            <w:tcW w:w="480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4E2C6F40" w14:textId="77777777" w:rsidR="00500721" w:rsidRDefault="00FD1035">
            <w:r>
              <w:rPr>
                <w:sz w:val="19"/>
                <w:szCs w:val="19"/>
              </w:rPr>
              <w:t>Growth stocks surged on near-zero rates</w:t>
            </w:r>
          </w:p>
        </w:tc>
      </w:tr>
      <w:tr w:rsidR="00500721" w14:paraId="233E99C5" w14:textId="77777777">
        <w:tblPrEx>
          <w:tblCellMar>
            <w:top w:w="0" w:type="dxa"/>
            <w:bottom w:w="0" w:type="dxa"/>
          </w:tblCellMar>
        </w:tblPrEx>
        <w:tc>
          <w:tcPr>
            <w:tcW w:w="228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F4F7F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45580919" w14:textId="77777777" w:rsidR="00500721" w:rsidRDefault="00FD1035">
            <w:r>
              <w:rPr>
                <w:sz w:val="19"/>
                <w:szCs w:val="19"/>
              </w:rPr>
              <w:t>Rate hike cycle</w:t>
            </w:r>
          </w:p>
        </w:tc>
        <w:tc>
          <w:tcPr>
            <w:tcW w:w="228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F4F7F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5D61E45D" w14:textId="77777777" w:rsidR="00500721" w:rsidRDefault="00FD1035">
            <w:r>
              <w:rPr>
                <w:sz w:val="19"/>
                <w:szCs w:val="19"/>
              </w:rPr>
              <w:t>Mar 2022 – Jul 2023</w:t>
            </w:r>
          </w:p>
        </w:tc>
        <w:tc>
          <w:tcPr>
            <w:tcW w:w="480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F4F7F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0F82AD4A" w14:textId="77777777" w:rsidR="00500721" w:rsidRDefault="00FD1035">
            <w:r>
              <w:rPr>
                <w:sz w:val="19"/>
                <w:szCs w:val="19"/>
              </w:rPr>
              <w:t>Fed hiked 11 times to 5.25% against 40-year-high inflation</w:t>
            </w:r>
          </w:p>
        </w:tc>
      </w:tr>
      <w:tr w:rsidR="00500721" w14:paraId="03460194" w14:textId="77777777">
        <w:tblPrEx>
          <w:tblCellMar>
            <w:top w:w="0" w:type="dxa"/>
            <w:bottom w:w="0" w:type="dxa"/>
          </w:tblCellMar>
        </w:tblPrEx>
        <w:tc>
          <w:tcPr>
            <w:tcW w:w="228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339DE2A6" w14:textId="77777777" w:rsidR="00500721" w:rsidRDefault="00FD1035">
            <w:r>
              <w:rPr>
                <w:sz w:val="19"/>
                <w:szCs w:val="19"/>
              </w:rPr>
              <w:t>Tech selloff</w:t>
            </w:r>
          </w:p>
        </w:tc>
        <w:tc>
          <w:tcPr>
            <w:tcW w:w="228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4B0CCA1A" w14:textId="77777777" w:rsidR="00500721" w:rsidRDefault="00FD1035">
            <w:r>
              <w:rPr>
                <w:sz w:val="19"/>
                <w:szCs w:val="19"/>
              </w:rPr>
              <w:t>2022</w:t>
            </w:r>
          </w:p>
        </w:tc>
        <w:tc>
          <w:tcPr>
            <w:tcW w:w="480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44B23271" w14:textId="77777777" w:rsidR="00500721" w:rsidRDefault="00FD1035">
            <w:r>
              <w:rPr>
                <w:sz w:val="19"/>
                <w:szCs w:val="19"/>
              </w:rPr>
              <w:t>Nasdaq fell 33% as rates crushed growth valuations</w:t>
            </w:r>
          </w:p>
        </w:tc>
      </w:tr>
      <w:tr w:rsidR="00500721" w14:paraId="3640B376" w14:textId="77777777">
        <w:tblPrEx>
          <w:tblCellMar>
            <w:top w:w="0" w:type="dxa"/>
            <w:bottom w:w="0" w:type="dxa"/>
          </w:tblCellMar>
        </w:tblPrEx>
        <w:tc>
          <w:tcPr>
            <w:tcW w:w="228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F4F7F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2FB74D27" w14:textId="77777777" w:rsidR="00500721" w:rsidRDefault="00FD1035">
            <w:r>
              <w:rPr>
                <w:sz w:val="19"/>
                <w:szCs w:val="19"/>
              </w:rPr>
              <w:t>AI boom</w:t>
            </w:r>
          </w:p>
        </w:tc>
        <w:tc>
          <w:tcPr>
            <w:tcW w:w="228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F4F7F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2617A877" w14:textId="77777777" w:rsidR="00500721" w:rsidRDefault="00FD1035">
            <w:r>
              <w:rPr>
                <w:sz w:val="19"/>
                <w:szCs w:val="19"/>
              </w:rPr>
              <w:t>2023</w:t>
            </w:r>
          </w:p>
        </w:tc>
        <w:tc>
          <w:tcPr>
            <w:tcW w:w="480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F4F7F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74A698CC" w14:textId="77777777" w:rsidR="00500721" w:rsidRDefault="00FD1035">
            <w:r>
              <w:rPr>
                <w:sz w:val="19"/>
                <w:szCs w:val="19"/>
              </w:rPr>
              <w:t>ChatGPT-driven wave; NVDA up 200%+ in the year</w:t>
            </w:r>
          </w:p>
        </w:tc>
      </w:tr>
    </w:tbl>
    <w:p w14:paraId="63E20CC6" w14:textId="77777777" w:rsidR="00500721" w:rsidRDefault="00500721">
      <w:pPr>
        <w:spacing w:before="90" w:after="60"/>
      </w:pPr>
    </w:p>
    <w:p w14:paraId="7210F53F" w14:textId="77777777" w:rsidR="00500721" w:rsidRDefault="00FD1035">
      <w:pPr>
        <w:spacing w:before="60" w:after="100"/>
      </w:pPr>
      <w:r>
        <w:t>The 20/50/200-day moving averages built into the model produce classic technical signals at these boundaries. For Tesla, the 20-day crossed below the 200-day (death cross) at the onset of the 2022 rate cycle — ahead of the deepest part of its 97% drawdown — and the reverse golden cross appeared in early 2023 as the AI-led recovery began. The 30-day momentum measure flips between positive and negative in close alignment with the same event windows.</w:t>
      </w:r>
    </w:p>
    <w:p w14:paraId="6BC9C0E8" w14:textId="45E19C2B" w:rsidR="00500721" w:rsidRDefault="00FD1035" w:rsidP="00706D33">
      <w:r w:rsidRPr="00706D33">
        <w:rPr>
          <w:b/>
          <w:bCs/>
          <w:color w:val="0070C0"/>
          <w:sz w:val="34"/>
          <w:szCs w:val="34"/>
        </w:rPr>
        <w:t>08</w:t>
      </w:r>
      <w:r>
        <w:rPr>
          <w:b/>
          <w:bCs/>
          <w:color w:val="00A886"/>
          <w:sz w:val="34"/>
          <w:szCs w:val="34"/>
        </w:rPr>
        <w:t xml:space="preserve">  </w:t>
      </w:r>
      <w:r w:rsidR="00706D33">
        <w:rPr>
          <w:b/>
          <w:bCs/>
          <w:color w:val="0D1B2A"/>
          <w:sz w:val="34"/>
          <w:szCs w:val="34"/>
        </w:rPr>
        <w:t>METHODOLOGY AND SKILLS DEMONSTRATED</w:t>
      </w:r>
    </w:p>
    <w:p w14:paraId="64243889" w14:textId="29AF6547" w:rsidR="00500721" w:rsidRDefault="00FD1035" w:rsidP="00706D33">
      <w:pPr>
        <w:spacing w:before="60" w:after="100"/>
      </w:pPr>
      <w:r>
        <w:t>Everything in this report was computed inside the Power BI semantic model — no external statistics packages. Every figure is filter-context aware and fully interactive in the report.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4080"/>
        <w:gridCol w:w="3120"/>
      </w:tblGrid>
      <w:tr w:rsidR="00500721" w14:paraId="529C66B0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0D1B2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5C99DB40" w14:textId="77777777" w:rsidR="00500721" w:rsidRDefault="00FD1035">
            <w:r>
              <w:rPr>
                <w:b/>
                <w:bCs/>
                <w:color w:val="FFFFFF"/>
                <w:sz w:val="19"/>
                <w:szCs w:val="19"/>
              </w:rPr>
              <w:t>Area</w:t>
            </w:r>
          </w:p>
        </w:tc>
        <w:tc>
          <w:tcPr>
            <w:tcW w:w="408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0D1B2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157D0D48" w14:textId="77777777" w:rsidR="00500721" w:rsidRDefault="00FD1035">
            <w:r>
              <w:rPr>
                <w:b/>
                <w:bCs/>
                <w:color w:val="FFFFFF"/>
                <w:sz w:val="19"/>
                <w:szCs w:val="19"/>
              </w:rPr>
              <w:t>What was built</w:t>
            </w:r>
          </w:p>
        </w:tc>
        <w:tc>
          <w:tcPr>
            <w:tcW w:w="312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0D1B2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79732D43" w14:textId="77777777" w:rsidR="00500721" w:rsidRDefault="00FD1035">
            <w:r>
              <w:rPr>
                <w:b/>
                <w:bCs/>
                <w:color w:val="FFFFFF"/>
                <w:sz w:val="19"/>
                <w:szCs w:val="19"/>
              </w:rPr>
              <w:t>Key DAX concepts</w:t>
            </w:r>
          </w:p>
        </w:tc>
      </w:tr>
      <w:tr w:rsidR="00500721" w14:paraId="569E25E1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551C57CF" w14:textId="77777777" w:rsidR="00500721" w:rsidRDefault="00FD1035">
            <w:r>
              <w:rPr>
                <w:sz w:val="19"/>
                <w:szCs w:val="19"/>
              </w:rPr>
              <w:t>Data modelling</w:t>
            </w:r>
          </w:p>
        </w:tc>
        <w:tc>
          <w:tcPr>
            <w:tcW w:w="408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3B61934A" w14:textId="77777777" w:rsidR="00500721" w:rsidRDefault="00FD1035">
            <w:r>
              <w:rPr>
                <w:sz w:val="19"/>
                <w:szCs w:val="19"/>
              </w:rPr>
              <w:t>4 custom tables, 3 relationships, star-schema layout</w:t>
            </w:r>
          </w:p>
        </w:tc>
        <w:tc>
          <w:tcPr>
            <w:tcW w:w="312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295C57B9" w14:textId="77777777" w:rsidR="00500721" w:rsidRDefault="00FD1035">
            <w:r>
              <w:rPr>
                <w:sz w:val="19"/>
                <w:szCs w:val="19"/>
              </w:rPr>
              <w:t>DATATABLE, calculated tables, cardinality</w:t>
            </w:r>
          </w:p>
        </w:tc>
      </w:tr>
      <w:tr w:rsidR="00500721" w14:paraId="1103074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F4F7F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0C200222" w14:textId="77777777" w:rsidR="00500721" w:rsidRDefault="00FD1035">
            <w:r>
              <w:rPr>
                <w:sz w:val="19"/>
                <w:szCs w:val="19"/>
              </w:rPr>
              <w:t>Sector analysis</w:t>
            </w:r>
          </w:p>
        </w:tc>
        <w:tc>
          <w:tcPr>
            <w:tcW w:w="408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F4F7F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42FE7A37" w14:textId="77777777" w:rsidR="00500721" w:rsidRDefault="00FD1035">
            <w:r>
              <w:rPr>
                <w:sz w:val="19"/>
                <w:szCs w:val="19"/>
              </w:rPr>
              <w:t>489-ticker sector map, 11 sectors, sector-level measures</w:t>
            </w:r>
          </w:p>
        </w:tc>
        <w:tc>
          <w:tcPr>
            <w:tcW w:w="312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F4F7F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37A35BBC" w14:textId="77777777" w:rsidR="00500721" w:rsidRDefault="00FD1035">
            <w:r>
              <w:rPr>
                <w:sz w:val="19"/>
                <w:szCs w:val="19"/>
              </w:rPr>
              <w:t>AVERAGEX, SUMX, RELATED, TOPN</w:t>
            </w:r>
          </w:p>
        </w:tc>
      </w:tr>
      <w:tr w:rsidR="00500721" w14:paraId="74FE0201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3C3AE950" w14:textId="77777777" w:rsidR="00500721" w:rsidRDefault="00FD1035">
            <w:r>
              <w:rPr>
                <w:sz w:val="19"/>
                <w:szCs w:val="19"/>
              </w:rPr>
              <w:t>Risk analytics</w:t>
            </w:r>
          </w:p>
        </w:tc>
        <w:tc>
          <w:tcPr>
            <w:tcW w:w="408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3B157695" w14:textId="77777777" w:rsidR="00500721" w:rsidRDefault="00FD1035">
            <w:r>
              <w:rPr>
                <w:sz w:val="19"/>
                <w:szCs w:val="19"/>
              </w:rPr>
              <w:t>Sharpe ratio, annualised return and volatility, drawdown, Value at Risk</w:t>
            </w:r>
          </w:p>
        </w:tc>
        <w:tc>
          <w:tcPr>
            <w:tcW w:w="312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417307C6" w14:textId="77777777" w:rsidR="00500721" w:rsidRDefault="00FD1035">
            <w:r>
              <w:rPr>
                <w:sz w:val="19"/>
                <w:szCs w:val="19"/>
              </w:rPr>
              <w:t>PERCENTILEX.INC, statistical DAX, variables</w:t>
            </w:r>
          </w:p>
        </w:tc>
      </w:tr>
      <w:tr w:rsidR="00500721" w14:paraId="241FF0B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F4F7F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4F9FE0B7" w14:textId="77777777" w:rsidR="00500721" w:rsidRDefault="00FD1035">
            <w:r>
              <w:rPr>
                <w:sz w:val="19"/>
                <w:szCs w:val="19"/>
              </w:rPr>
              <w:t>Statistics</w:t>
            </w:r>
          </w:p>
        </w:tc>
        <w:tc>
          <w:tcPr>
            <w:tcW w:w="408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F4F7F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437CAC2A" w14:textId="77777777" w:rsidR="00500721" w:rsidRDefault="00FD1035">
            <w:r>
              <w:rPr>
                <w:sz w:val="19"/>
                <w:szCs w:val="19"/>
              </w:rPr>
              <w:t>Pearson correlation computed natively in DAX</w:t>
            </w:r>
          </w:p>
        </w:tc>
        <w:tc>
          <w:tcPr>
            <w:tcW w:w="312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F4F7F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20E59F60" w14:textId="77777777" w:rsidR="00500721" w:rsidRDefault="00FD1035">
            <w:r>
              <w:rPr>
                <w:sz w:val="19"/>
                <w:szCs w:val="19"/>
              </w:rPr>
              <w:t>SUMMARIZE, iterator functions, covariance</w:t>
            </w:r>
          </w:p>
        </w:tc>
      </w:tr>
      <w:tr w:rsidR="00500721" w14:paraId="4B11522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7862FB04" w14:textId="77777777" w:rsidR="00500721" w:rsidRDefault="00FD1035">
            <w:r>
              <w:rPr>
                <w:sz w:val="19"/>
                <w:szCs w:val="19"/>
              </w:rPr>
              <w:t>Technical analysis</w:t>
            </w:r>
          </w:p>
        </w:tc>
        <w:tc>
          <w:tcPr>
            <w:tcW w:w="408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0844B46E" w14:textId="77777777" w:rsidR="00500721" w:rsidRDefault="00FD1035">
            <w:r>
              <w:rPr>
                <w:sz w:val="19"/>
                <w:szCs w:val="19"/>
              </w:rPr>
              <w:t>20/50/200-day moving averages, trend flags, momentum</w:t>
            </w:r>
          </w:p>
        </w:tc>
        <w:tc>
          <w:tcPr>
            <w:tcW w:w="312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4ECA89B2" w14:textId="77777777" w:rsidR="00500721" w:rsidRDefault="00FD1035">
            <w:r>
              <w:rPr>
                <w:sz w:val="19"/>
                <w:szCs w:val="19"/>
              </w:rPr>
              <w:t>Date-window filtering, FIRSTNONBLANK</w:t>
            </w:r>
          </w:p>
        </w:tc>
      </w:tr>
      <w:tr w:rsidR="00500721" w14:paraId="75647998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F4F7F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728A3A06" w14:textId="77777777" w:rsidR="00500721" w:rsidRDefault="00FD1035">
            <w:r>
              <w:rPr>
                <w:sz w:val="19"/>
                <w:szCs w:val="19"/>
              </w:rPr>
              <w:t>Time intelligence</w:t>
            </w:r>
          </w:p>
        </w:tc>
        <w:tc>
          <w:tcPr>
            <w:tcW w:w="408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F4F7F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3BE0E26E" w14:textId="77777777" w:rsidR="00500721" w:rsidRDefault="00FD1035">
            <w:r>
              <w:rPr>
                <w:sz w:val="19"/>
                <w:szCs w:val="19"/>
              </w:rPr>
              <w:t>YTD change, daily returns, event period labelling</w:t>
            </w:r>
          </w:p>
        </w:tc>
        <w:tc>
          <w:tcPr>
            <w:tcW w:w="312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F4F7F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3D5B5F51" w14:textId="77777777" w:rsidR="00500721" w:rsidRDefault="00FD1035">
            <w:r>
              <w:rPr>
                <w:sz w:val="19"/>
                <w:szCs w:val="19"/>
              </w:rPr>
              <w:t>DATEADD, ALLSELECTED, context transition</w:t>
            </w:r>
          </w:p>
        </w:tc>
      </w:tr>
      <w:tr w:rsidR="00500721" w14:paraId="11D7EC4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2A99ADE3" w14:textId="77777777" w:rsidR="00500721" w:rsidRDefault="00FD1035">
            <w:r>
              <w:rPr>
                <w:sz w:val="19"/>
                <w:szCs w:val="19"/>
              </w:rPr>
              <w:t>Report design</w:t>
            </w:r>
          </w:p>
        </w:tc>
        <w:tc>
          <w:tcPr>
            <w:tcW w:w="408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64B0A612" w14:textId="77777777" w:rsidR="00500721" w:rsidRDefault="00FD1035">
            <w:r>
              <w:rPr>
                <w:sz w:val="19"/>
                <w:szCs w:val="19"/>
              </w:rPr>
              <w:t>8 dashboards, synced slicers, conditional formatting</w:t>
            </w:r>
          </w:p>
        </w:tc>
        <w:tc>
          <w:tcPr>
            <w:tcW w:w="312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67DFDAC0" w14:textId="77777777" w:rsidR="00500721" w:rsidRDefault="00FD1035">
            <w:r>
              <w:rPr>
                <w:sz w:val="19"/>
                <w:szCs w:val="19"/>
              </w:rPr>
              <w:t>UX layout, visual-level filters, bookmarks</w:t>
            </w:r>
          </w:p>
        </w:tc>
      </w:tr>
      <w:tr w:rsidR="00500721" w14:paraId="64E5AB5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F4F7F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238FB17D" w14:textId="77777777" w:rsidR="00500721" w:rsidRDefault="00FD1035">
            <w:r>
              <w:rPr>
                <w:sz w:val="19"/>
                <w:szCs w:val="19"/>
              </w:rPr>
              <w:t>Debugging</w:t>
            </w:r>
          </w:p>
        </w:tc>
        <w:tc>
          <w:tcPr>
            <w:tcW w:w="408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F4F7F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5A98D882" w14:textId="77777777" w:rsidR="00500721" w:rsidRDefault="00FD1035">
            <w:r>
              <w:rPr>
                <w:sz w:val="19"/>
                <w:szCs w:val="19"/>
              </w:rPr>
              <w:t>Engine-level DAX limits diagnosed and worked around</w:t>
            </w:r>
          </w:p>
        </w:tc>
        <w:tc>
          <w:tcPr>
            <w:tcW w:w="3120" w:type="dxa"/>
            <w:tcBorders>
              <w:top w:val="single" w:sz="1" w:space="0" w:color="D7DEE7"/>
              <w:left w:val="single" w:sz="1" w:space="0" w:color="D7DEE7"/>
              <w:bottom w:val="single" w:sz="1" w:space="0" w:color="D7DEE7"/>
              <w:right w:val="single" w:sz="1" w:space="0" w:color="D7DEE7"/>
            </w:tcBorders>
            <w:shd w:val="clear" w:color="auto" w:fill="F4F7F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34B6D3BC" w14:textId="77777777" w:rsidR="00500721" w:rsidRDefault="00FD1035">
            <w:r>
              <w:rPr>
                <w:sz w:val="19"/>
                <w:szCs w:val="19"/>
              </w:rPr>
              <w:t>Compatibility levels, measure refactoring</w:t>
            </w:r>
          </w:p>
        </w:tc>
      </w:tr>
    </w:tbl>
    <w:p w14:paraId="59EAEC7D" w14:textId="48CD2FC1" w:rsidR="00500721" w:rsidRDefault="00500721" w:rsidP="00706D33">
      <w:pPr>
        <w:spacing w:before="90" w:after="170"/>
      </w:pPr>
    </w:p>
    <w:p w14:paraId="5647447E" w14:textId="77777777" w:rsidR="00706D33" w:rsidRDefault="00706D33" w:rsidP="00706D33"/>
    <w:p w14:paraId="449274D1" w14:textId="77777777" w:rsidR="00706D33" w:rsidRDefault="00706D33" w:rsidP="00706D33"/>
    <w:p w14:paraId="0B13858F" w14:textId="77777777" w:rsidR="00706D33" w:rsidRDefault="00706D33" w:rsidP="00706D33"/>
    <w:p w14:paraId="474B8C6B" w14:textId="20391F8D" w:rsidR="00500721" w:rsidRDefault="00FD1035" w:rsidP="00706D33">
      <w:r w:rsidRPr="00706D33">
        <w:rPr>
          <w:b/>
          <w:bCs/>
          <w:color w:val="0070C0"/>
          <w:sz w:val="34"/>
          <w:szCs w:val="34"/>
        </w:rPr>
        <w:t>09</w:t>
      </w:r>
      <w:r>
        <w:rPr>
          <w:b/>
          <w:bCs/>
          <w:color w:val="00A886"/>
          <w:sz w:val="34"/>
          <w:szCs w:val="34"/>
        </w:rPr>
        <w:t xml:space="preserve">  </w:t>
      </w:r>
      <w:r w:rsidR="00706D33">
        <w:rPr>
          <w:b/>
          <w:bCs/>
          <w:color w:val="0D1B2A"/>
          <w:sz w:val="34"/>
          <w:szCs w:val="34"/>
        </w:rPr>
        <w:t>LIMITATIONS</w:t>
      </w:r>
    </w:p>
    <w:p w14:paraId="3856ACA7" w14:textId="77777777" w:rsidR="00500721" w:rsidRDefault="00FD1035">
      <w:pPr>
        <w:spacing w:before="55" w:after="55"/>
        <w:ind w:left="460" w:hanging="230"/>
      </w:pPr>
      <w:r>
        <w:rPr>
          <w:b/>
          <w:bCs/>
          <w:color w:val="00A886"/>
          <w:sz w:val="20"/>
          <w:szCs w:val="20"/>
        </w:rPr>
        <w:t>▸</w:t>
      </w:r>
      <w:r>
        <w:rPr>
          <w:b/>
          <w:bCs/>
          <w:color w:val="00A886"/>
          <w:sz w:val="20"/>
          <w:szCs w:val="20"/>
        </w:rPr>
        <w:t xml:space="preserve">  </w:t>
      </w:r>
      <w:r>
        <w:t>No market capitalisation data — volume totals cannot be size-weighted, so small and mega caps count equally.</w:t>
      </w:r>
    </w:p>
    <w:p w14:paraId="702A5CF4" w14:textId="77777777" w:rsidR="00500721" w:rsidRDefault="00FD1035">
      <w:pPr>
        <w:spacing w:before="55" w:after="55"/>
        <w:ind w:left="460" w:hanging="230"/>
      </w:pPr>
      <w:r>
        <w:rPr>
          <w:b/>
          <w:bCs/>
          <w:color w:val="00A886"/>
          <w:sz w:val="20"/>
          <w:szCs w:val="20"/>
        </w:rPr>
        <w:t>▸</w:t>
      </w:r>
      <w:r>
        <w:rPr>
          <w:b/>
          <w:bCs/>
          <w:color w:val="00A886"/>
          <w:sz w:val="20"/>
          <w:szCs w:val="20"/>
        </w:rPr>
        <w:t xml:space="preserve">  </w:t>
      </w:r>
      <w:r>
        <w:t>Several tickers (ARM, KVUE, COIN, ABNB, RIVN and others) listed partway through the window; their five-year metrics cover shorter periods and are not directly comparable.</w:t>
      </w:r>
    </w:p>
    <w:p w14:paraId="243CF820" w14:textId="77777777" w:rsidR="00500721" w:rsidRDefault="00FD1035">
      <w:pPr>
        <w:spacing w:before="55" w:after="55"/>
        <w:ind w:left="460" w:hanging="230"/>
      </w:pPr>
      <w:r>
        <w:rPr>
          <w:b/>
          <w:bCs/>
          <w:color w:val="00A886"/>
          <w:sz w:val="20"/>
          <w:szCs w:val="20"/>
        </w:rPr>
        <w:t>▸</w:t>
      </w:r>
      <w:r>
        <w:rPr>
          <w:b/>
          <w:bCs/>
          <w:color w:val="00A886"/>
          <w:sz w:val="20"/>
          <w:szCs w:val="20"/>
        </w:rPr>
        <w:t xml:space="preserve">  </w:t>
      </w:r>
      <w:r>
        <w:t>Annualised volatility is approximated from price standard deviation normalised by average price rather than daily return standard deviation, which inflates Sharpe ratios in absolute terms; rankings remain internally consistent.</w:t>
      </w:r>
    </w:p>
    <w:p w14:paraId="5207A44A" w14:textId="77777777" w:rsidR="00500721" w:rsidRDefault="00FD1035">
      <w:pPr>
        <w:spacing w:before="55" w:after="55"/>
        <w:ind w:left="460" w:hanging="230"/>
      </w:pPr>
      <w:r>
        <w:rPr>
          <w:b/>
          <w:bCs/>
          <w:color w:val="00A886"/>
          <w:sz w:val="20"/>
          <w:szCs w:val="20"/>
        </w:rPr>
        <w:t>▸</w:t>
      </w:r>
      <w:r>
        <w:rPr>
          <w:b/>
          <w:bCs/>
          <w:color w:val="00A886"/>
          <w:sz w:val="20"/>
          <w:szCs w:val="20"/>
        </w:rPr>
        <w:t xml:space="preserve">  </w:t>
      </w:r>
      <w:r>
        <w:t>Drawdown uses the full-period peak and trough rather than a rolling window — it captures the worst case for the whole five years, not intra-year episodes.</w:t>
      </w:r>
    </w:p>
    <w:p w14:paraId="0A367B5C" w14:textId="77777777" w:rsidR="00500721" w:rsidRDefault="00FD1035">
      <w:pPr>
        <w:spacing w:before="55" w:after="55"/>
        <w:ind w:left="460" w:hanging="230"/>
      </w:pPr>
      <w:r>
        <w:rPr>
          <w:b/>
          <w:bCs/>
          <w:color w:val="00A886"/>
          <w:sz w:val="20"/>
          <w:szCs w:val="20"/>
        </w:rPr>
        <w:t>▸</w:t>
      </w:r>
      <w:r>
        <w:rPr>
          <w:b/>
          <w:bCs/>
          <w:color w:val="00A886"/>
          <w:sz w:val="20"/>
          <w:szCs w:val="20"/>
        </w:rPr>
        <w:t xml:space="preserve">  </w:t>
      </w:r>
      <w:r>
        <w:t>Two tickers (MFG, PDX) remain unmapped in the sector table and are excluded from sector-level visuals via an is-not-blank filter.</w:t>
      </w:r>
    </w:p>
    <w:p w14:paraId="6544A2CB" w14:textId="00C3DF16" w:rsidR="00500721" w:rsidRDefault="00FD1035" w:rsidP="00706D33">
      <w:pPr>
        <w:spacing w:before="55" w:after="55"/>
        <w:ind w:left="460" w:hanging="230"/>
      </w:pPr>
      <w:r>
        <w:rPr>
          <w:b/>
          <w:bCs/>
          <w:color w:val="00A886"/>
          <w:sz w:val="20"/>
          <w:szCs w:val="20"/>
        </w:rPr>
        <w:t>▸</w:t>
      </w:r>
      <w:r>
        <w:rPr>
          <w:b/>
          <w:bCs/>
          <w:color w:val="00A886"/>
          <w:sz w:val="20"/>
          <w:szCs w:val="20"/>
        </w:rPr>
        <w:t xml:space="preserve">  </w:t>
      </w:r>
      <w:r>
        <w:t>The data ends November 2023; the 2024 AI rally and subsequent developments are out of scope.</w:t>
      </w:r>
    </w:p>
    <w:p w14:paraId="7553EF9B" w14:textId="177D6A7E" w:rsidR="00500721" w:rsidRDefault="00FD1035" w:rsidP="00706D33">
      <w:pPr>
        <w:pStyle w:val="Heading1"/>
      </w:pPr>
      <w:r w:rsidRPr="00706D33">
        <w:rPr>
          <w:color w:val="0070C0"/>
        </w:rPr>
        <w:t xml:space="preserve">10 </w:t>
      </w:r>
      <w:r>
        <w:rPr>
          <w:color w:val="00A886"/>
        </w:rPr>
        <w:t xml:space="preserve"> </w:t>
      </w:r>
      <w:r w:rsidR="00706D33">
        <w:t>CONCLUSION</w:t>
      </w:r>
    </w:p>
    <w:p w14:paraId="301C04F8" w14:textId="77777777" w:rsidR="00500721" w:rsidRDefault="00FD1035">
      <w:pPr>
        <w:spacing w:before="60" w:after="100"/>
      </w:pPr>
      <w:r>
        <w:t>A</w:t>
      </w:r>
      <w:r>
        <w:t>cross one of the most turbulent five-year windows in market history, the data tells a consistent story: returns and risk are inseparable. The stocks that created the most wealth also destroyed the most along the way; the sector that outperformed was the one most had written off; and the loudest, most-traded names were rarely the best investments.</w:t>
      </w:r>
    </w:p>
    <w:p w14:paraId="7A3773C8" w14:textId="32406C7C" w:rsidR="00500721" w:rsidRDefault="00FD1035" w:rsidP="00706D33">
      <w:pPr>
        <w:spacing w:before="60" w:after="100"/>
      </w:pPr>
      <w:r>
        <w:t>As a portfolio project, this work demonstrates end-to-end analytical capability: sourcing and modelling raw data, engineering a semantic layer with non-trivial DAX (statistical measures, risk metrics, time intelligence), diagnosing engine-level limitations, and packaging the results into an interactive eight-page report alongside written analysis.</w:t>
      </w:r>
    </w:p>
    <w:sectPr w:rsidR="00500721" w:rsidSect="00706D33">
      <w:pgSz w:w="12240" w:h="15840"/>
      <w:pgMar w:top="0" w:right="1080" w:bottom="1060" w:left="12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4C706" w14:textId="77777777" w:rsidR="00FD1035" w:rsidRDefault="00FD1035">
      <w:r>
        <w:separator/>
      </w:r>
    </w:p>
  </w:endnote>
  <w:endnote w:type="continuationSeparator" w:id="0">
    <w:p w14:paraId="0ABF83F7" w14:textId="77777777" w:rsidR="00FD1035" w:rsidRDefault="00FD1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BF704" w14:textId="77777777" w:rsidR="00FD1035" w:rsidRDefault="00FD1035">
      <w:r>
        <w:separator/>
      </w:r>
    </w:p>
  </w:footnote>
  <w:footnote w:type="continuationSeparator" w:id="0">
    <w:p w14:paraId="0B5FAF45" w14:textId="77777777" w:rsidR="00FD1035" w:rsidRDefault="00FD10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24A3E"/>
    <w:multiLevelType w:val="hybridMultilevel"/>
    <w:tmpl w:val="C6B0C320"/>
    <w:lvl w:ilvl="0" w:tplc="44F01C16">
      <w:start w:val="1"/>
      <w:numFmt w:val="bullet"/>
      <w:lvlText w:val="●"/>
      <w:lvlJc w:val="left"/>
      <w:pPr>
        <w:ind w:left="720" w:hanging="360"/>
      </w:pPr>
    </w:lvl>
    <w:lvl w:ilvl="1" w:tplc="B9E88FC2">
      <w:start w:val="1"/>
      <w:numFmt w:val="bullet"/>
      <w:lvlText w:val="○"/>
      <w:lvlJc w:val="left"/>
      <w:pPr>
        <w:ind w:left="1440" w:hanging="360"/>
      </w:pPr>
    </w:lvl>
    <w:lvl w:ilvl="2" w:tplc="911A2D18">
      <w:start w:val="1"/>
      <w:numFmt w:val="bullet"/>
      <w:lvlText w:val="■"/>
      <w:lvlJc w:val="left"/>
      <w:pPr>
        <w:ind w:left="2160" w:hanging="360"/>
      </w:pPr>
    </w:lvl>
    <w:lvl w:ilvl="3" w:tplc="74F07CE2">
      <w:start w:val="1"/>
      <w:numFmt w:val="bullet"/>
      <w:lvlText w:val="●"/>
      <w:lvlJc w:val="left"/>
      <w:pPr>
        <w:ind w:left="2880" w:hanging="360"/>
      </w:pPr>
    </w:lvl>
    <w:lvl w:ilvl="4" w:tplc="7CD22B94">
      <w:start w:val="1"/>
      <w:numFmt w:val="bullet"/>
      <w:lvlText w:val="○"/>
      <w:lvlJc w:val="left"/>
      <w:pPr>
        <w:ind w:left="3600" w:hanging="360"/>
      </w:pPr>
    </w:lvl>
    <w:lvl w:ilvl="5" w:tplc="50E6DB5E">
      <w:start w:val="1"/>
      <w:numFmt w:val="bullet"/>
      <w:lvlText w:val="■"/>
      <w:lvlJc w:val="left"/>
      <w:pPr>
        <w:ind w:left="4320" w:hanging="360"/>
      </w:pPr>
    </w:lvl>
    <w:lvl w:ilvl="6" w:tplc="2DF8CF94">
      <w:start w:val="1"/>
      <w:numFmt w:val="bullet"/>
      <w:lvlText w:val="●"/>
      <w:lvlJc w:val="left"/>
      <w:pPr>
        <w:ind w:left="5040" w:hanging="360"/>
      </w:pPr>
    </w:lvl>
    <w:lvl w:ilvl="7" w:tplc="02000176">
      <w:start w:val="1"/>
      <w:numFmt w:val="bullet"/>
      <w:lvlText w:val="●"/>
      <w:lvlJc w:val="left"/>
      <w:pPr>
        <w:ind w:left="5760" w:hanging="360"/>
      </w:pPr>
    </w:lvl>
    <w:lvl w:ilvl="8" w:tplc="56F43CAE">
      <w:start w:val="1"/>
      <w:numFmt w:val="bullet"/>
      <w:lvlText w:val="●"/>
      <w:lvlJc w:val="left"/>
      <w:pPr>
        <w:ind w:left="6480" w:hanging="360"/>
      </w:pPr>
    </w:lvl>
  </w:abstractNum>
  <w:num w:numId="1" w16cid:durableId="3997200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0721"/>
    <w:rsid w:val="00386CA7"/>
    <w:rsid w:val="00500721"/>
    <w:rsid w:val="005B45CF"/>
    <w:rsid w:val="00706D33"/>
    <w:rsid w:val="00CD498E"/>
    <w:rsid w:val="00CE0673"/>
    <w:rsid w:val="00FD1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6AFE1"/>
  <w15:docId w15:val="{AA25407F-EA11-40DF-9A80-53C8465C9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5303C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80" w:after="100"/>
      <w:outlineLvl w:val="0"/>
    </w:pPr>
    <w:rPr>
      <w:b/>
      <w:bCs/>
      <w:color w:val="0D1B2A"/>
      <w:sz w:val="34"/>
      <w:szCs w:val="34"/>
    </w:rPr>
  </w:style>
  <w:style w:type="paragraph" w:styleId="Heading2">
    <w:name w:val="heading 2"/>
    <w:uiPriority w:val="9"/>
    <w:unhideWhenUsed/>
    <w:qFormat/>
    <w:pPr>
      <w:spacing w:before="260" w:after="90"/>
      <w:outlineLvl w:val="1"/>
    </w:pPr>
    <w:rPr>
      <w:b/>
      <w:bCs/>
      <w:color w:val="007A64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06D3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6D33"/>
  </w:style>
  <w:style w:type="paragraph" w:styleId="Footer">
    <w:name w:val="footer"/>
    <w:basedOn w:val="Normal"/>
    <w:link w:val="FooterChar"/>
    <w:uiPriority w:val="99"/>
    <w:unhideWhenUsed/>
    <w:rsid w:val="00706D3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6D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1812</Words>
  <Characters>10331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Nurhan Nuriev</cp:lastModifiedBy>
  <cp:revision>5</cp:revision>
  <dcterms:created xsi:type="dcterms:W3CDTF">2026-07-06T05:04:00Z</dcterms:created>
  <dcterms:modified xsi:type="dcterms:W3CDTF">2026-07-06T05:05:00Z</dcterms:modified>
</cp:coreProperties>
</file>