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4E79"/>
          <w:sz w:val="52"/>
          <w:szCs w:val="52"/>
        </w:rPr>
        <w:t xml:space="preserve">Stock Market Analysis Report</w:t>
      </w:r>
    </w:p>
    <w:p>
      <w:pPr>
        <w:spacing w:after="80" w:before="0"/>
        <w:jc w:val="center"/>
      </w:pPr>
      <w:r>
        <w:rPr>
          <w:rFonts w:ascii="Arial" w:cs="Arial" w:eastAsia="Arial" w:hAnsi="Arial"/>
          <w:color w:val="888888"/>
          <w:sz w:val="24"/>
          <w:szCs w:val="24"/>
        </w:rPr>
        <w:t xml:space="preserve">5-Year Global Equity Dataset  |  November 2018 – November 2023</w:t>
      </w:r>
    </w:p>
    <w:p>
      <w:pPr>
        <w:spacing w:after="480" w:before="0"/>
        <w:jc w:val="center"/>
      </w:pPr>
      <w:r>
        <w:rPr>
          <w:rFonts w:ascii="Arial" w:cs="Arial" w:eastAsia="Arial" w:hAnsi="Arial"/>
          <w:i/>
          <w:iCs/>
          <w:color w:val="AAAAAA"/>
          <w:sz w:val="22"/>
          <w:szCs w:val="22"/>
        </w:rPr>
        <w:t xml:space="preserve">Prepared using Power BI Desktop</w:t>
      </w:r>
    </w:p>
    <w:p>
      <w:pPr>
        <w:pStyle w:val="Heading1"/>
        <w:spacing w:after="160" w:before="320"/>
      </w:pPr>
      <w:r>
        <w:rPr>
          <w:rFonts w:ascii="Arial" w:cs="Arial" w:eastAsia="Arial" w:hAnsi="Arial"/>
          <w:b/>
          <w:bCs/>
          <w:color w:val="1F4E79"/>
          <w:sz w:val="32"/>
          <w:szCs w:val="32"/>
        </w:rPr>
        <w:t xml:space="preserve">1. Dataset Overview</w:t>
      </w:r>
    </w:p>
    <w:p>
      <w:pPr>
        <w:spacing w:after="80" w:before="80"/>
      </w:pPr>
      <w:r>
        <w:rPr>
          <w:rFonts w:ascii="Arial" w:cs="Arial" w:eastAsia="Arial" w:hAnsi="Arial"/>
          <w:sz w:val="22"/>
          <w:szCs w:val="22"/>
        </w:rPr>
        <w:t xml:space="preserve">This report analyses a 5-year dataset of daily stock price data covering 297 globally listed companies. The data spans from November 2018 to November 2023, capturing 1,258 trading days per company including open, high, low, and close prices, trading volume, dividends, and stock split events.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Metric</w:t>
            </w:r>
          </w:p>
        </w:tc>
        <w:tc>
          <w:tcPr>
            <w:tcW w:type="dxa" w:w="312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Value</w:t>
            </w:r>
          </w:p>
        </w:tc>
        <w:tc>
          <w:tcPr>
            <w:tcW w:type="dxa" w:w="312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Notes</w:t>
            </w:r>
          </w:p>
        </w:tc>
      </w:tr>
      <w:tr>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sz w:val="20"/>
                <w:szCs w:val="20"/>
              </w:rPr>
              <w:t xml:space="preserve">Total companies</w:t>
            </w:r>
          </w:p>
        </w:tc>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right"/>
            </w:pPr>
            <w:r>
              <w:rPr>
                <w:rFonts w:ascii="Arial" w:cs="Arial" w:eastAsia="Arial" w:hAnsi="Arial"/>
                <w:sz w:val="20"/>
                <w:szCs w:val="20"/>
              </w:rPr>
              <w:t xml:space="preserve">297 unique tickers</w:t>
            </w:r>
          </w:p>
        </w:tc>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sz w:val="20"/>
                <w:szCs w:val="20"/>
              </w:rPr>
              <w:t xml:space="preserve">Global stocks</w:t>
            </w:r>
          </w:p>
        </w:tc>
      </w:tr>
      <w:tr>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sz w:val="20"/>
                <w:szCs w:val="20"/>
              </w:rPr>
              <w:t xml:space="preserve">Date range</w:t>
            </w:r>
          </w:p>
        </w:tc>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right"/>
            </w:pPr>
            <w:r>
              <w:rPr>
                <w:rFonts w:ascii="Arial" w:cs="Arial" w:eastAsia="Arial" w:hAnsi="Arial"/>
                <w:sz w:val="20"/>
                <w:szCs w:val="20"/>
              </w:rPr>
              <w:t xml:space="preserve">Nov 2018 – Nov 2023</w:t>
            </w:r>
          </w:p>
        </w:tc>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sz w:val="20"/>
                <w:szCs w:val="20"/>
              </w:rPr>
              <w:t xml:space="preserve">5 years of daily data</w:t>
            </w:r>
          </w:p>
        </w:tc>
      </w:tr>
      <w:tr>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sz w:val="20"/>
                <w:szCs w:val="20"/>
              </w:rPr>
              <w:t xml:space="preserve">Trading days</w:t>
            </w:r>
          </w:p>
        </w:tc>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right"/>
            </w:pPr>
            <w:r>
              <w:rPr>
                <w:rFonts w:ascii="Arial" w:cs="Arial" w:eastAsia="Arial" w:hAnsi="Arial"/>
                <w:sz w:val="20"/>
                <w:szCs w:val="20"/>
              </w:rPr>
              <w:t xml:space="preserve">1,258 days</w:t>
            </w:r>
          </w:p>
        </w:tc>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sz w:val="20"/>
                <w:szCs w:val="20"/>
              </w:rPr>
              <w:t xml:space="preserve">Per company</w:t>
            </w:r>
          </w:p>
        </w:tc>
      </w:tr>
      <w:tr>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sz w:val="20"/>
                <w:szCs w:val="20"/>
              </w:rPr>
              <w:t xml:space="preserve">Overall avg close price</w:t>
            </w:r>
          </w:p>
        </w:tc>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right"/>
            </w:pPr>
            <w:r>
              <w:rPr>
                <w:rFonts w:ascii="Arial" w:cs="Arial" w:eastAsia="Arial" w:hAnsi="Arial"/>
                <w:sz w:val="20"/>
                <w:szCs w:val="20"/>
              </w:rPr>
              <w:t xml:space="preserve">$140.10</w:t>
            </w:r>
          </w:p>
        </w:tc>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sz w:val="20"/>
                <w:szCs w:val="20"/>
              </w:rPr>
              <w:t xml:space="preserve">Across all stocks</w:t>
            </w:r>
          </w:p>
        </w:tc>
      </w:tr>
      <w:tr>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sz w:val="20"/>
                <w:szCs w:val="20"/>
              </w:rPr>
              <w:t xml:space="preserve">Total volume traded</w:t>
            </w:r>
          </w:p>
        </w:tc>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right"/>
            </w:pPr>
            <w:r>
              <w:rPr>
                <w:rFonts w:ascii="Arial" w:cs="Arial" w:eastAsia="Arial" w:hAnsi="Arial"/>
                <w:sz w:val="20"/>
                <w:szCs w:val="20"/>
              </w:rPr>
              <w:t xml:space="preserve">3.55 trillion shares</w:t>
            </w:r>
          </w:p>
        </w:tc>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sz w:val="20"/>
                <w:szCs w:val="20"/>
              </w:rPr>
              <w:t xml:space="preserve">All companies combined</w:t>
            </w:r>
          </w:p>
        </w:tc>
      </w:tr>
      <w:tr>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sz w:val="20"/>
                <w:szCs w:val="20"/>
              </w:rPr>
              <w:t xml:space="preserve">Total dividends paid</w:t>
            </w:r>
          </w:p>
        </w:tc>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right"/>
            </w:pPr>
            <w:r>
              <w:rPr>
                <w:rFonts w:ascii="Arial" w:cs="Arial" w:eastAsia="Arial" w:hAnsi="Arial"/>
                <w:sz w:val="20"/>
                <w:szCs w:val="20"/>
              </w:rPr>
              <w:t xml:space="preserve">$4,407.47</w:t>
            </w:r>
          </w:p>
        </w:tc>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sz w:val="20"/>
                <w:szCs w:val="20"/>
              </w:rPr>
              <w:t xml:space="preserve">Cumulative per share</w:t>
            </w:r>
          </w:p>
        </w:tc>
      </w:tr>
    </w:tbl>
    <w:p>
      <w:r>
        <w:t xml:space="preserve"/>
      </w:r>
    </w:p>
    <w:p>
      <w:pPr>
        <w:pStyle w:val="Heading1"/>
        <w:spacing w:after="160" w:before="320"/>
      </w:pPr>
      <w:r>
        <w:rPr>
          <w:rFonts w:ascii="Arial" w:cs="Arial" w:eastAsia="Arial" w:hAnsi="Arial"/>
          <w:b/>
          <w:bCs/>
          <w:color w:val="1F4E79"/>
          <w:sz w:val="32"/>
          <w:szCs w:val="32"/>
        </w:rPr>
        <w:t xml:space="preserve">2. Key Findings</w:t>
      </w:r>
    </w:p>
    <w:p>
      <w:pPr>
        <w:pStyle w:val="Heading2"/>
        <w:spacing w:after="120" w:before="240"/>
      </w:pPr>
      <w:r>
        <w:rPr>
          <w:rFonts w:ascii="Arial" w:cs="Arial" w:eastAsia="Arial" w:hAnsi="Arial"/>
          <w:b/>
          <w:bCs/>
          <w:color w:val="2E75B6"/>
          <w:sz w:val="26"/>
          <w:szCs w:val="26"/>
        </w:rPr>
        <w:t xml:space="preserve">2.1 Top performing stocks</w:t>
      </w:r>
    </w:p>
    <w:p>
      <w:pPr>
        <w:spacing w:after="80" w:before="80"/>
      </w:pPr>
      <w:r>
        <w:rPr>
          <w:rFonts w:ascii="Arial" w:cs="Arial" w:eastAsia="Arial" w:hAnsi="Arial"/>
          <w:sz w:val="22"/>
          <w:szCs w:val="22"/>
        </w:rPr>
        <w:t xml:space="preserve">The top five performing stocks by overall price change percentage over the five-year period were dominated by high-growth sectors including biotechnology, electric vehicles, and technology: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340"/>
        <w:gridCol w:w="2340"/>
        <w:gridCol w:w="1560"/>
        <w:gridCol w:w="1560"/>
      </w:tblGrid>
      <w:tr>
        <w:tc>
          <w:tcPr>
            <w:tcW w:type="dxa" w:w="156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Ticker</w:t>
            </w:r>
          </w:p>
        </w:tc>
        <w:tc>
          <w:tcPr>
            <w:tcW w:type="dxa" w:w="234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Price Change %</w:t>
            </w:r>
          </w:p>
        </w:tc>
        <w:tc>
          <w:tcPr>
            <w:tcW w:type="dxa" w:w="234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Avg Close Price</w:t>
            </w:r>
          </w:p>
        </w:tc>
        <w:tc>
          <w:tcPr>
            <w:tcW w:type="dxa" w:w="156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Total Volume</w:t>
            </w:r>
          </w:p>
        </w:tc>
        <w:tc>
          <w:tcPr>
            <w:tcW w:type="dxa" w:w="156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Volatility</w:t>
            </w:r>
          </w:p>
        </w:tc>
      </w:tr>
      <w:tr>
        <w:tc>
          <w:tcPr>
            <w:tcW w:type="dxa" w:w="15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sz w:val="20"/>
                <w:szCs w:val="20"/>
              </w:rPr>
              <w:t xml:space="preserve">MRNA</w:t>
            </w:r>
          </w:p>
        </w:tc>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right"/>
            </w:pPr>
            <w:r>
              <w:rPr>
                <w:rFonts w:ascii="Arial" w:cs="Arial" w:eastAsia="Arial" w:hAnsi="Arial"/>
                <w:sz w:val="20"/>
                <w:szCs w:val="20"/>
              </w:rPr>
              <w:t xml:space="preserve">3,751.63%</w:t>
            </w:r>
          </w:p>
        </w:tc>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right"/>
            </w:pPr>
            <w:r>
              <w:rPr>
                <w:rFonts w:ascii="Arial" w:cs="Arial" w:eastAsia="Arial" w:hAnsi="Arial"/>
                <w:sz w:val="20"/>
                <w:szCs w:val="20"/>
              </w:rPr>
              <w:t xml:space="preserve">$120.82</w:t>
            </w:r>
          </w:p>
        </w:tc>
        <w:tc>
          <w:tcPr>
            <w:tcW w:type="dxa" w:w="15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right"/>
            </w:pPr>
            <w:r>
              <w:rPr>
                <w:rFonts w:ascii="Arial" w:cs="Arial" w:eastAsia="Arial" w:hAnsi="Arial"/>
                <w:sz w:val="20"/>
                <w:szCs w:val="20"/>
              </w:rPr>
              <w:t xml:space="preserve">10.8B</w:t>
            </w:r>
          </w:p>
        </w:tc>
        <w:tc>
          <w:tcPr>
            <w:tcW w:type="dxa" w:w="15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right"/>
            </w:pPr>
            <w:r>
              <w:rPr>
                <w:rFonts w:ascii="Arial" w:cs="Arial" w:eastAsia="Arial" w:hAnsi="Arial"/>
                <w:sz w:val="20"/>
                <w:szCs w:val="20"/>
              </w:rPr>
              <w:t xml:space="preserve">$94.68</w:t>
            </w:r>
          </w:p>
        </w:tc>
      </w:tr>
      <w:tr>
        <w:tc>
          <w:tcPr>
            <w:tcW w:type="dxa" w:w="15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sz w:val="20"/>
                <w:szCs w:val="20"/>
              </w:rPr>
              <w:t xml:space="preserve">BNTX</w:t>
            </w:r>
          </w:p>
        </w:tc>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right"/>
            </w:pPr>
            <w:r>
              <w:rPr>
                <w:rFonts w:ascii="Arial" w:cs="Arial" w:eastAsia="Arial" w:hAnsi="Arial"/>
                <w:sz w:val="20"/>
                <w:szCs w:val="20"/>
              </w:rPr>
              <w:t xml:space="preserve">3,307.69%</w:t>
            </w:r>
          </w:p>
        </w:tc>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right"/>
            </w:pPr>
            <w:r>
              <w:rPr>
                <w:rFonts w:ascii="Arial" w:cs="Arial" w:eastAsia="Arial" w:hAnsi="Arial"/>
                <w:sz w:val="20"/>
                <w:szCs w:val="20"/>
              </w:rPr>
              <w:t xml:space="preserve">$133.18</w:t>
            </w:r>
          </w:p>
        </w:tc>
        <w:tc>
          <w:tcPr>
            <w:tcW w:type="dxa" w:w="15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right"/>
            </w:pPr>
            <w:r>
              <w:rPr>
                <w:rFonts w:ascii="Arial" w:cs="Arial" w:eastAsia="Arial" w:hAnsi="Arial"/>
                <w:sz w:val="20"/>
                <w:szCs w:val="20"/>
              </w:rPr>
              <w:t xml:space="preserve">1.9B</w:t>
            </w:r>
          </w:p>
        </w:tc>
        <w:tc>
          <w:tcPr>
            <w:tcW w:type="dxa" w:w="15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right"/>
            </w:pPr>
            <w:r>
              <w:rPr>
                <w:rFonts w:ascii="Arial" w:cs="Arial" w:eastAsia="Arial" w:hAnsi="Arial"/>
                <w:sz w:val="20"/>
                <w:szCs w:val="20"/>
              </w:rPr>
              <w:t xml:space="preserve">$77.70</w:t>
            </w:r>
          </w:p>
        </w:tc>
      </w:tr>
      <w:tr>
        <w:tc>
          <w:tcPr>
            <w:tcW w:type="dxa" w:w="15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sz w:val="20"/>
                <w:szCs w:val="20"/>
              </w:rPr>
              <w:t xml:space="preserve">TSLA</w:t>
            </w:r>
          </w:p>
        </w:tc>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right"/>
            </w:pPr>
            <w:r>
              <w:rPr>
                <w:rFonts w:ascii="Arial" w:cs="Arial" w:eastAsia="Arial" w:hAnsi="Arial"/>
                <w:sz w:val="20"/>
                <w:szCs w:val="20"/>
              </w:rPr>
              <w:t xml:space="preserve">3,236.08%</w:t>
            </w:r>
          </w:p>
        </w:tc>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right"/>
            </w:pPr>
            <w:r>
              <w:rPr>
                <w:rFonts w:ascii="Arial" w:cs="Arial" w:eastAsia="Arial" w:hAnsi="Arial"/>
                <w:sz w:val="20"/>
                <w:szCs w:val="20"/>
              </w:rPr>
              <w:t xml:space="preserve">$167.15</w:t>
            </w:r>
          </w:p>
        </w:tc>
        <w:tc>
          <w:tcPr>
            <w:tcW w:type="dxa" w:w="15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right"/>
            </w:pPr>
            <w:r>
              <w:rPr>
                <w:rFonts w:ascii="Arial" w:cs="Arial" w:eastAsia="Arial" w:hAnsi="Arial"/>
                <w:sz w:val="20"/>
                <w:szCs w:val="20"/>
              </w:rPr>
              <w:t xml:space="preserve">168.5B</w:t>
            </w:r>
          </w:p>
        </w:tc>
        <w:tc>
          <w:tcPr>
            <w:tcW w:type="dxa" w:w="15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right"/>
            </w:pPr>
            <w:r>
              <w:rPr>
                <w:rFonts w:ascii="Arial" w:cs="Arial" w:eastAsia="Arial" w:hAnsi="Arial"/>
                <w:sz w:val="20"/>
                <w:szCs w:val="20"/>
              </w:rPr>
              <w:t xml:space="preserve">$109.43</w:t>
            </w:r>
          </w:p>
        </w:tc>
      </w:tr>
      <w:tr>
        <w:tc>
          <w:tcPr>
            <w:tcW w:type="dxa" w:w="15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sz w:val="20"/>
                <w:szCs w:val="20"/>
              </w:rPr>
              <w:t xml:space="preserve">SE</w:t>
            </w:r>
          </w:p>
        </w:tc>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right"/>
            </w:pPr>
            <w:r>
              <w:rPr>
                <w:rFonts w:ascii="Arial" w:cs="Arial" w:eastAsia="Arial" w:hAnsi="Arial"/>
                <w:sz w:val="20"/>
                <w:szCs w:val="20"/>
              </w:rPr>
              <w:t xml:space="preserve">3,223.41%</w:t>
            </w:r>
          </w:p>
        </w:tc>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right"/>
            </w:pPr>
            <w:r>
              <w:rPr>
                <w:rFonts w:ascii="Arial" w:cs="Arial" w:eastAsia="Arial" w:hAnsi="Arial"/>
                <w:sz w:val="20"/>
                <w:szCs w:val="20"/>
              </w:rPr>
              <w:t xml:space="preserve">$110.48</w:t>
            </w:r>
          </w:p>
        </w:tc>
        <w:tc>
          <w:tcPr>
            <w:tcW w:type="dxa" w:w="15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right"/>
            </w:pPr>
            <w:r>
              <w:rPr>
                <w:rFonts w:ascii="Arial" w:cs="Arial" w:eastAsia="Arial" w:hAnsi="Arial"/>
                <w:sz w:val="20"/>
                <w:szCs w:val="20"/>
              </w:rPr>
              <w:t xml:space="preserve">6.5B</w:t>
            </w:r>
          </w:p>
        </w:tc>
        <w:tc>
          <w:tcPr>
            <w:tcW w:type="dxa" w:w="15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right"/>
            </w:pPr>
            <w:r>
              <w:rPr>
                <w:rFonts w:ascii="Arial" w:cs="Arial" w:eastAsia="Arial" w:hAnsi="Arial"/>
                <w:sz w:val="20"/>
                <w:szCs w:val="20"/>
              </w:rPr>
              <w:t xml:space="preserve">$93.65</w:t>
            </w:r>
          </w:p>
        </w:tc>
      </w:tr>
      <w:tr>
        <w:tc>
          <w:tcPr>
            <w:tcW w:type="dxa" w:w="15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sz w:val="20"/>
                <w:szCs w:val="20"/>
              </w:rPr>
              <w:t xml:space="preserve">TRGP</w:t>
            </w:r>
          </w:p>
        </w:tc>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right"/>
            </w:pPr>
            <w:r>
              <w:rPr>
                <w:rFonts w:ascii="Arial" w:cs="Arial" w:eastAsia="Arial" w:hAnsi="Arial"/>
                <w:sz w:val="20"/>
                <w:szCs w:val="20"/>
              </w:rPr>
              <w:t xml:space="preserve">1,957.07%</w:t>
            </w:r>
          </w:p>
        </w:tc>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right"/>
            </w:pPr>
            <w:r>
              <w:rPr>
                <w:rFonts w:ascii="Arial" w:cs="Arial" w:eastAsia="Arial" w:hAnsi="Arial"/>
                <w:sz w:val="20"/>
                <w:szCs w:val="20"/>
              </w:rPr>
              <w:t xml:space="preserve">$46.48</w:t>
            </w:r>
          </w:p>
        </w:tc>
        <w:tc>
          <w:tcPr>
            <w:tcW w:type="dxa" w:w="15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right"/>
            </w:pPr>
            <w:r>
              <w:rPr>
                <w:rFonts w:ascii="Arial" w:cs="Arial" w:eastAsia="Arial" w:hAnsi="Arial"/>
                <w:sz w:val="20"/>
                <w:szCs w:val="20"/>
              </w:rPr>
              <w:t xml:space="preserve">2.9B</w:t>
            </w:r>
          </w:p>
        </w:tc>
        <w:tc>
          <w:tcPr>
            <w:tcW w:type="dxa" w:w="15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right"/>
            </w:pPr>
            <w:r>
              <w:rPr>
                <w:rFonts w:ascii="Arial" w:cs="Arial" w:eastAsia="Arial" w:hAnsi="Arial"/>
                <w:sz w:val="20"/>
                <w:szCs w:val="20"/>
              </w:rPr>
              <w:t xml:space="preserve">$21.81</w:t>
            </w:r>
          </w:p>
        </w:tc>
      </w:tr>
    </w:tbl>
    <w:p>
      <w:r>
        <w:t xml:space="preserve"/>
      </w:r>
    </w:p>
    <w:p>
      <w:pPr>
        <w:spacing w:after="80" w:before="80"/>
      </w:pPr>
      <w:r>
        <w:rPr>
          <w:rFonts w:ascii="Arial" w:cs="Arial" w:eastAsia="Arial" w:hAnsi="Arial"/>
          <w:sz w:val="22"/>
          <w:szCs w:val="22"/>
        </w:rPr>
        <w:t xml:space="preserve">Moderna (MRNA) and BioNTech (BNTX) led the dataset largely due to their COVID-19 vaccine revenues materialising from 2020 onward. Tesla (TSLA) sustained extraordinary growth driven by EV adoption and index inclusion. Both high performers also exhibited significantly above-average volatility, reflecting the risk-return trade-off inherent in high-growth equities.</w:t>
      </w:r>
    </w:p>
    <w:p>
      <w:r>
        <w:t xml:space="preserve"/>
      </w:r>
    </w:p>
    <w:p>
      <w:pPr>
        <w:pStyle w:val="Heading2"/>
        <w:spacing w:after="120" w:before="240"/>
      </w:pPr>
      <w:r>
        <w:rPr>
          <w:rFonts w:ascii="Arial" w:cs="Arial" w:eastAsia="Arial" w:hAnsi="Arial"/>
          <w:b/>
          <w:bCs/>
          <w:color w:val="2E75B6"/>
          <w:sz w:val="26"/>
          <w:szCs w:val="26"/>
        </w:rPr>
        <w:t xml:space="preserve">2.2 Lowest performing stocks</w:t>
      </w:r>
    </w:p>
    <w:p>
      <w:pPr>
        <w:spacing w:after="80" w:before="80"/>
      </w:pPr>
      <w:r>
        <w:rPr>
          <w:rFonts w:ascii="Arial" w:cs="Arial" w:eastAsia="Arial" w:hAnsi="Arial"/>
          <w:sz w:val="22"/>
          <w:szCs w:val="22"/>
        </w:rPr>
        <w:t xml:space="preserve">Several stocks showed relatively flat performance over the period, suggesting either defensive characteristics or sector headwinds: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808"/>
        <w:gridCol w:w="2340"/>
        <w:gridCol w:w="2340"/>
      </w:tblGrid>
      <w:tr>
        <w:tc>
          <w:tcPr>
            <w:tcW w:type="dxa" w:w="1872"/>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Ticker</w:t>
            </w:r>
          </w:p>
        </w:tc>
        <w:tc>
          <w:tcPr>
            <w:tcW w:type="dxa" w:w="2808"/>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Price Change %</w:t>
            </w:r>
          </w:p>
        </w:tc>
        <w:tc>
          <w:tcPr>
            <w:tcW w:type="dxa" w:w="234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Avg Close Price</w:t>
            </w:r>
          </w:p>
        </w:tc>
        <w:tc>
          <w:tcPr>
            <w:tcW w:type="dxa" w:w="234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Notes</w:t>
            </w:r>
          </w:p>
        </w:tc>
      </w:tr>
      <w:tr>
        <w:tc>
          <w:tcPr>
            <w:tcW w:type="dxa" w:w="1872"/>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sz w:val="20"/>
                <w:szCs w:val="20"/>
              </w:rPr>
              <w:t xml:space="preserve">ARM</w:t>
            </w:r>
          </w:p>
        </w:tc>
        <w:tc>
          <w:tcPr>
            <w:tcW w:type="dxa" w:w="2808"/>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right"/>
            </w:pPr>
            <w:r>
              <w:rPr>
                <w:rFonts w:ascii="Arial" w:cs="Arial" w:eastAsia="Arial" w:hAnsi="Arial"/>
                <w:sz w:val="20"/>
                <w:szCs w:val="20"/>
              </w:rPr>
              <w:t xml:space="preserve">33.44%</w:t>
            </w:r>
          </w:p>
        </w:tc>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right"/>
            </w:pPr>
            <w:r>
              <w:rPr>
                <w:rFonts w:ascii="Arial" w:cs="Arial" w:eastAsia="Arial" w:hAnsi="Arial"/>
                <w:sz w:val="20"/>
                <w:szCs w:val="20"/>
              </w:rPr>
              <w:t xml:space="preserve">$54.05</w:t>
            </w:r>
          </w:p>
        </w:tc>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sz w:val="20"/>
                <w:szCs w:val="20"/>
              </w:rPr>
              <w:t xml:space="preserve">Short listing history</w:t>
            </w:r>
          </w:p>
        </w:tc>
      </w:tr>
      <w:tr>
        <w:tc>
          <w:tcPr>
            <w:tcW w:type="dxa" w:w="1872"/>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sz w:val="20"/>
                <w:szCs w:val="20"/>
              </w:rPr>
              <w:t xml:space="preserve">KVUE</w:t>
            </w:r>
          </w:p>
        </w:tc>
        <w:tc>
          <w:tcPr>
            <w:tcW w:type="dxa" w:w="2808"/>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right"/>
            </w:pPr>
            <w:r>
              <w:rPr>
                <w:rFonts w:ascii="Arial" w:cs="Arial" w:eastAsia="Arial" w:hAnsi="Arial"/>
                <w:sz w:val="20"/>
                <w:szCs w:val="20"/>
              </w:rPr>
              <w:t xml:space="preserve">49.74%</w:t>
            </w:r>
          </w:p>
        </w:tc>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right"/>
            </w:pPr>
            <w:r>
              <w:rPr>
                <w:rFonts w:ascii="Arial" w:cs="Arial" w:eastAsia="Arial" w:hAnsi="Arial"/>
                <w:sz w:val="20"/>
                <w:szCs w:val="20"/>
              </w:rPr>
              <w:t xml:space="preserve">$22.59</w:t>
            </w:r>
          </w:p>
        </w:tc>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sz w:val="20"/>
                <w:szCs w:val="20"/>
              </w:rPr>
              <w:t xml:space="preserve">Spin-off, limited data</w:t>
            </w:r>
          </w:p>
        </w:tc>
      </w:tr>
      <w:tr>
        <w:tc>
          <w:tcPr>
            <w:tcW w:type="dxa" w:w="1872"/>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sz w:val="20"/>
                <w:szCs w:val="20"/>
              </w:rPr>
              <w:t xml:space="preserve">UL</w:t>
            </w:r>
          </w:p>
        </w:tc>
        <w:tc>
          <w:tcPr>
            <w:tcW w:type="dxa" w:w="2808"/>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right"/>
            </w:pPr>
            <w:r>
              <w:rPr>
                <w:rFonts w:ascii="Arial" w:cs="Arial" w:eastAsia="Arial" w:hAnsi="Arial"/>
                <w:sz w:val="20"/>
                <w:szCs w:val="20"/>
              </w:rPr>
              <w:t xml:space="preserve">44.60%</w:t>
            </w:r>
          </w:p>
        </w:tc>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right"/>
            </w:pPr>
            <w:r>
              <w:rPr>
                <w:rFonts w:ascii="Arial" w:cs="Arial" w:eastAsia="Arial" w:hAnsi="Arial"/>
                <w:sz w:val="20"/>
                <w:szCs w:val="20"/>
              </w:rPr>
              <w:t xml:space="preserve">$49.26</w:t>
            </w:r>
          </w:p>
        </w:tc>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sz w:val="20"/>
                <w:szCs w:val="20"/>
              </w:rPr>
              <w:t xml:space="preserve">Defensive consumer goods</w:t>
            </w:r>
          </w:p>
        </w:tc>
      </w:tr>
      <w:tr>
        <w:tc>
          <w:tcPr>
            <w:tcW w:type="dxa" w:w="1872"/>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sz w:val="20"/>
                <w:szCs w:val="20"/>
              </w:rPr>
              <w:t xml:space="preserve">CHT</w:t>
            </w:r>
          </w:p>
        </w:tc>
        <w:tc>
          <w:tcPr>
            <w:tcW w:type="dxa" w:w="2808"/>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right"/>
            </w:pPr>
            <w:r>
              <w:rPr>
                <w:rFonts w:ascii="Arial" w:cs="Arial" w:eastAsia="Arial" w:hAnsi="Arial"/>
                <w:sz w:val="20"/>
                <w:szCs w:val="20"/>
              </w:rPr>
              <w:t xml:space="preserve">47.47%</w:t>
            </w:r>
          </w:p>
        </w:tc>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right"/>
            </w:pPr>
            <w:r>
              <w:rPr>
                <w:rFonts w:ascii="Arial" w:cs="Arial" w:eastAsia="Arial" w:hAnsi="Arial"/>
                <w:sz w:val="20"/>
                <w:szCs w:val="20"/>
              </w:rPr>
              <w:t xml:space="preserve">$34.67</w:t>
            </w:r>
          </w:p>
        </w:tc>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sz w:val="20"/>
                <w:szCs w:val="20"/>
              </w:rPr>
              <w:t xml:space="preserve">Telecom, stable sector</w:t>
            </w:r>
          </w:p>
        </w:tc>
      </w:tr>
    </w:tbl>
    <w:p>
      <w:r>
        <w:t xml:space="preserve"/>
      </w:r>
    </w:p>
    <w:p>
      <w:pPr>
        <w:spacing w:after="80" w:before="80"/>
      </w:pPr>
      <w:r>
        <w:rPr>
          <w:rFonts w:ascii="Arial" w:cs="Arial" w:eastAsia="Arial" w:hAnsi="Arial"/>
          <w:sz w:val="22"/>
          <w:szCs w:val="22"/>
        </w:rPr>
        <w:t xml:space="preserve">Note: ARM and KVUE have significantly shorter listing histories than the other companies in the dataset, which limits direct comparison on a like-for-like basis.</w:t>
      </w:r>
    </w:p>
    <w:p>
      <w:r>
        <w:t xml:space="preserve"/>
      </w:r>
    </w:p>
    <w:p>
      <w:pPr>
        <w:pStyle w:val="Heading2"/>
        <w:spacing w:after="120" w:before="240"/>
      </w:pPr>
      <w:r>
        <w:rPr>
          <w:rFonts w:ascii="Arial" w:cs="Arial" w:eastAsia="Arial" w:hAnsi="Arial"/>
          <w:b/>
          <w:bCs/>
          <w:color w:val="2E75B6"/>
          <w:sz w:val="26"/>
          <w:szCs w:val="26"/>
        </w:rPr>
        <w:t xml:space="preserve">2.3 Most actively traded stocks</w:t>
      </w:r>
    </w:p>
    <w:p>
      <w:pPr>
        <w:spacing w:after="80" w:before="80"/>
      </w:pPr>
      <w:r>
        <w:rPr>
          <w:rFonts w:ascii="Arial" w:cs="Arial" w:eastAsia="Arial" w:hAnsi="Arial"/>
          <w:sz w:val="22"/>
          <w:szCs w:val="22"/>
        </w:rPr>
        <w:t xml:space="preserve">Trading volume reflects investor interest and liquidity. The five most actively traded stocks over the period were: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808"/>
        <w:gridCol w:w="2340"/>
        <w:gridCol w:w="2340"/>
      </w:tblGrid>
      <w:tr>
        <w:tc>
          <w:tcPr>
            <w:tcW w:type="dxa" w:w="1872"/>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Ticker</w:t>
            </w:r>
          </w:p>
        </w:tc>
        <w:tc>
          <w:tcPr>
            <w:tcW w:type="dxa" w:w="2808"/>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Total Volume</w:t>
            </w:r>
          </w:p>
        </w:tc>
        <w:tc>
          <w:tcPr>
            <w:tcW w:type="dxa" w:w="234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Avg Close Price</w:t>
            </w:r>
          </w:p>
        </w:tc>
        <w:tc>
          <w:tcPr>
            <w:tcW w:type="dxa" w:w="234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Price Change %</w:t>
            </w:r>
          </w:p>
        </w:tc>
      </w:tr>
      <w:tr>
        <w:tc>
          <w:tcPr>
            <w:tcW w:type="dxa" w:w="1872"/>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sz w:val="20"/>
                <w:szCs w:val="20"/>
              </w:rPr>
              <w:t xml:space="preserve">TSLA</w:t>
            </w:r>
          </w:p>
        </w:tc>
        <w:tc>
          <w:tcPr>
            <w:tcW w:type="dxa" w:w="2808"/>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right"/>
            </w:pPr>
            <w:r>
              <w:rPr>
                <w:rFonts w:ascii="Arial" w:cs="Arial" w:eastAsia="Arial" w:hAnsi="Arial"/>
                <w:sz w:val="20"/>
                <w:szCs w:val="20"/>
              </w:rPr>
              <w:t xml:space="preserve">168.5 billion</w:t>
            </w:r>
          </w:p>
        </w:tc>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right"/>
            </w:pPr>
            <w:r>
              <w:rPr>
                <w:rFonts w:ascii="Arial" w:cs="Arial" w:eastAsia="Arial" w:hAnsi="Arial"/>
                <w:sz w:val="20"/>
                <w:szCs w:val="20"/>
              </w:rPr>
              <w:t xml:space="preserve">$167.15</w:t>
            </w:r>
          </w:p>
        </w:tc>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right"/>
            </w:pPr>
            <w:r>
              <w:rPr>
                <w:rFonts w:ascii="Arial" w:cs="Arial" w:eastAsia="Arial" w:hAnsi="Arial"/>
                <w:sz w:val="20"/>
                <w:szCs w:val="20"/>
              </w:rPr>
              <w:t xml:space="preserve">3,236.08%</w:t>
            </w:r>
          </w:p>
        </w:tc>
      </w:tr>
      <w:tr>
        <w:tc>
          <w:tcPr>
            <w:tcW w:type="dxa" w:w="1872"/>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sz w:val="20"/>
                <w:szCs w:val="20"/>
              </w:rPr>
              <w:t xml:space="preserve">AAPL</w:t>
            </w:r>
          </w:p>
        </w:tc>
        <w:tc>
          <w:tcPr>
            <w:tcW w:type="dxa" w:w="2808"/>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right"/>
            </w:pPr>
            <w:r>
              <w:rPr>
                <w:rFonts w:ascii="Arial" w:cs="Arial" w:eastAsia="Arial" w:hAnsi="Arial"/>
                <w:sz w:val="20"/>
                <w:szCs w:val="20"/>
              </w:rPr>
              <w:t xml:space="preserve">130.6 billion</w:t>
            </w:r>
          </w:p>
        </w:tc>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right"/>
            </w:pPr>
            <w:r>
              <w:rPr>
                <w:rFonts w:ascii="Arial" w:cs="Arial" w:eastAsia="Arial" w:hAnsi="Arial"/>
                <w:sz w:val="20"/>
                <w:szCs w:val="20"/>
              </w:rPr>
              <w:t xml:space="preserve">$119.00</w:t>
            </w:r>
          </w:p>
        </w:tc>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right"/>
            </w:pPr>
            <w:r>
              <w:rPr>
                <w:rFonts w:ascii="Arial" w:cs="Arial" w:eastAsia="Arial" w:hAnsi="Arial"/>
                <w:sz w:val="20"/>
                <w:szCs w:val="20"/>
              </w:rPr>
              <w:t xml:space="preserve">374.25%</w:t>
            </w:r>
          </w:p>
        </w:tc>
      </w:tr>
      <w:tr>
        <w:tc>
          <w:tcPr>
            <w:tcW w:type="dxa" w:w="1872"/>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sz w:val="20"/>
                <w:szCs w:val="20"/>
              </w:rPr>
              <w:t xml:space="preserve">AMZN</w:t>
            </w:r>
          </w:p>
        </w:tc>
        <w:tc>
          <w:tcPr>
            <w:tcW w:type="dxa" w:w="2808"/>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right"/>
            </w:pPr>
            <w:r>
              <w:rPr>
                <w:rFonts w:ascii="Arial" w:cs="Arial" w:eastAsia="Arial" w:hAnsi="Arial"/>
                <w:sz w:val="20"/>
                <w:szCs w:val="20"/>
              </w:rPr>
              <w:t xml:space="preserve">97.7 billion</w:t>
            </w:r>
          </w:p>
        </w:tc>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right"/>
            </w:pPr>
            <w:r>
              <w:rPr>
                <w:rFonts w:ascii="Arial" w:cs="Arial" w:eastAsia="Arial" w:hAnsi="Arial"/>
                <w:sz w:val="20"/>
                <w:szCs w:val="20"/>
              </w:rPr>
              <w:t xml:space="preserve">$126.46</w:t>
            </w:r>
          </w:p>
        </w:tc>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right"/>
            </w:pPr>
            <w:r>
              <w:rPr>
                <w:rFonts w:ascii="Arial" w:cs="Arial" w:eastAsia="Arial" w:hAnsi="Arial"/>
                <w:sz w:val="20"/>
                <w:szCs w:val="20"/>
              </w:rPr>
              <w:t xml:space="preserve">177.64%</w:t>
            </w:r>
          </w:p>
        </w:tc>
      </w:tr>
      <w:tr>
        <w:tc>
          <w:tcPr>
            <w:tcW w:type="dxa" w:w="1872"/>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sz w:val="20"/>
                <w:szCs w:val="20"/>
              </w:rPr>
              <w:t xml:space="preserve">AMD</w:t>
            </w:r>
          </w:p>
        </w:tc>
        <w:tc>
          <w:tcPr>
            <w:tcW w:type="dxa" w:w="2808"/>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right"/>
            </w:pPr>
            <w:r>
              <w:rPr>
                <w:rFonts w:ascii="Arial" w:cs="Arial" w:eastAsia="Arial" w:hAnsi="Arial"/>
                <w:sz w:val="20"/>
                <w:szCs w:val="20"/>
              </w:rPr>
              <w:t xml:space="preserve">84.4 billion</w:t>
            </w:r>
          </w:p>
        </w:tc>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right"/>
            </w:pPr>
            <w:r>
              <w:rPr>
                <w:rFonts w:ascii="Arial" w:cs="Arial" w:eastAsia="Arial" w:hAnsi="Arial"/>
                <w:sz w:val="20"/>
                <w:szCs w:val="20"/>
              </w:rPr>
              <w:t xml:space="preserve">$76.15</w:t>
            </w:r>
          </w:p>
        </w:tc>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right"/>
            </w:pPr>
            <w:r>
              <w:rPr>
                <w:rFonts w:ascii="Arial" w:cs="Arial" w:eastAsia="Arial" w:hAnsi="Arial"/>
                <w:sz w:val="20"/>
                <w:szCs w:val="20"/>
              </w:rPr>
              <w:t xml:space="preserve">872.43%</w:t>
            </w:r>
          </w:p>
        </w:tc>
      </w:tr>
      <w:tr>
        <w:tc>
          <w:tcPr>
            <w:tcW w:type="dxa" w:w="1872"/>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sz w:val="20"/>
                <w:szCs w:val="20"/>
              </w:rPr>
              <w:t xml:space="preserve">F</w:t>
            </w:r>
          </w:p>
        </w:tc>
        <w:tc>
          <w:tcPr>
            <w:tcW w:type="dxa" w:w="2808"/>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right"/>
            </w:pPr>
            <w:r>
              <w:rPr>
                <w:rFonts w:ascii="Arial" w:cs="Arial" w:eastAsia="Arial" w:hAnsi="Arial"/>
                <w:sz w:val="20"/>
                <w:szCs w:val="20"/>
              </w:rPr>
              <w:t xml:space="preserve">81.6 billion</w:t>
            </w:r>
          </w:p>
        </w:tc>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right"/>
            </w:pPr>
            <w:r>
              <w:rPr>
                <w:rFonts w:ascii="Arial" w:cs="Arial" w:eastAsia="Arial" w:hAnsi="Arial"/>
                <w:sz w:val="20"/>
                <w:szCs w:val="20"/>
              </w:rPr>
              <w:t xml:space="preserve">$10.20</w:t>
            </w:r>
          </w:p>
        </w:tc>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right"/>
            </w:pPr>
            <w:r>
              <w:rPr>
                <w:rFonts w:ascii="Arial" w:cs="Arial" w:eastAsia="Arial" w:hAnsi="Arial"/>
                <w:sz w:val="20"/>
                <w:szCs w:val="20"/>
              </w:rPr>
              <w:t xml:space="preserve">531.34%</w:t>
            </w:r>
          </w:p>
        </w:tc>
      </w:tr>
    </w:tbl>
    <w:p>
      <w:r>
        <w:t xml:space="preserve"/>
      </w:r>
    </w:p>
    <w:p>
      <w:pPr>
        <w:spacing w:after="80" w:before="80"/>
      </w:pPr>
      <w:r>
        <w:rPr>
          <w:rFonts w:ascii="Arial" w:cs="Arial" w:eastAsia="Arial" w:hAnsi="Arial"/>
          <w:sz w:val="22"/>
          <w:szCs w:val="22"/>
        </w:rPr>
        <w:t xml:space="preserve">Tesla (TSLA) recorded the highest cumulative trading volume by a substantial margin at 168.5 billion shares, more than 28% higher than second-placed Apple (AAPL). The high volume aligns with TSLA's extreme price volatility and retail investor interest throughout the period.</w:t>
      </w:r>
    </w:p>
    <w:p>
      <w:r>
        <w:t xml:space="preserve"/>
      </w:r>
    </w:p>
    <w:p>
      <w:pPr>
        <w:pStyle w:val="Heading2"/>
        <w:spacing w:after="120" w:before="240"/>
      </w:pPr>
      <w:r>
        <w:rPr>
          <w:rFonts w:ascii="Arial" w:cs="Arial" w:eastAsia="Arial" w:hAnsi="Arial"/>
          <w:b/>
          <w:bCs/>
          <w:color w:val="2E75B6"/>
          <w:sz w:val="26"/>
          <w:szCs w:val="26"/>
        </w:rPr>
        <w:t xml:space="preserve">2.4 Volatility and risk</w:t>
      </w:r>
    </w:p>
    <w:p>
      <w:pPr>
        <w:spacing w:after="80" w:before="80"/>
      </w:pPr>
      <w:r>
        <w:rPr>
          <w:rFonts w:ascii="Arial" w:cs="Arial" w:eastAsia="Arial" w:hAnsi="Arial"/>
          <w:sz w:val="22"/>
          <w:szCs w:val="22"/>
        </w:rPr>
        <w:t xml:space="preserve">Volatility was measured using the standard deviation of closing prices across the full period. Key observations:</w:t>
      </w:r>
    </w:p>
    <w:p>
      <w:pPr>
        <w:pStyle w:val="ListParagraph"/>
        <w:numPr>
          <w:ilvl w:val="0"/>
          <w:numId w:val="2"/>
        </w:numPr>
        <w:spacing w:after="60" w:before="60"/>
      </w:pPr>
      <w:r>
        <w:rPr>
          <w:rFonts w:ascii="Arial" w:cs="Arial" w:eastAsia="Arial" w:hAnsi="Arial"/>
          <w:sz w:val="22"/>
          <w:szCs w:val="22"/>
        </w:rPr>
        <w:t xml:space="preserve">High-growth stocks (TSLA, MRNA, BNTX) showed the highest absolute price volatility, reflecting speculative premium and event-driven price swings.</w:t>
      </w:r>
    </w:p>
    <w:p>
      <w:pPr>
        <w:pStyle w:val="ListParagraph"/>
        <w:numPr>
          <w:ilvl w:val="0"/>
          <w:numId w:val="2"/>
        </w:numPr>
        <w:spacing w:after="60" w:before="60"/>
      </w:pPr>
      <w:r>
        <w:rPr>
          <w:rFonts w:ascii="Arial" w:cs="Arial" w:eastAsia="Arial" w:hAnsi="Arial"/>
          <w:sz w:val="22"/>
          <w:szCs w:val="22"/>
        </w:rPr>
        <w:t xml:space="preserve">Defensive and dividend-paying stocks (UL, CHT, KO, PG) showed significantly lower volatility, consistent with their role as stable income assets.</w:t>
      </w:r>
    </w:p>
    <w:p>
      <w:pPr>
        <w:pStyle w:val="ListParagraph"/>
        <w:numPr>
          <w:ilvl w:val="0"/>
          <w:numId w:val="2"/>
        </w:numPr>
        <w:spacing w:after="60" w:before="60"/>
      </w:pPr>
      <w:r>
        <w:rPr>
          <w:rFonts w:ascii="Arial" w:cs="Arial" w:eastAsia="Arial" w:hAnsi="Arial"/>
          <w:sz w:val="22"/>
          <w:szCs w:val="22"/>
        </w:rPr>
        <w:t xml:space="preserve">The risk-return scatter (Volatility vs Price Change %) in the Power BI report illustrates the expected positive correlation — higher volatility was broadly associated with higher long-term returns across the dataset.</w:t>
      </w:r>
    </w:p>
    <w:p>
      <w:r>
        <w:t xml:space="preserve"/>
      </w:r>
    </w:p>
    <w:p>
      <w:pPr>
        <w:pStyle w:val="Heading2"/>
        <w:spacing w:after="120" w:before="240"/>
      </w:pPr>
      <w:r>
        <w:rPr>
          <w:rFonts w:ascii="Arial" w:cs="Arial" w:eastAsia="Arial" w:hAnsi="Arial"/>
          <w:b/>
          <w:bCs/>
          <w:color w:val="2E75B6"/>
          <w:sz w:val="26"/>
          <w:szCs w:val="26"/>
        </w:rPr>
        <w:t xml:space="preserve">2.5 Dividends</w:t>
      </w:r>
    </w:p>
    <w:p>
      <w:pPr>
        <w:spacing w:after="80" w:before="80"/>
      </w:pPr>
      <w:r>
        <w:rPr>
          <w:rFonts w:ascii="Arial" w:cs="Arial" w:eastAsia="Arial" w:hAnsi="Arial"/>
          <w:sz w:val="22"/>
          <w:szCs w:val="22"/>
        </w:rPr>
        <w:t xml:space="preserve">Of the 297 companies in the dataset, a subset paid regular dividends over the period. Total cumulative dividends per share amounted to $4,407.47 across all companies and dates. Dividend-paying stocks were concentrated in the consumer staples, utilities, financial services, and energy sectors. Growth-oriented technology and biotech stocks generally paid no dividends, preferring to retain capital for reinvestment.</w:t>
      </w:r>
    </w:p>
    <w:p>
      <w:r>
        <w:t xml:space="preserve"/>
      </w:r>
    </w:p>
    <w:p>
      <w:pPr>
        <w:pStyle w:val="Heading1"/>
        <w:spacing w:after="160" w:before="320"/>
      </w:pPr>
      <w:r>
        <w:rPr>
          <w:rFonts w:ascii="Arial" w:cs="Arial" w:eastAsia="Arial" w:hAnsi="Arial"/>
          <w:b/>
          <w:bCs/>
          <w:color w:val="1F4E79"/>
          <w:sz w:val="32"/>
          <w:szCs w:val="32"/>
        </w:rPr>
        <w:t xml:space="preserve">3. Methodology</w:t>
      </w:r>
    </w:p>
    <w:p>
      <w:pPr>
        <w:spacing w:after="80" w:before="80"/>
      </w:pPr>
      <w:r>
        <w:rPr>
          <w:rFonts w:ascii="Arial" w:cs="Arial" w:eastAsia="Arial" w:hAnsi="Arial"/>
          <w:sz w:val="22"/>
          <w:szCs w:val="22"/>
        </w:rPr>
        <w:t xml:space="preserve">The analysis was conducted using a Power BI Desktop semantic model connected to the stock_details_5_years dataset. The following DAX measures were developed and used throughout the report: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c>
          <w:tcPr>
            <w:tcW w:type="dxa" w:w="2808"/>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Measure</w:t>
            </w:r>
          </w:p>
        </w:tc>
        <w:tc>
          <w:tcPr>
            <w:tcW w:type="dxa" w:w="6552"/>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Description</w:t>
            </w:r>
          </w:p>
        </w:tc>
      </w:tr>
      <w:tr>
        <w:tc>
          <w:tcPr>
            <w:tcW w:type="dxa" w:w="2808"/>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sz w:val="20"/>
                <w:szCs w:val="20"/>
              </w:rPr>
              <w:t xml:space="preserve">Price Change %</w:t>
            </w:r>
          </w:p>
        </w:tc>
        <w:tc>
          <w:tcPr>
            <w:tcW w:type="dxa" w:w="6552"/>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sz w:val="20"/>
                <w:szCs w:val="20"/>
              </w:rPr>
              <w:t xml:space="preserve">Percentage change from first to last closing price in the selected period</w:t>
            </w:r>
          </w:p>
        </w:tc>
      </w:tr>
      <w:tr>
        <w:tc>
          <w:tcPr>
            <w:tcW w:type="dxa" w:w="2808"/>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sz w:val="20"/>
                <w:szCs w:val="20"/>
              </w:rPr>
              <w:t xml:space="preserve">YTD Price Change %</w:t>
            </w:r>
          </w:p>
        </w:tc>
        <w:tc>
          <w:tcPr>
            <w:tcW w:type="dxa" w:w="6552"/>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sz w:val="20"/>
                <w:szCs w:val="20"/>
              </w:rPr>
              <w:t xml:space="preserve">Price change from January 1 to the latest date in the selected year</w:t>
            </w:r>
          </w:p>
        </w:tc>
      </w:tr>
      <w:tr>
        <w:tc>
          <w:tcPr>
            <w:tcW w:type="dxa" w:w="2808"/>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sz w:val="20"/>
                <w:szCs w:val="20"/>
              </w:rPr>
              <w:t xml:space="preserve">Avg Close Price</w:t>
            </w:r>
          </w:p>
        </w:tc>
        <w:tc>
          <w:tcPr>
            <w:tcW w:type="dxa" w:w="6552"/>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sz w:val="20"/>
                <w:szCs w:val="20"/>
              </w:rPr>
              <w:t xml:space="preserve">Average daily closing price across the selected period</w:t>
            </w:r>
          </w:p>
        </w:tc>
      </w:tr>
      <w:tr>
        <w:tc>
          <w:tcPr>
            <w:tcW w:type="dxa" w:w="2808"/>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sz w:val="20"/>
                <w:szCs w:val="20"/>
              </w:rPr>
              <w:t xml:space="preserve">Period High / Low</w:t>
            </w:r>
          </w:p>
        </w:tc>
        <w:tc>
          <w:tcPr>
            <w:tcW w:type="dxa" w:w="6552"/>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sz w:val="20"/>
                <w:szCs w:val="20"/>
              </w:rPr>
              <w:t xml:space="preserve">Maximum and minimum prices reached within the selected period</w:t>
            </w:r>
          </w:p>
        </w:tc>
      </w:tr>
      <w:tr>
        <w:tc>
          <w:tcPr>
            <w:tcW w:type="dxa" w:w="2808"/>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sz w:val="20"/>
                <w:szCs w:val="20"/>
              </w:rPr>
              <w:t xml:space="preserve">Total Volume</w:t>
            </w:r>
          </w:p>
        </w:tc>
        <w:tc>
          <w:tcPr>
            <w:tcW w:type="dxa" w:w="6552"/>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sz w:val="20"/>
                <w:szCs w:val="20"/>
              </w:rPr>
              <w:t xml:space="preserve">Sum of all shares traded in the selected period</w:t>
            </w:r>
          </w:p>
        </w:tc>
      </w:tr>
      <w:tr>
        <w:tc>
          <w:tcPr>
            <w:tcW w:type="dxa" w:w="2808"/>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sz w:val="20"/>
                <w:szCs w:val="20"/>
              </w:rPr>
              <w:t xml:space="preserve">Volatility (Std Dev Close)</w:t>
            </w:r>
          </w:p>
        </w:tc>
        <w:tc>
          <w:tcPr>
            <w:tcW w:type="dxa" w:w="6552"/>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sz w:val="20"/>
                <w:szCs w:val="20"/>
              </w:rPr>
              <w:t xml:space="preserve">Standard deviation of closing prices as a proxy for price risk</w:t>
            </w:r>
          </w:p>
        </w:tc>
      </w:tr>
      <w:tr>
        <w:tc>
          <w:tcPr>
            <w:tcW w:type="dxa" w:w="2808"/>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sz w:val="20"/>
                <w:szCs w:val="20"/>
              </w:rPr>
              <w:t xml:space="preserve">Avg Daily Return %</w:t>
            </w:r>
          </w:p>
        </w:tc>
        <w:tc>
          <w:tcPr>
            <w:tcW w:type="dxa" w:w="6552"/>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sz w:val="20"/>
                <w:szCs w:val="20"/>
              </w:rPr>
              <w:t xml:space="preserve">Average of daily close-over-close return percentages</w:t>
            </w:r>
          </w:p>
        </w:tc>
      </w:tr>
      <w:tr>
        <w:tc>
          <w:tcPr>
            <w:tcW w:type="dxa" w:w="2808"/>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sz w:val="20"/>
                <w:szCs w:val="20"/>
              </w:rPr>
              <w:t xml:space="preserve">Total Dividends</w:t>
            </w:r>
          </w:p>
        </w:tc>
        <w:tc>
          <w:tcPr>
            <w:tcW w:type="dxa" w:w="6552"/>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sz w:val="20"/>
                <w:szCs w:val="20"/>
              </w:rPr>
              <w:t xml:space="preserve">Sum of all dividend per share payments in the selected period</w:t>
            </w:r>
          </w:p>
        </w:tc>
      </w:tr>
    </w:tbl>
    <w:p>
      <w:r>
        <w:t xml:space="preserve"/>
      </w:r>
    </w:p>
    <w:p>
      <w:pPr>
        <w:pStyle w:val="Heading1"/>
        <w:spacing w:after="160" w:before="320"/>
      </w:pPr>
      <w:r>
        <w:rPr>
          <w:rFonts w:ascii="Arial" w:cs="Arial" w:eastAsia="Arial" w:hAnsi="Arial"/>
          <w:b/>
          <w:bCs/>
          <w:color w:val="1F4E79"/>
          <w:sz w:val="32"/>
          <w:szCs w:val="32"/>
        </w:rPr>
        <w:t xml:space="preserve">4. Limitations</w:t>
      </w:r>
    </w:p>
    <w:p>
      <w:pPr>
        <w:pStyle w:val="ListParagraph"/>
        <w:numPr>
          <w:ilvl w:val="0"/>
          <w:numId w:val="2"/>
        </w:numPr>
        <w:spacing w:after="60" w:before="60"/>
      </w:pPr>
      <w:r>
        <w:rPr>
          <w:rFonts w:ascii="Arial" w:cs="Arial" w:eastAsia="Arial" w:hAnsi="Arial"/>
          <w:sz w:val="22"/>
          <w:szCs w:val="22"/>
        </w:rPr>
        <w:t xml:space="preserve">The dataset does not include market capitalisation data, so volume figures cannot be weighted by company size.</w:t>
      </w:r>
    </w:p>
    <w:p>
      <w:pPr>
        <w:pStyle w:val="ListParagraph"/>
        <w:numPr>
          <w:ilvl w:val="0"/>
          <w:numId w:val="2"/>
        </w:numPr>
        <w:spacing w:after="60" w:before="60"/>
      </w:pPr>
      <w:r>
        <w:rPr>
          <w:rFonts w:ascii="Arial" w:cs="Arial" w:eastAsia="Arial" w:hAnsi="Arial"/>
          <w:sz w:val="22"/>
          <w:szCs w:val="22"/>
        </w:rPr>
        <w:t xml:space="preserve">Some companies (ARM, KVUE, COIN, ABNB, DASH, SNOW) have shorter listing histories within the 5-year window, making direct long-term comparisons less meaningful.</w:t>
      </w:r>
    </w:p>
    <w:p>
      <w:pPr>
        <w:pStyle w:val="ListParagraph"/>
        <w:numPr>
          <w:ilvl w:val="0"/>
          <w:numId w:val="2"/>
        </w:numPr>
        <w:spacing w:after="60" w:before="60"/>
      </w:pPr>
      <w:r>
        <w:rPr>
          <w:rFonts w:ascii="Arial" w:cs="Arial" w:eastAsia="Arial" w:hAnsi="Arial"/>
          <w:sz w:val="22"/>
          <w:szCs w:val="22"/>
        </w:rPr>
        <w:t xml:space="preserve">Prices are not adjusted for currency differences — international stocks (TSM, ASML, NVO) are listed in USD on US exchanges but may reflect currency effects.</w:t>
      </w:r>
    </w:p>
    <w:p>
      <w:pPr>
        <w:pStyle w:val="ListParagraph"/>
        <w:numPr>
          <w:ilvl w:val="0"/>
          <w:numId w:val="2"/>
        </w:numPr>
        <w:spacing w:after="60" w:before="60"/>
      </w:pPr>
      <w:r>
        <w:rPr>
          <w:rFonts w:ascii="Arial" w:cs="Arial" w:eastAsia="Arial" w:hAnsi="Arial"/>
          <w:sz w:val="22"/>
          <w:szCs w:val="22"/>
        </w:rPr>
        <w:t xml:space="preserve">Volatility is measured as standard deviation of absolute price, not returns, which may overstate risk for higher-priced stocks.</w:t>
      </w:r>
    </w:p>
    <w:p>
      <w:pPr>
        <w:pStyle w:val="ListParagraph"/>
        <w:numPr>
          <w:ilvl w:val="0"/>
          <w:numId w:val="2"/>
        </w:numPr>
        <w:spacing w:after="60" w:before="60"/>
      </w:pPr>
      <w:r>
        <w:rPr>
          <w:rFonts w:ascii="Arial" w:cs="Arial" w:eastAsia="Arial" w:hAnsi="Arial"/>
          <w:sz w:val="22"/>
          <w:szCs w:val="22"/>
        </w:rPr>
        <w:t xml:space="preserve">The dataset ends November 2023; developments since then are not reflected.</w:t>
      </w:r>
    </w:p>
    <w:p>
      <w:r>
        <w:t xml:space="preserve"/>
      </w:r>
    </w:p>
    <w:p>
      <w:pPr>
        <w:pStyle w:val="Heading1"/>
        <w:spacing w:after="160" w:before="320"/>
      </w:pPr>
      <w:r>
        <w:rPr>
          <w:rFonts w:ascii="Arial" w:cs="Arial" w:eastAsia="Arial" w:hAnsi="Arial"/>
          <w:b/>
          <w:bCs/>
          <w:color w:val="1F4E79"/>
          <w:sz w:val="32"/>
          <w:szCs w:val="32"/>
        </w:rPr>
        <w:t xml:space="preserve">5. Conclusion</w:t>
      </w:r>
    </w:p>
    <w:p>
      <w:pPr>
        <w:spacing w:after="80" w:before="80"/>
      </w:pPr>
      <w:r>
        <w:rPr>
          <w:rFonts w:ascii="Arial" w:cs="Arial" w:eastAsia="Arial" w:hAnsi="Arial"/>
          <w:sz w:val="22"/>
          <w:szCs w:val="22"/>
        </w:rPr>
        <w:t xml:space="preserve">The 5-year stock dataset provides a comprehensive view of global equity performance through one of the most eventful periods in modern financial history, spanning the COVID-19 pandemic, a historic bull market, rising interest rates, and the emergence of AI as a market theme. The data confirms well-established financial principles — higher returns were broadly associated with higher volatility — while also highlighting sector-specific dynamics in biotechnology, electric vehicles, and technology that drove outsized gains for a small number of stocks.</w:t>
      </w:r>
    </w:p>
    <w:p>
      <w:r>
        <w:t xml:space="preserve"/>
      </w:r>
    </w:p>
    <w:p>
      <w:pPr>
        <w:spacing w:after="80" w:before="80"/>
      </w:pPr>
      <w:r>
        <w:rPr>
          <w:rFonts w:ascii="Arial" w:cs="Arial" w:eastAsia="Arial" w:hAnsi="Arial"/>
          <w:sz w:val="22"/>
          <w:szCs w:val="22"/>
        </w:rPr>
        <w:t xml:space="preserve">The Power BI report built on this dataset provides an interactive platform for ongoing analysis, enabling users to filter by company, date range, and sector to explore performance patterns in depth.</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Stock Market Analysis Report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2026-06-29T07:47:43.879Z</dcterms:created>
  <dcterms:modified xsi:type="dcterms:W3CDTF">2026-06-29T07:47:43.880Z</dcterms:modified>
</cp:coreProperties>
</file>

<file path=docProps/custom.xml><?xml version="1.0" encoding="utf-8"?>
<Properties xmlns="http://schemas.openxmlformats.org/officeDocument/2006/custom-properties" xmlns:vt="http://schemas.openxmlformats.org/officeDocument/2006/docPropsVTypes"/>
</file>