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Nasdanus Documentation Roadmap</w:t>
      </w:r>
    </w:p>
    <w:p>
      <w:r>
        <w:t>Completed:</w:t>
      </w:r>
    </w:p>
    <w:p>
      <w:r>
        <w:t>✓ Product Vision</w:t>
      </w:r>
    </w:p>
    <w:p>
      <w:r>
        <w:t>✓ Profile</w:t>
      </w:r>
    </w:p>
    <w:p>
      <w:r>
        <w:t>✓ Business Rules</w:t>
      </w:r>
    </w:p>
    <w:p>
      <w:r>
        <w:t>✓ User Journeys</w:t>
      </w:r>
    </w:p>
    <w:p>
      <w:r>
        <w:t>✓ FS-001 Home</w:t>
      </w:r>
    </w:p>
    <w:p>
      <w:r>
        <w:t>✓ FS-005 Recipe Knowledge</w:t>
      </w:r>
    </w:p>
    <w:p>
      <w:r>
        <w:t>✓ DS-001 Recipe Schema</w:t>
      </w:r>
    </w:p>
    <w:p>
      <w:r>
        <w:t>✓ DS-002 Ingredient Schema</w:t>
      </w:r>
    </w:p>
    <w:p>
      <w:r>
        <w:t>Next: Review → DS-003 → FS-004 Cooking Mode → FS-002 Weekly Planner → FS-003 Shopping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