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1"/>
        </w:numPr>
      </w:pPr>
      <w:r>
        <w:t xml:space="preserve">Установка имени пользователя и названия хоста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задания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Качаем установщик VirtualBox c официального сайта и устанавливаем данную программу на персональный компьютер. У меня виртуальная машина уже была установленна, поэтому данный этап уже выполнен(рис. fig. 1).</w:t>
      </w:r>
    </w:p>
    <w:p>
      <w:pPr>
        <w:pStyle w:val="CaptionedFigure"/>
      </w:pPr>
      <w:r>
        <w:drawing>
          <wp:inline>
            <wp:extent cx="2443522" cy="1897956"/>
            <wp:effectExtent b="0" l="0" r="0" t="0"/>
            <wp:docPr descr="Ярлык VirtualBo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Ярлык VirtualBox</w:t>
      </w:r>
    </w:p>
    <w:bookmarkEnd w:id="25"/>
    <w:bookmarkStart w:id="50" w:name="Xd7207a16ebd0d1d6923a081c69ae838077a44d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Устанавливаем операционную систему, в нашем случае это fedora. Для этого качаем с браузера ОС в образе диска, после чего производим установку fedora на нашу виртуальную машину. Данный этап у меня тоже был выполнен до лаболаторной работы. (рис. fig. 2).</w:t>
      </w:r>
    </w:p>
    <w:p>
      <w:pPr>
        <w:pStyle w:val="CaptionedFigure"/>
      </w:pPr>
      <w:r>
        <w:drawing>
          <wp:inline>
            <wp:extent cx="3733800" cy="884023"/>
            <wp:effectExtent b="0" l="0" r="0" t="0"/>
            <wp:docPr descr="Fedora на виртуальной машине VirtualBo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Fedora на виртуальной машине VirtualBox</w:t>
      </w:r>
    </w:p>
    <w:p>
      <w:pPr>
        <w:pStyle w:val="BodyText"/>
      </w:pPr>
      <w:r>
        <w:t xml:space="preserve">Следующим этапом мы запускаем терминал при помощи комбинацию клавиш Win+Enter и переключаемся на роль супер-пользователя(рис. fig. 3).</w:t>
      </w:r>
    </w:p>
    <w:p>
      <w:pPr>
        <w:pStyle w:val="CaptionedFigure"/>
      </w:pPr>
      <w:r>
        <w:drawing>
          <wp:inline>
            <wp:extent cx="2397418" cy="599354"/>
            <wp:effectExtent b="0" l="0" r="0" t="0"/>
            <wp:docPr descr="Переклчение на роль супер-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Переклчение на роль супер-пользователя</w:t>
      </w:r>
    </w:p>
    <w:p>
      <w:pPr>
        <w:pStyle w:val="BodyText"/>
      </w:pPr>
      <w:r>
        <w:t xml:space="preserve">Устанавливаем средство pandoc для работы с языком разметки Markdown и дистрибутив TexLive, но так как до начала лаболаторной работы всё было установленно, данный этап был пропущен. Поэтому только обновляем все пакеты при помощи dnf -y update (рис. fig. 4).</w:t>
      </w:r>
    </w:p>
    <w:p>
      <w:pPr>
        <w:pStyle w:val="CaptionedFigure"/>
      </w:pPr>
      <w:r>
        <w:drawing>
          <wp:inline>
            <wp:extent cx="3733800" cy="548910"/>
            <wp:effectExtent b="0" l="0" r="0" t="0"/>
            <wp:docPr descr="Обновление всех пакет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всех пакетов</w:t>
      </w:r>
    </w:p>
    <w:p>
      <w:pPr>
        <w:pStyle w:val="BodyText"/>
      </w:pPr>
      <w:r>
        <w:t xml:space="preserve">Устанавливаем программы для удобства работы в консоли при помощи dnf install dnf-automatic(рис. fig. 5).</w:t>
      </w:r>
    </w:p>
    <w:p>
      <w:pPr>
        <w:pStyle w:val="CaptionedFigure"/>
      </w:pPr>
      <w:r>
        <w:drawing>
          <wp:inline>
            <wp:extent cx="3733800" cy="2230758"/>
            <wp:effectExtent b="0" l="0" r="0" t="0"/>
            <wp:docPr descr="Установка програ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програмы</w:t>
      </w:r>
    </w:p>
    <w:p>
      <w:pPr>
        <w:pStyle w:val="BodyText"/>
      </w:pPr>
      <w:r>
        <w:t xml:space="preserve">Следующим шагом мы запускаем таймер при помощи команды systemctl enable –now dnf-automatic.timer(рис. fig. 6).</w:t>
      </w:r>
    </w:p>
    <w:p>
      <w:pPr>
        <w:pStyle w:val="CaptionedFigure"/>
      </w:pPr>
      <w:r>
        <w:drawing>
          <wp:inline>
            <wp:extent cx="3733800" cy="437914"/>
            <wp:effectExtent b="0" l="0" r="0" t="0"/>
            <wp:docPr descr="Запуск тайме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таймера</w:t>
      </w:r>
    </w:p>
    <w:p>
      <w:pPr>
        <w:pStyle w:val="BodyText"/>
      </w:pPr>
      <w:r>
        <w:t xml:space="preserve">Открываем файл congig при помощи текстового редактора mousepad (рис. fig. 7).</w:t>
      </w:r>
    </w:p>
    <w:p>
      <w:pPr>
        <w:pStyle w:val="CaptionedFigure"/>
      </w:pPr>
      <w:r>
        <w:drawing>
          <wp:inline>
            <wp:extent cx="2681727" cy="484094"/>
            <wp:effectExtent b="0" l="0" r="0" t="0"/>
            <wp:docPr descr="Открыт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</w:t>
      </w:r>
    </w:p>
    <w:p>
      <w:pPr>
        <w:pStyle w:val="BodyText"/>
      </w:pPr>
      <w:r>
        <w:t xml:space="preserve">В открывшимся файле изменяем заначение SELINUX=enforcing на значение SELINUX=permissive (рис. fig. 8).</w:t>
      </w:r>
    </w:p>
    <w:p>
      <w:pPr>
        <w:pStyle w:val="CaptionedFigure"/>
      </w:pPr>
      <w:r>
        <w:drawing>
          <wp:inline>
            <wp:extent cx="3733800" cy="3726605"/>
            <wp:effectExtent b="0" l="0" r="0" t="0"/>
            <wp:docPr descr="Замена значения в файле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значения в файле</w:t>
      </w:r>
    </w:p>
    <w:p>
      <w:pPr>
        <w:pStyle w:val="BodyText"/>
      </w:pPr>
      <w:r>
        <w:t xml:space="preserve">Запускаем терминальный мультиплексор tmux, переключаемся на роль супер-пользователя и установливаем средства разработки и пакет DKMS, после чего перезапускаем виртуальну машину при помощи reboot(рис. fig. 9).</w:t>
      </w:r>
    </w:p>
    <w:p>
      <w:pPr>
        <w:pStyle w:val="CaptionedFigure"/>
      </w:pPr>
      <w:r>
        <w:drawing>
          <wp:inline>
            <wp:extent cx="3649915" cy="353465"/>
            <wp:effectExtent b="0" l="0" r="0" t="0"/>
            <wp:docPr descr="Установка средства разработк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средства разработки</w:t>
      </w:r>
    </w:p>
    <w:bookmarkEnd w:id="50"/>
    <w:bookmarkStart w:id="60" w:name="X552b86c65445ac349a28766cf4fa95fd7ef0b6f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Запускаем терминальный мультиплексор tmux, создаем пользователя, задавая свой логин, после чего задаем свой пароль(рис. fig. 10).</w:t>
      </w:r>
    </w:p>
    <w:p>
      <w:pPr>
        <w:pStyle w:val="CaptionedFigure"/>
      </w:pPr>
      <w:r>
        <w:drawing>
          <wp:inline>
            <wp:extent cx="3733800" cy="2515129"/>
            <wp:effectExtent b="0" l="0" r="0" t="0"/>
            <wp:docPr descr="Установка имени пользовател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имени пользователя</w:t>
      </w:r>
    </w:p>
    <w:p>
      <w:pPr>
        <w:pStyle w:val="BodyText"/>
      </w:pPr>
      <w:r>
        <w:t xml:space="preserve">Следующим этапом устанавливем имя хоста и проводим проверку при помощи hostnamectl(рис. fig. 11).</w:t>
      </w:r>
    </w:p>
    <w:p>
      <w:pPr>
        <w:pStyle w:val="CaptionedFigure"/>
      </w:pPr>
      <w:r>
        <w:drawing>
          <wp:inline>
            <wp:extent cx="3733800" cy="2117882"/>
            <wp:effectExtent b="0" l="0" r="0" t="0"/>
            <wp:docPr descr="Установка названия хос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названия хоста</w:t>
      </w:r>
    </w:p>
    <w:p>
      <w:pPr>
        <w:pStyle w:val="BodyText"/>
      </w:pPr>
      <w:r>
        <w:t xml:space="preserve">Внутри виртуальной машины добавляем своего пользователя в группу vboxsf(рис. fig. 12).</w:t>
      </w:r>
    </w:p>
    <w:p>
      <w:pPr>
        <w:pStyle w:val="CaptionedFigure"/>
      </w:pPr>
      <w:r>
        <w:drawing>
          <wp:inline>
            <wp:extent cx="3219610" cy="322729"/>
            <wp:effectExtent b="0" l="0" r="0" t="0"/>
            <wp:docPr descr="Добавление пользователя в группу vboxsf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10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пользователя в группу vboxsf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62"/>
    <w:bookmarkStart w:id="6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63"/>
    <w:bookmarkStart w:id="70" w:name="выполнение-дополнительного-зада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дополнительного задания</w:t>
      </w:r>
    </w:p>
    <w:p>
      <w:pPr>
        <w:pStyle w:val="FirstParagraph"/>
      </w:pPr>
      <w:r>
        <w:t xml:space="preserve">Получаем инфорамции о версии ядра Linux, частоте процессора, а также модели процессора(рис. fig. 13).</w:t>
      </w:r>
    </w:p>
    <w:p>
      <w:pPr>
        <w:pStyle w:val="CaptionedFigure"/>
      </w:pPr>
      <w:r>
        <w:drawing>
          <wp:inline>
            <wp:extent cx="3733800" cy="1488516"/>
            <wp:effectExtent b="0" l="0" r="0" t="0"/>
            <wp:docPr descr="Получение информации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Получение информации</w:t>
      </w:r>
    </w:p>
    <w:p>
      <w:pPr>
        <w:pStyle w:val="BodyText"/>
      </w:pPr>
      <w:r>
        <w:t xml:space="preserve">Получаем инфорамции о объёме доступной оперативной памяти, типе обнаруженного гипервизора, типе файловой системы корневого раздела, а также о последовательности монтирования файловых систем(рис. fig. 14).</w:t>
      </w:r>
    </w:p>
    <w:p>
      <w:pPr>
        <w:pStyle w:val="CaptionedFigure"/>
      </w:pPr>
      <w:r>
        <w:drawing>
          <wp:inline>
            <wp:extent cx="3733800" cy="2921855"/>
            <wp:effectExtent b="0" l="0" r="0" t="0"/>
            <wp:docPr descr="Получение информации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Получение информации</w:t>
      </w:r>
    </w:p>
    <w:bookmarkEnd w:id="70"/>
    <w:bookmarkStart w:id="71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Dash P. Getting started with oracle vm virtualbox. Packt Publishing Ltd, 2013. 86 p.</w:t>
      </w:r>
    </w:p>
    <w:p>
      <w:pPr>
        <w:pStyle w:val="Compact"/>
        <w:numPr>
          <w:ilvl w:val="0"/>
          <w:numId w:val="1003"/>
        </w:numPr>
      </w:pPr>
      <w:r>
        <w:t xml:space="preserve">Colvin H. Virtualbox: An ultimate guide book on virtualization with virtualbox. CreateSpace Independent Publishing Platform, 2015. 70 p.</w:t>
      </w:r>
    </w:p>
    <w:p>
      <w:pPr>
        <w:pStyle w:val="Compact"/>
        <w:numPr>
          <w:ilvl w:val="0"/>
          <w:numId w:val="1003"/>
        </w:numPr>
      </w:pPr>
      <w:r>
        <w:t xml:space="preserve">van Vugt S. Red hat rhcsa/rhce 7 cert guide : Red hat enterprise linux 7 (ex200 and ex300). Pearson IT Certification, 2016. 1008 p.</w:t>
      </w:r>
    </w:p>
    <w:p>
      <w:pPr>
        <w:pStyle w:val="Compact"/>
        <w:numPr>
          <w:ilvl w:val="0"/>
          <w:numId w:val="1003"/>
        </w:numPr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pStyle w:val="Compact"/>
        <w:numPr>
          <w:ilvl w:val="0"/>
          <w:numId w:val="1003"/>
        </w:numPr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pStyle w:val="Compact"/>
        <w:numPr>
          <w:ilvl w:val="0"/>
          <w:numId w:val="1003"/>
        </w:numPr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pStyle w:val="Compact"/>
        <w:numPr>
          <w:ilvl w:val="0"/>
          <w:numId w:val="1003"/>
        </w:numPr>
      </w:pPr>
      <w:r>
        <w:t xml:space="preserve">Robbins A. Bash pocket reference. O’Reilly Media, 2016. 156 p.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Закиров Нурислам Дамирович</dc:creator>
  <dc:language>ru-RU</dc:language>
  <cp:keywords/>
  <dcterms:created xsi:type="dcterms:W3CDTF">2024-02-26T13:42:16Z</dcterms:created>
  <dcterms:modified xsi:type="dcterms:W3CDTF">2024-02-26T13:42:16Z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