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Реферат</w:t>
      </w:r>
      <w:r>
        <w:t xml:space="preserve"> </w:t>
      </w:r>
      <w:r>
        <w:t xml:space="preserve">на</w:t>
      </w:r>
      <w:r>
        <w:t xml:space="preserve"> </w:t>
      </w:r>
      <w:r>
        <w:t xml:space="preserve">тему</w:t>
      </w:r>
      <w:r>
        <w:t xml:space="preserve"> </w:t>
      </w:r>
      <w:r>
        <w:t xml:space="preserve">‘</w:t>
      </w:r>
      <w:r>
        <w:t xml:space="preserve">Законодательный</w:t>
      </w:r>
      <w:r>
        <w:t xml:space="preserve"> </w:t>
      </w:r>
      <w:r>
        <w:t xml:space="preserve">уровень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  <w:r>
        <w:t xml:space="preserve">’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Изучении законодательства РФ в области информационной безопасности;</w:t>
      </w:r>
    </w:p>
    <w:p>
      <w:pPr>
        <w:pStyle w:val="Compact"/>
        <w:numPr>
          <w:ilvl w:val="0"/>
          <w:numId w:val="1001"/>
        </w:numPr>
      </w:pPr>
      <w:r>
        <w:t xml:space="preserve">Определении ключевых нормативных актов и их содержания;</w:t>
      </w:r>
    </w:p>
    <w:p>
      <w:pPr>
        <w:pStyle w:val="Compact"/>
        <w:numPr>
          <w:ilvl w:val="0"/>
          <w:numId w:val="1001"/>
        </w:numPr>
      </w:pPr>
      <w:r>
        <w:t xml:space="preserve">Анализ механизмов защиты информации;</w:t>
      </w:r>
    </w:p>
    <w:p>
      <w:pPr>
        <w:pStyle w:val="Compact"/>
        <w:numPr>
          <w:ilvl w:val="0"/>
          <w:numId w:val="1001"/>
        </w:numPr>
      </w:pPr>
      <w:r>
        <w:t xml:space="preserve">Рассмотрении проблем и перспектив развития законодательства в данной сфере.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Информационная безопасность (ИБ) представляет собой комплекс мер, направленных на защиту информации и</w:t>
      </w:r>
      <w:r>
        <w:t xml:space="preserve"> </w:t>
      </w:r>
      <w:r>
        <w:t xml:space="preserve">информационных систем от несанкционированного доступа, уничтожения, модификации, блокирования или копирования.</w:t>
      </w:r>
      <w:r>
        <w:t xml:space="preserve"> </w:t>
      </w:r>
      <w:r>
        <w:t xml:space="preserve">В условиях стремительного роста цифровых технологий и увеличения объемов данных вопросы информационной безопасности</w:t>
      </w:r>
      <w:r>
        <w:t xml:space="preserve"> </w:t>
      </w:r>
      <w:r>
        <w:t xml:space="preserve">приобретают особую актуальность.</w:t>
      </w:r>
    </w:p>
    <w:p>
      <w:pPr>
        <w:pStyle w:val="BodyText"/>
      </w:pPr>
      <w:r>
        <w:t xml:space="preserve">Законодательное регулирование играет ключевую роль в обеспечении защиты информации, устанавливая правила,</w:t>
      </w:r>
      <w:r>
        <w:t xml:space="preserve"> </w:t>
      </w:r>
      <w:r>
        <w:t xml:space="preserve">обязанности и ответственность субъектов в данной сфере. В Российской Федерации сформирована обширная нормативная</w:t>
      </w:r>
      <w:r>
        <w:t xml:space="preserve"> </w:t>
      </w:r>
      <w:r>
        <w:t xml:space="preserve">база, включающая Конституцию РФ, федеральные законы, подзаконные акты, приказы ведомств, а также международные стандарты</w:t>
      </w:r>
    </w:p>
    <w:bookmarkEnd w:id="21"/>
    <w:bookmarkStart w:id="22" w:name="основные-понят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Основные понятия</w:t>
      </w:r>
    </w:p>
    <w:p>
      <w:pPr>
        <w:pStyle w:val="FirstParagraph"/>
      </w:pPr>
      <w:r>
        <w:t xml:space="preserve">Для понимания законодательного регулирования в области ИБ важно рассмотреть ключевые термины:</w:t>
      </w:r>
    </w:p>
    <w:p>
      <w:pPr>
        <w:pStyle w:val="Compact"/>
        <w:numPr>
          <w:ilvl w:val="0"/>
          <w:numId w:val="1002"/>
        </w:numPr>
      </w:pPr>
      <w:r>
        <w:t xml:space="preserve">Информационная безопасность – защита информации и её носителей от угроз;</w:t>
      </w:r>
    </w:p>
    <w:p>
      <w:pPr>
        <w:pStyle w:val="Compact"/>
        <w:numPr>
          <w:ilvl w:val="0"/>
          <w:numId w:val="1002"/>
        </w:numPr>
      </w:pPr>
      <w:r>
        <w:t xml:space="preserve">Конфиденциальность – ограничение доступа к информации;</w:t>
      </w:r>
    </w:p>
    <w:p>
      <w:pPr>
        <w:pStyle w:val="Compact"/>
        <w:numPr>
          <w:ilvl w:val="0"/>
          <w:numId w:val="1002"/>
        </w:numPr>
      </w:pPr>
      <w:r>
        <w:t xml:space="preserve">Целостность – защита данных от модификации;</w:t>
      </w:r>
    </w:p>
    <w:p>
      <w:pPr>
        <w:pStyle w:val="Compact"/>
        <w:numPr>
          <w:ilvl w:val="0"/>
          <w:numId w:val="1002"/>
        </w:numPr>
      </w:pPr>
      <w:r>
        <w:t xml:space="preserve">Доступность – обеспечение своевременного доступа к информации;</w:t>
      </w:r>
    </w:p>
    <w:p>
      <w:pPr>
        <w:pStyle w:val="Compact"/>
        <w:numPr>
          <w:ilvl w:val="0"/>
          <w:numId w:val="1002"/>
        </w:numPr>
      </w:pPr>
      <w:r>
        <w:t xml:space="preserve">Персональные данные – информация, позволяющая идентифицировать личность.</w:t>
      </w:r>
    </w:p>
    <w:bookmarkEnd w:id="22"/>
    <w:bookmarkStart w:id="25" w:name="основные-законы-рф-в-сфере-иб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Основные законы РФ в сфере ИБ</w:t>
      </w:r>
    </w:p>
    <w:p>
      <w:pPr>
        <w:pStyle w:val="FirstParagraph"/>
      </w:pPr>
      <w:r>
        <w:t xml:space="preserve">Законодательная база в России включает Конституцию, федеральные законы и подзаконные акты.</w:t>
      </w:r>
    </w:p>
    <w:bookmarkStart w:id="23" w:name="конституция-рф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Конституция РФ</w:t>
      </w:r>
    </w:p>
    <w:p>
      <w:pPr>
        <w:pStyle w:val="FirstParagraph"/>
      </w:pPr>
      <w:r>
        <w:t xml:space="preserve">Конституция РФ закрепляет следующие положения:</w:t>
      </w:r>
    </w:p>
    <w:p>
      <w:pPr>
        <w:pStyle w:val="BodyText"/>
      </w:pPr>
      <w:r>
        <w:rPr>
          <w:b/>
          <w:bCs/>
        </w:rPr>
        <w:t xml:space="preserve">Статья 23</w:t>
      </w:r>
      <w:r>
        <w:t xml:space="preserve"> </w:t>
      </w:r>
      <w:r>
        <w:t xml:space="preserve">– право граждан на защиту частной жизни;</w:t>
      </w:r>
    </w:p>
    <w:p>
      <w:pPr>
        <w:numPr>
          <w:ilvl w:val="0"/>
          <w:numId w:val="1003"/>
        </w:numPr>
      </w:pPr>
      <w:r>
        <w:t xml:space="preserve">Каждый имеет право на неприкосновенность частной жизни, личную и семейную тайну, защиту своей чести и доброго имени.</w:t>
      </w:r>
    </w:p>
    <w:p>
      <w:pPr>
        <w:numPr>
          <w:ilvl w:val="0"/>
          <w:numId w:val="1003"/>
        </w:numPr>
      </w:pPr>
      <w:r>
        <w:t xml:space="preserve">Каждый имеет право на тайну переписки, телефонных переговоров, почтовых, телеграфных и иных сообщений. Ограничение этого права допускается только на основании судебного решения.</w:t>
      </w:r>
    </w:p>
    <w:p>
      <w:pPr>
        <w:pStyle w:val="FirstParagraph"/>
      </w:pPr>
      <w:r>
        <w:rPr>
          <w:b/>
          <w:bCs/>
        </w:rPr>
        <w:t xml:space="preserve">Статья 24</w:t>
      </w:r>
      <w:r>
        <w:t xml:space="preserve"> </w:t>
      </w:r>
      <w:r>
        <w:t xml:space="preserve">– запрет на сбор и распространение информации без согласия;</w:t>
      </w:r>
    </w:p>
    <w:p>
      <w:pPr>
        <w:numPr>
          <w:ilvl w:val="0"/>
          <w:numId w:val="1004"/>
        </w:numPr>
      </w:pPr>
      <w:r>
        <w:t xml:space="preserve">Сбор, хранение, использование и распространение информации о частной жизни лица без его согласия не допускаются.</w:t>
      </w:r>
    </w:p>
    <w:p>
      <w:pPr>
        <w:numPr>
          <w:ilvl w:val="0"/>
          <w:numId w:val="1004"/>
        </w:numPr>
      </w:pPr>
      <w:r>
        <w:t xml:space="preserve">Органы государственной власти и органы местного самоуправления, их должностные лица обязаны обеспечить каждому возможность ознакомления с документами и материалами, непосредственно затрагивающими его права и свободы, если иное не предусмотрено законом.</w:t>
      </w:r>
    </w:p>
    <w:bookmarkEnd w:id="23"/>
    <w:bookmarkStart w:id="24" w:name="федеральные-закон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Федеральные законы</w:t>
      </w:r>
    </w:p>
    <w:p>
      <w:pPr>
        <w:pStyle w:val="FirstParagraph"/>
      </w:pPr>
      <w:r>
        <w:rPr>
          <w:b/>
          <w:bCs/>
        </w:rPr>
        <w:t xml:space="preserve">149-ФЗ</w:t>
      </w:r>
      <w:r>
        <w:t xml:space="preserve"> </w:t>
      </w:r>
      <w:r>
        <w:t xml:space="preserve">(«Об информации» – регулирует доступ, обработку и защиту данных).</w:t>
      </w:r>
      <w:r>
        <w:t xml:space="preserve"> </w:t>
      </w:r>
      <w:r>
        <w:t xml:space="preserve">Регулирует оборот информации в России, разделяя её на общедоступную и ограниченного доступа (государственная, коммерческая тайна). Закон устанавливает правила обработки данных, требования к информационным системам и меры противодействия распространению запрещённого контента (например, экстремистских материалов). Также определяет порядок блокировки сайтов и ответственность операторов связи.</w:t>
      </w:r>
    </w:p>
    <w:p>
      <w:pPr>
        <w:pStyle w:val="BodyText"/>
      </w:pPr>
      <w:r>
        <w:rPr>
          <w:b/>
          <w:bCs/>
        </w:rPr>
        <w:t xml:space="preserve">152-ФЗ</w:t>
      </w:r>
      <w:r>
        <w:t xml:space="preserve"> </w:t>
      </w:r>
      <w:r>
        <w:t xml:space="preserve">(«О персональных данных» – устанавливает требования к защите ПДн).</w:t>
      </w:r>
      <w:r>
        <w:t xml:space="preserve"> </w:t>
      </w:r>
      <w:r>
        <w:t xml:space="preserve">Обязывает операторов ПДн получать согласие граждан на обработку их данных и обеспечивать защиту от утечек. Закон требует уведомлять Роскомнадзор о работе с ПДн, хранить информацию на серверах в РФ (локализация) и применять меры защиты в зависимости от категории данных. За нарушения предусмотрены штрафы до 6 млн руб.</w:t>
      </w:r>
    </w:p>
    <w:p>
      <w:pPr>
        <w:pStyle w:val="BodyText"/>
      </w:pPr>
      <w:r>
        <w:rPr>
          <w:b/>
          <w:bCs/>
        </w:rPr>
        <w:t xml:space="preserve">187-ФЗ</w:t>
      </w:r>
      <w:r>
        <w:t xml:space="preserve"> </w:t>
      </w:r>
      <w:r>
        <w:t xml:space="preserve">(«О КИИ» – определяет меры защиты критической инфраструктуры).</w:t>
      </w:r>
      <w:r>
        <w:t xml:space="preserve"> </w:t>
      </w:r>
      <w:r>
        <w:t xml:space="preserve">Направлен на защиту объектов, чей выход из строя угрожает безопасности страны (энергетика, транспорт, банки). Закон обязывает организации выявлять и защищать критически важные системы, проводить аудиты безопасности и использовать сертифицированные средства защиты. Контроль осуществляют ФСТЭК и ФСБ, а за нарушения грозят крупные штрафы и уголовная ответственность.</w:t>
      </w:r>
    </w:p>
    <w:bookmarkEnd w:id="24"/>
    <w:bookmarkEnd w:id="25"/>
    <w:bookmarkStart w:id="26" w:name="Xb666d1c92a0bca2706a4054d6b8345a8d76589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Примеры нарушений и угроз информационной безопасности.</w:t>
      </w:r>
    </w:p>
    <w:p>
      <w:pPr>
        <w:pStyle w:val="FirstParagraph"/>
      </w:pPr>
      <w:r>
        <w:t xml:space="preserve">Рассмотрим несколько реальных примеров киберинцидентов в России:</w:t>
      </w:r>
    </w:p>
    <w:p>
      <w:pPr>
        <w:pStyle w:val="Compact"/>
        <w:numPr>
          <w:ilvl w:val="0"/>
          <w:numId w:val="1005"/>
        </w:numPr>
      </w:pPr>
      <w:r>
        <w:t xml:space="preserve">Утечка данных клиентов Сбербанка (2019 год) – более 60 млн записей оказалось в открытом доступе.</w:t>
      </w:r>
    </w:p>
    <w:p>
      <w:pPr>
        <w:pStyle w:val="Compact"/>
        <w:numPr>
          <w:ilvl w:val="0"/>
          <w:numId w:val="1005"/>
        </w:numPr>
      </w:pPr>
      <w:r>
        <w:t xml:space="preserve">Взлом серверов российских министерств (2022 год) – утечка служебных документов.</w:t>
      </w:r>
    </w:p>
    <w:p>
      <w:pPr>
        <w:pStyle w:val="Compact"/>
        <w:numPr>
          <w:ilvl w:val="0"/>
          <w:numId w:val="1005"/>
        </w:numPr>
      </w:pPr>
      <w:r>
        <w:t xml:space="preserve">Атака на систему голосования «Госуслуги» (2023 год) – DDoS-атака привела к временному сбою.</w:t>
      </w:r>
    </w:p>
    <w:bookmarkEnd w:id="26"/>
    <w:bookmarkStart w:id="31" w:name="Xe6a6c129e9197ca8f689576b8f09e261462052d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Органы регулирования информационной безопасности</w:t>
      </w:r>
    </w:p>
    <w:bookmarkStart w:id="27" w:name="Xde038048fa8022d1bc0a57988ebf8091e9ec139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ФСТЭК (Федеральная служба по техническому и экспортному контролю)</w:t>
      </w:r>
    </w:p>
    <w:p>
      <w:pPr>
        <w:pStyle w:val="FirstParagraph"/>
      </w:pPr>
      <w:r>
        <w:t xml:space="preserve">Основные функции:</w:t>
      </w:r>
    </w:p>
    <w:p>
      <w:pPr>
        <w:pStyle w:val="BodyText"/>
      </w:pPr>
      <w:r>
        <w:t xml:space="preserve">-Утверждает требования к защите информации (например, Приказ № 239 о защите ГИС)</w:t>
      </w:r>
      <w:r>
        <w:t xml:space="preserve"> </w:t>
      </w:r>
      <w:r>
        <w:t xml:space="preserve">-Проводит сертификацию средств защиты информации (СЗИ)</w:t>
      </w:r>
      <w:r>
        <w:t xml:space="preserve"> </w:t>
      </w:r>
      <w:r>
        <w:t xml:space="preserve">-Контролирует безопасность критической информационной инфраструктуры (КИИ)</w:t>
      </w:r>
      <w:r>
        <w:t xml:space="preserve"> </w:t>
      </w:r>
      <w:r>
        <w:t xml:space="preserve">-Разрабатывает методики противодействия кибератакам</w:t>
      </w:r>
    </w:p>
    <w:p>
      <w:pPr>
        <w:pStyle w:val="BodyText"/>
      </w:pPr>
      <w:r>
        <w:t xml:space="preserve">Пример: ФСТЭК проверяет банки и энергетические компании на соответствие требованиям 187-ФЗ, выдает предписания об устранении уязвимостей.</w:t>
      </w:r>
    </w:p>
    <w:bookmarkEnd w:id="27"/>
    <w:bookmarkStart w:id="28" w:name="фсб-федеральная-служба-безопасности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ФСБ (Федеральная служба безопасности)</w:t>
      </w:r>
    </w:p>
    <w:p>
      <w:pPr>
        <w:pStyle w:val="FirstParagraph"/>
      </w:pPr>
      <w:r>
        <w:t xml:space="preserve">Основные функции:</w:t>
      </w:r>
    </w:p>
    <w:p>
      <w:pPr>
        <w:pStyle w:val="BodyText"/>
      </w:pPr>
      <w:r>
        <w:t xml:space="preserve">-Лицензирует деятельность по криптографической защите данных (Приказ № 66)</w:t>
      </w:r>
      <w:r>
        <w:t xml:space="preserve"> </w:t>
      </w:r>
      <w:r>
        <w:t xml:space="preserve">-Борется с кибершпионажем и компьютерными атаками на госструктуры</w:t>
      </w:r>
      <w:r>
        <w:t xml:space="preserve"> </w:t>
      </w:r>
      <w:r>
        <w:t xml:space="preserve">-Контролирует использование шифровальных средств</w:t>
      </w:r>
      <w:r>
        <w:t xml:space="preserve"> </w:t>
      </w:r>
      <w:r>
        <w:t xml:space="preserve">-Расследует преступления в сфере ИБ (ст. 272–274 УК РФ)</w:t>
      </w:r>
    </w:p>
    <w:p>
      <w:pPr>
        <w:pStyle w:val="BodyText"/>
      </w:pPr>
      <w:r>
        <w:t xml:space="preserve">Пример: ФСБ выявляет хакерские группы, атакующие российские госучреждения, и блокирует их деятельность.</w:t>
      </w:r>
    </w:p>
    <w:bookmarkEnd w:id="28"/>
    <w:bookmarkStart w:id="29" w:name="Xeec95c255a25543a3ba3dbf9a605c75c6528243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Роскомнадзор (Федеральная служба по надзору в сфере связи, ИТ и массовых коммуникаций)</w:t>
      </w:r>
    </w:p>
    <w:p>
      <w:pPr>
        <w:pStyle w:val="FirstParagraph"/>
      </w:pPr>
      <w:r>
        <w:t xml:space="preserve">Основные функции:</w:t>
      </w:r>
    </w:p>
    <w:p>
      <w:pPr>
        <w:pStyle w:val="BodyText"/>
      </w:pPr>
      <w:r>
        <w:t xml:space="preserve">-Контролирует соблюдение 152-ФЗ (персональные данные)</w:t>
      </w:r>
      <w:r>
        <w:t xml:space="preserve"> </w:t>
      </w:r>
      <w:r>
        <w:t xml:space="preserve">-Ведет реестр нарушителей закона о ПДн</w:t>
      </w:r>
      <w:r>
        <w:t xml:space="preserve"> </w:t>
      </w:r>
      <w:r>
        <w:t xml:space="preserve">-Блокирует незаконный контент в интернете (по 149-ФЗ)</w:t>
      </w:r>
      <w:r>
        <w:t xml:space="preserve"> </w:t>
      </w:r>
      <w:r>
        <w:t xml:space="preserve">-Налагает штрафы за утечки данных (до 6 млн руб. для юрлиц)</w:t>
      </w:r>
    </w:p>
    <w:p>
      <w:pPr>
        <w:pStyle w:val="BodyText"/>
      </w:pPr>
      <w:r>
        <w:t xml:space="preserve">Пример: Роскомнадзор оштрафовал соцсеть за хранение данных россиян на зарубежных серверах.</w:t>
      </w:r>
    </w:p>
    <w:bookmarkEnd w:id="29"/>
    <w:bookmarkStart w:id="30" w:name="X83bd3a5f0eb28e23824b80a7ea70cda4baa43e7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Минцифры (Министерство цифрового развития, связи и массовых коммуникаций)</w:t>
      </w:r>
    </w:p>
    <w:p>
      <w:pPr>
        <w:pStyle w:val="FirstParagraph"/>
      </w:pPr>
      <w:r>
        <w:t xml:space="preserve">Основные функции:</w:t>
      </w:r>
    </w:p>
    <w:p>
      <w:pPr>
        <w:pStyle w:val="BodyText"/>
      </w:pPr>
      <w:r>
        <w:t xml:space="preserve">-Разрабатывает стратегии развития ИБ (например,</w:t>
      </w:r>
      <w:r>
        <w:t xml:space="preserve"> </w:t>
      </w:r>
      <w:r>
        <w:t xml:space="preserve">“</w:t>
      </w:r>
      <w:r>
        <w:t xml:space="preserve">Стратегия кибербезопасности РФ до 2030 года</w:t>
      </w:r>
      <w:r>
        <w:t xml:space="preserve">”</w:t>
      </w:r>
      <w:r>
        <w:t xml:space="preserve">)</w:t>
      </w:r>
      <w:r>
        <w:t xml:space="preserve"> </w:t>
      </w:r>
      <w:r>
        <w:t xml:space="preserve">-Координирует цифровизацию госуслуг с учетом требований безопасности</w:t>
      </w:r>
      <w:r>
        <w:t xml:space="preserve"> </w:t>
      </w:r>
      <w:r>
        <w:t xml:space="preserve">-Участвует в создании законопроектов (например, о регулировании ИИ)</w:t>
      </w:r>
      <w:r>
        <w:t xml:space="preserve"> </w:t>
      </w:r>
      <w:r>
        <w:t xml:space="preserve">-Внедряет новые технологии защиты (квантовая криптография, биометрия)</w:t>
      </w:r>
    </w:p>
    <w:p>
      <w:pPr>
        <w:pStyle w:val="BodyText"/>
      </w:pPr>
      <w:r>
        <w:t xml:space="preserve">Пример: Минцифры инициировало закон о защите данных в системах с искусственным интеллектом.</w:t>
      </w:r>
    </w:p>
    <w:bookmarkEnd w:id="30"/>
    <w:bookmarkEnd w:id="31"/>
    <w:bookmarkStart w:id="35" w:name="X4b7b6565f0ba8accacc1d7fde1ce6ed2767799f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Проблемы и перспективы развития законодательства в сфере ИБ</w:t>
      </w:r>
    </w:p>
    <w:bookmarkStart w:id="32" w:name="X5411cf14364d4518cf46045e810891a141f34e2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Стремительное развитие технологий (ИИ, квантовые вычисления)</w:t>
      </w:r>
    </w:p>
    <w:p>
      <w:pPr>
        <w:pStyle w:val="FirstParagraph"/>
      </w:pPr>
      <w:r>
        <w:t xml:space="preserve">Проблемы:</w:t>
      </w:r>
    </w:p>
    <w:p>
      <w:pPr>
        <w:pStyle w:val="BodyText"/>
      </w:pPr>
      <w:r>
        <w:t xml:space="preserve">-Отставание нормативной базы: Законы не успевают адаптироваться к новым угрозам (например, deepfake-мошенничество или атаки с использованием ИИ).</w:t>
      </w:r>
      <w:r>
        <w:t xml:space="preserve"> </w:t>
      </w:r>
      <w:r>
        <w:t xml:space="preserve">-Неопределенность регулирования: Отсутствие четких норм для квантовой криптографии, нейросетей и IoT-устройств.</w:t>
      </w:r>
      <w:r>
        <w:t xml:space="preserve"> </w:t>
      </w:r>
      <w:r>
        <w:t xml:space="preserve">-Пример: ChatGPT и аналогичные ИИ-сервисы могут генерировать вредоносный код, но меры противодействия в 149-ФЗ не прописаны.</w:t>
      </w:r>
    </w:p>
    <w:p>
      <w:pPr>
        <w:pStyle w:val="BodyText"/>
      </w:pPr>
      <w:r>
        <w:t xml:space="preserve">Пути решения:</w:t>
      </w:r>
    </w:p>
    <w:p>
      <w:pPr>
        <w:pStyle w:val="BodyText"/>
      </w:pPr>
      <w:r>
        <w:t xml:space="preserve">-Создание</w:t>
      </w:r>
      <w:r>
        <w:t xml:space="preserve"> </w:t>
      </w:r>
      <w:r>
        <w:t xml:space="preserve">“</w:t>
      </w:r>
      <w:r>
        <w:t xml:space="preserve">регуляторных песочниц</w:t>
      </w:r>
      <w:r>
        <w:t xml:space="preserve">”</w:t>
      </w:r>
      <w:r>
        <w:t xml:space="preserve"> </w:t>
      </w:r>
      <w:r>
        <w:t xml:space="preserve">для тестирования новых технологий (пилотные проекты Минцифры).</w:t>
      </w:r>
      <w:r>
        <w:t xml:space="preserve"> </w:t>
      </w:r>
      <w:r>
        <w:t xml:space="preserve">-Гибкие поправки в законы (как в случае с криптовалютами).</w:t>
      </w:r>
    </w:p>
    <w:bookmarkEnd w:id="32"/>
    <w:bookmarkStart w:id="33" w:name="X56f59e1352be0a860d3c962c637c5969c7a0793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Недостаточная осведомленность бизнеса о требованиях безопасности</w:t>
      </w:r>
    </w:p>
    <w:p>
      <w:pPr>
        <w:pStyle w:val="FirstParagraph"/>
      </w:pPr>
      <w:r>
        <w:t xml:space="preserve">Проблемы:</w:t>
      </w:r>
    </w:p>
    <w:p>
      <w:pPr>
        <w:pStyle w:val="BodyText"/>
      </w:pPr>
      <w:r>
        <w:t xml:space="preserve">-Малый и средний бизнес часто игнорирует 152-ФЗ, считая его избыточным.</w:t>
      </w:r>
      <w:r>
        <w:t xml:space="preserve"> </w:t>
      </w:r>
      <w:r>
        <w:t xml:space="preserve">-Путаница в стандартах: Компании не различают требования ФСТЭК (Приказ № 239) и ФСБ (Приказ № 378).</w:t>
      </w:r>
      <w:r>
        <w:t xml:space="preserve"> </w:t>
      </w:r>
      <w:r>
        <w:t xml:space="preserve">Пример: Утечка данных в сети клиник (2023 г.) из-за отсутствия шифрования, хотя это прямое нарушение ст. 19 152-ФЗ.</w:t>
      </w:r>
    </w:p>
    <w:p>
      <w:pPr>
        <w:pStyle w:val="BodyText"/>
      </w:pPr>
      <w:r>
        <w:t xml:space="preserve">Пути решения:</w:t>
      </w:r>
    </w:p>
    <w:p>
      <w:pPr>
        <w:pStyle w:val="BodyText"/>
      </w:pPr>
      <w:r>
        <w:t xml:space="preserve">-Обязательные обучающие программы для ИТ-специалистов (инициатива Роскомнадзора).</w:t>
      </w:r>
      <w:r>
        <w:t xml:space="preserve"> </w:t>
      </w:r>
      <w:r>
        <w:t xml:space="preserve">-Упрощение нормативов для малого бизнеса (например, базовый чек-лист от Минцифры).</w:t>
      </w:r>
    </w:p>
    <w:bookmarkEnd w:id="33"/>
    <w:bookmarkStart w:id="34" w:name="Xab8299eae080bfbd0b149fdfc94c5e25a672cd8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Трудности в привлечении к ответственности киберпреступников</w:t>
      </w:r>
    </w:p>
    <w:p>
      <w:pPr>
        <w:pStyle w:val="FirstParagraph"/>
      </w:pPr>
      <w:r>
        <w:t xml:space="preserve">Проблемы:</w:t>
      </w:r>
    </w:p>
    <w:p>
      <w:pPr>
        <w:pStyle w:val="BodyText"/>
      </w:pPr>
      <w:r>
        <w:t xml:space="preserve">-Анонимность в DarkNet: 80% атак проводятся через TOR или VPN (данные ФСБ).</w:t>
      </w:r>
      <w:r>
        <w:t xml:space="preserve"> </w:t>
      </w:r>
      <w:r>
        <w:t xml:space="preserve">-Международный характер преступлений: Хакеры атакуют из-за рубежа, а экстрадиция почти невозможна.</w:t>
      </w:r>
      <w:r>
        <w:t xml:space="preserve"> </w:t>
      </w:r>
      <w:r>
        <w:t xml:space="preserve">Пример: Группировка LockBit, действующая из неизвестной юрисдикции, годами избегает правосудия.</w:t>
      </w:r>
    </w:p>
    <w:p>
      <w:pPr>
        <w:pStyle w:val="BodyText"/>
      </w:pPr>
      <w:r>
        <w:t xml:space="preserve">Пути решения:</w:t>
      </w:r>
    </w:p>
    <w:p>
      <w:pPr>
        <w:pStyle w:val="BodyText"/>
      </w:pPr>
      <w:r>
        <w:t xml:space="preserve">-Развитие международного сотрудничества (вступление в конвенции, обмен данными с INTERPOL).</w:t>
      </w:r>
      <w:r>
        <w:t xml:space="preserve"> </w:t>
      </w:r>
      <w:r>
        <w:t xml:space="preserve">-Технические меры: блокировка криптовалютных транзакций для вымогателей (опыт ЦБ РФ).</w:t>
      </w:r>
    </w:p>
    <w:bookmarkEnd w:id="34"/>
    <w:bookmarkEnd w:id="35"/>
    <w:bookmarkStart w:id="36" w:name="заключение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Законодательство РФ в сфере информационной безопасности развивается в ответ на растущие вызовы цифрового мира.</w:t>
      </w:r>
      <w:r>
        <w:t xml:space="preserve"> </w:t>
      </w:r>
      <w:r>
        <w:t xml:space="preserve">Основные тенденции включают усиление защиты персональных данных, контроль за критической инфраструктурой</w:t>
      </w:r>
      <w:r>
        <w:t xml:space="preserve"> </w:t>
      </w:r>
      <w:r>
        <w:t xml:space="preserve">и гармонизацию с международными стандартами. Однако, для повышения эффективности необходимо постоянно совершенствовать</w:t>
      </w:r>
      <w:r>
        <w:t xml:space="preserve"> </w:t>
      </w:r>
      <w:r>
        <w:t xml:space="preserve">нормативную базу, повышать уровень киберграмотности населения и бизнеса, а также усиливать международное сотрудничество.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законодательные акты РФ в сфере информационной безопасности, определили механизмы защиты информации, рассмотрели актуальные угрозы и способы их минимизации, а также оценили перспективы развития законодательства в данной сфере.</w:t>
      </w:r>
    </w:p>
    <w:bookmarkEnd w:id="37"/>
    <w:bookmarkStart w:id="38" w:name="список-источников"/>
    <w:p>
      <w:pPr>
        <w:pStyle w:val="Heading1"/>
      </w:pPr>
      <w:r>
        <w:t xml:space="preserve">Список источников</w:t>
      </w:r>
    </w:p>
    <w:p>
      <w:pPr>
        <w:pStyle w:val="Compact"/>
        <w:numPr>
          <w:ilvl w:val="0"/>
          <w:numId w:val="1006"/>
        </w:numPr>
      </w:pPr>
      <w:r>
        <w:t xml:space="preserve">Конституция РФ – http://www.consultant.ru/document/cons_doc_LAW_28399/</w:t>
      </w:r>
    </w:p>
    <w:p>
      <w:pPr>
        <w:pStyle w:val="Compact"/>
        <w:numPr>
          <w:ilvl w:val="0"/>
          <w:numId w:val="1006"/>
        </w:numPr>
      </w:pPr>
      <w:r>
        <w:t xml:space="preserve">Федеральный закон №149-ФЗ – http://www.consultant.ru/document/cons_doc_LAW_61798/</w:t>
      </w:r>
    </w:p>
    <w:p>
      <w:pPr>
        <w:pStyle w:val="Compact"/>
        <w:numPr>
          <w:ilvl w:val="0"/>
          <w:numId w:val="1006"/>
        </w:numPr>
      </w:pPr>
      <w:r>
        <w:t xml:space="preserve">Федеральный закон №152-ФЗ – http://www.consultant.ru/document/cons_doc_LAW_61801/</w:t>
      </w:r>
    </w:p>
    <w:p>
      <w:pPr>
        <w:pStyle w:val="Compact"/>
        <w:numPr>
          <w:ilvl w:val="0"/>
          <w:numId w:val="1006"/>
        </w:numPr>
      </w:pPr>
      <w:r>
        <w:t xml:space="preserve">Официальный сайт ФСТЭК – https://fstec.ru/</w:t>
      </w:r>
    </w:p>
    <w:p>
      <w:pPr>
        <w:pStyle w:val="Compact"/>
        <w:numPr>
          <w:ilvl w:val="0"/>
          <w:numId w:val="1006"/>
        </w:numPr>
      </w:pPr>
      <w:r>
        <w:t xml:space="preserve">Официальный сайт Роскомнадзора – https://rkn.gov.ru/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 на тему ‘Законодательный уровень информационной безопасности’</dc:title>
  <dc:creator>Закиров Нурислам Дамирович</dc:creator>
  <dc:language>ru-RU</dc:language>
  <cp:keywords/>
  <dcterms:created xsi:type="dcterms:W3CDTF">2025-04-02T15:51:41Z</dcterms:created>
  <dcterms:modified xsi:type="dcterms:W3CDTF">2025-04-02T15:51:41Z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