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настройка операционной системы.</w:t>
      </w:r>
    </w:p>
    <w:p>
      <w:pPr>
        <w:pStyle w:val="Compact"/>
        <w:numPr>
          <w:ilvl w:val="0"/>
          <w:numId w:val="1001"/>
        </w:numPr>
      </w:pPr>
      <w:r>
        <w:t xml:space="preserve">Найти следующую информацию:</w:t>
      </w:r>
    </w:p>
    <w:p>
      <w:pPr>
        <w:pStyle w:val="Compact"/>
        <w:numPr>
          <w:ilvl w:val="1"/>
          <w:numId w:val="1002"/>
        </w:numPr>
      </w:pPr>
      <w:r>
        <w:t xml:space="preserve">Версия ядра Linux (Linux version).</w:t>
      </w:r>
    </w:p>
    <w:p>
      <w:pPr>
        <w:pStyle w:val="Compact"/>
        <w:numPr>
          <w:ilvl w:val="1"/>
          <w:numId w:val="1002"/>
        </w:numPr>
      </w:pPr>
      <w:r>
        <w:t xml:space="preserve">Частота процессора (Detected Mhz processor).</w:t>
      </w:r>
    </w:p>
    <w:p>
      <w:pPr>
        <w:pStyle w:val="Compact"/>
        <w:numPr>
          <w:ilvl w:val="1"/>
          <w:numId w:val="1002"/>
        </w:numPr>
      </w:pPr>
      <w:r>
        <w:t xml:space="preserve">Модель процессора (CPU0).</w:t>
      </w:r>
    </w:p>
    <w:p>
      <w:pPr>
        <w:pStyle w:val="Compact"/>
        <w:numPr>
          <w:ilvl w:val="1"/>
          <w:numId w:val="1002"/>
        </w:numPr>
      </w:pPr>
      <w:r>
        <w:t xml:space="preserve">Объем доступной оперативной памяти (Memory available).</w:t>
      </w:r>
    </w:p>
    <w:p>
      <w:pPr>
        <w:pStyle w:val="Compact"/>
        <w:numPr>
          <w:ilvl w:val="1"/>
          <w:numId w:val="1002"/>
        </w:numPr>
      </w:pPr>
      <w:r>
        <w:t xml:space="preserve">Тип обнаруженного гипервизора (Hypervisor detected).</w:t>
      </w:r>
    </w:p>
    <w:p>
      <w:pPr>
        <w:pStyle w:val="Compact"/>
        <w:numPr>
          <w:ilvl w:val="1"/>
          <w:numId w:val="1002"/>
        </w:numPr>
      </w:pPr>
      <w:r>
        <w:t xml:space="preserve">Тип файловой системы корневого раздела.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новую виртуальную машину в VirtualBox, выбираю имя, местоположение и образ ISO, устанавливать будем операционную систему Rocku DVD (рис. 1).</w:t>
      </w:r>
    </w:p>
    <w:p>
      <w:pPr>
        <w:pStyle w:val="CaptionedFigure"/>
      </w:pPr>
      <w:r>
        <w:drawing>
          <wp:inline>
            <wp:extent cx="3733800" cy="2170298"/>
            <wp:effectExtent b="0" l="0" r="0" t="0"/>
            <wp:docPr descr="Окно создания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создания виртуальной машины</w:t>
      </w:r>
    </w:p>
    <w:p>
      <w:pPr>
        <w:pStyle w:val="BodyText"/>
      </w:pPr>
      <w:r>
        <w:t xml:space="preserve">Выбираю имя пользователя и имя хоста (рис. 2).</w:t>
      </w:r>
    </w:p>
    <w:p>
      <w:pPr>
        <w:pStyle w:val="CaptionedFigure"/>
      </w:pPr>
      <w:r>
        <w:drawing>
          <wp:inline>
            <wp:extent cx="3733800" cy="2130409"/>
            <wp:effectExtent b="0" l="0" r="0" t="0"/>
            <wp:docPr descr="Окно установки гостевой 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установки гостевой ОС</w:t>
      </w:r>
    </w:p>
    <w:p>
      <w:pPr>
        <w:pStyle w:val="BodyText"/>
      </w:pPr>
      <w:r>
        <w:t xml:space="preserve">Выставляю основной памяти размер 2048 Мб, выбираю 3 процессора (рис. 3).</w:t>
      </w:r>
    </w:p>
    <w:p>
      <w:pPr>
        <w:pStyle w:val="CaptionedFigure"/>
      </w:pPr>
      <w:r>
        <w:drawing>
          <wp:inline>
            <wp:extent cx="3733800" cy="2167578"/>
            <wp:effectExtent b="0" l="0" r="0" t="0"/>
            <wp:docPr descr="Окно выбора основных характеристик для гостевой 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выбора основных характеристик для гостевой ОС</w:t>
      </w:r>
    </w:p>
    <w:p>
      <w:pPr>
        <w:pStyle w:val="BodyText"/>
      </w:pPr>
      <w:r>
        <w:t xml:space="preserve">Выделаю 20 Гб памяти на виртуальном жестком диске (рис. 4).</w:t>
      </w:r>
    </w:p>
    <w:p>
      <w:pPr>
        <w:pStyle w:val="CaptionedFigure"/>
      </w:pPr>
      <w:r>
        <w:drawing>
          <wp:inline>
            <wp:extent cx="3733800" cy="2139342"/>
            <wp:effectExtent b="0" l="0" r="0" t="0"/>
            <wp:docPr descr="Окно выбора объема памят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выбора объема памяти</w:t>
      </w:r>
    </w:p>
    <w:p>
      <w:pPr>
        <w:pStyle w:val="BodyText"/>
      </w:pPr>
      <w:r>
        <w:t xml:space="preserve">Соглашаюсь с проставленными настройками (рис. 5).</w:t>
      </w:r>
    </w:p>
    <w:p>
      <w:pPr>
        <w:pStyle w:val="CaptionedFigure"/>
      </w:pPr>
      <w:r>
        <w:drawing>
          <wp:inline>
            <wp:extent cx="3733800" cy="2106705"/>
            <wp:effectExtent b="0" l="0" r="0" t="0"/>
            <wp:docPr descr="Итоговые настройк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Итоговые настройки</w:t>
      </w:r>
    </w:p>
    <w:p>
      <w:pPr>
        <w:pStyle w:val="BodyText"/>
      </w:pPr>
      <w:r>
        <w:t xml:space="preserve">Начинается загрузка операционной системы (рис. 6).</w:t>
      </w:r>
    </w:p>
    <w:p>
      <w:pPr>
        <w:pStyle w:val="CaptionedFigure"/>
      </w:pPr>
      <w:r>
        <w:drawing>
          <wp:inline>
            <wp:extent cx="3733800" cy="2794658"/>
            <wp:effectExtent b="0" l="0" r="0" t="0"/>
            <wp:docPr descr="Загруза операционной системы Rocky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Загруза операционной системы Rocky</w:t>
      </w:r>
    </w:p>
    <w:p>
      <w:pPr>
        <w:pStyle w:val="BodyText"/>
      </w:pPr>
      <w:r>
        <w:t xml:space="preserve">При этом проверяю, что подключен в носителях образ диска! (рис. 7).</w:t>
      </w:r>
    </w:p>
    <w:p>
      <w:pPr>
        <w:pStyle w:val="CaptionedFigure"/>
      </w:pPr>
      <w:r>
        <w:drawing>
          <wp:inline>
            <wp:extent cx="3733800" cy="2478778"/>
            <wp:effectExtent b="0" l="0" r="0" t="0"/>
            <wp:docPr descr="Подключенные носител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Подключенные носители</w:t>
      </w:r>
    </w:p>
    <w:p>
      <w:pPr>
        <w:pStyle w:val="BodyText"/>
      </w:pPr>
      <w:r>
        <w:t xml:space="preserve">Выбираю язык установки (рис. 8).</w:t>
      </w:r>
    </w:p>
    <w:p>
      <w:pPr>
        <w:pStyle w:val="CaptionedFigure"/>
      </w:pPr>
      <w:r>
        <w:drawing>
          <wp:inline>
            <wp:extent cx="3733800" cy="2318429"/>
            <wp:effectExtent b="0" l="0" r="0" t="0"/>
            <wp:docPr descr="Выбор языка установки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Выбор языка установки</w:t>
      </w:r>
    </w:p>
    <w:p>
      <w:pPr>
        <w:pStyle w:val="BodyText"/>
      </w:pPr>
      <w:r>
        <w:t xml:space="preserve">В обзоре установки будем проверять все настройки и менять на нужные (рис. 9).</w:t>
      </w:r>
    </w:p>
    <w:p>
      <w:pPr>
        <w:pStyle w:val="CaptionedFigure"/>
      </w:pPr>
      <w:r>
        <w:drawing>
          <wp:inline>
            <wp:extent cx="3733800" cy="2359412"/>
            <wp:effectExtent b="0" l="0" r="0" t="0"/>
            <wp:docPr descr="Окно настроек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настроек</w:t>
      </w:r>
    </w:p>
    <w:p>
      <w:pPr>
        <w:pStyle w:val="BodyText"/>
      </w:pPr>
      <w:r>
        <w:t xml:space="preserve">Язык раскладки должен быть русский и английский (рис. 10).</w:t>
      </w:r>
    </w:p>
    <w:p>
      <w:pPr>
        <w:pStyle w:val="CaptionedFigure"/>
      </w:pPr>
      <w:r>
        <w:drawing>
          <wp:inline>
            <wp:extent cx="3733800" cy="2291659"/>
            <wp:effectExtent b="0" l="0" r="0" t="0"/>
            <wp:docPr descr="Выбор раскладки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Выбор раскладки</w:t>
      </w:r>
    </w:p>
    <w:p>
      <w:pPr>
        <w:pStyle w:val="BodyText"/>
      </w:pPr>
      <w:r>
        <w:t xml:space="preserve">Для пользователя так же делаю пароль и делаю этого пользователя администратором (рис. 13).</w:t>
      </w:r>
    </w:p>
    <w:p>
      <w:pPr>
        <w:pStyle w:val="CaptionedFigure"/>
      </w:pPr>
      <w:r>
        <w:drawing>
          <wp:inline>
            <wp:extent cx="3733800" cy="1487753"/>
            <wp:effectExtent b="0" l="0" r="0" t="0"/>
            <wp:docPr descr="Настройка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пользователя</w:t>
      </w:r>
    </w:p>
    <w:p>
      <w:pPr>
        <w:pStyle w:val="BodyText"/>
      </w:pPr>
      <w:r>
        <w:t xml:space="preserve">В соответствии с требованием лабораторной работы выбираю окружение сервер с GUB и средства разработки в дополнительном программном обеспечении (рис. 14).</w:t>
      </w:r>
    </w:p>
    <w:p>
      <w:pPr>
        <w:pStyle w:val="CaptionedFigure"/>
      </w:pPr>
      <w:r>
        <w:drawing>
          <wp:inline>
            <wp:extent cx="3733800" cy="1438978"/>
            <wp:effectExtent b="0" l="0" r="0" t="0"/>
            <wp:docPr descr="Выбор окружен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Выбор окружения</w:t>
      </w:r>
    </w:p>
    <w:p>
      <w:pPr>
        <w:pStyle w:val="BodyText"/>
      </w:pPr>
      <w:r>
        <w:t xml:space="preserve">Отключаю kdump (рис. 15).</w:t>
      </w:r>
    </w:p>
    <w:p>
      <w:pPr>
        <w:pStyle w:val="CaptionedFigure"/>
      </w:pPr>
      <w:r>
        <w:drawing>
          <wp:inline>
            <wp:extent cx="3733800" cy="1357745"/>
            <wp:effectExtent b="0" l="0" r="0" t="0"/>
            <wp:docPr descr="Отключение kdump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Отключение kdump</w:t>
      </w:r>
    </w:p>
    <w:p>
      <w:pPr>
        <w:pStyle w:val="BodyText"/>
      </w:pPr>
      <w:r>
        <w:t xml:space="preserve">Проверяю сеть, указываю имя узла в соответствии с соглашением об именовании (рис. 16).</w:t>
      </w:r>
    </w:p>
    <w:p>
      <w:pPr>
        <w:pStyle w:val="CaptionedFigure"/>
      </w:pPr>
      <w:r>
        <w:drawing>
          <wp:inline>
            <wp:extent cx="3733800" cy="2281766"/>
            <wp:effectExtent b="0" l="0" r="0" t="0"/>
            <wp:docPr descr="Выбор сети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Выбор сети</w:t>
      </w:r>
    </w:p>
    <w:p>
      <w:pPr>
        <w:pStyle w:val="BodyText"/>
      </w:pPr>
      <w:r>
        <w:t xml:space="preserve">Начало установки (рис. 17).</w:t>
      </w:r>
    </w:p>
    <w:p>
      <w:pPr>
        <w:pStyle w:val="CaptionedFigure"/>
      </w:pPr>
      <w:r>
        <w:drawing>
          <wp:inline>
            <wp:extent cx="3733800" cy="2326355"/>
            <wp:effectExtent b="0" l="0" r="0" t="0"/>
            <wp:docPr descr="Установк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</w:t>
      </w:r>
    </w:p>
    <w:p>
      <w:pPr>
        <w:pStyle w:val="BodyText"/>
      </w:pPr>
      <w:r>
        <w:t xml:space="preserve">После заврешения установки образ диска сам пропадет из носителей, но на всякий случай проверяем это (рис. 18).</w:t>
      </w:r>
    </w:p>
    <w:p>
      <w:pPr>
        <w:pStyle w:val="CaptionedFigure"/>
      </w:pPr>
      <w:r>
        <w:drawing>
          <wp:inline>
            <wp:extent cx="3733800" cy="2343600"/>
            <wp:effectExtent b="0" l="0" r="0" t="0"/>
            <wp:docPr descr="Проверка носителей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носителей</w:t>
      </w:r>
    </w:p>
    <w:p>
      <w:pPr>
        <w:pStyle w:val="BodyText"/>
      </w:pPr>
      <w:r>
        <w:t xml:space="preserve">После установки при запуске операционной системы появляется окно выбора пользователя (рис. 19).</w:t>
      </w:r>
    </w:p>
    <w:p>
      <w:pPr>
        <w:pStyle w:val="CaptionedFigure"/>
      </w:pPr>
      <w:r>
        <w:drawing>
          <wp:inline>
            <wp:extent cx="3733800" cy="2306944"/>
            <wp:effectExtent b="0" l="0" r="0" t="0"/>
            <wp:docPr descr="Окно входа в операционную систему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Окно входа в операционную систему</w:t>
      </w:r>
    </w:p>
    <w:bookmarkEnd w:id="73"/>
    <w:bookmarkStart w:id="98" w:name="выполнение-дополнительного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Открываю терминал, в нем прописываю dmesg | less (рис. 20).</w:t>
      </w:r>
    </w:p>
    <w:p>
      <w:pPr>
        <w:pStyle w:val="CaptionedFigure"/>
      </w:pPr>
      <w:r>
        <w:drawing>
          <wp:inline>
            <wp:extent cx="3733800" cy="592960"/>
            <wp:effectExtent b="0" l="0" r="0" t="0"/>
            <wp:docPr descr="Окно терминала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Окно терминала</w:t>
      </w:r>
    </w:p>
    <w:p>
      <w:pPr>
        <w:pStyle w:val="BodyText"/>
      </w:pPr>
      <w:r>
        <w:t xml:space="preserve">Версия ядра 4.18.0-553.el8_10.x86_64 (рис. 21).</w:t>
      </w:r>
    </w:p>
    <w:p>
      <w:pPr>
        <w:pStyle w:val="CaptionedFigure"/>
      </w:pPr>
      <w:r>
        <w:drawing>
          <wp:inline>
            <wp:extent cx="3733800" cy="226290"/>
            <wp:effectExtent b="0" l="0" r="0" t="0"/>
            <wp:docPr descr="Версия ядра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Версия ядра</w:t>
      </w:r>
    </w:p>
    <w:p>
      <w:pPr>
        <w:pStyle w:val="BodyText"/>
      </w:pPr>
      <w:r>
        <w:t xml:space="preserve">Частота процессора 2096.064 МГц (рис. 22).</w:t>
      </w:r>
    </w:p>
    <w:p>
      <w:pPr>
        <w:pStyle w:val="CaptionedFigure"/>
      </w:pPr>
      <w:r>
        <w:drawing>
          <wp:inline>
            <wp:extent cx="3733800" cy="526760"/>
            <wp:effectExtent b="0" l="0" r="0" t="0"/>
            <wp:docPr descr="Частота процессора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Частота процессора</w:t>
      </w:r>
    </w:p>
    <w:p>
      <w:pPr>
        <w:pStyle w:val="BodyText"/>
      </w:pPr>
      <w:r>
        <w:t xml:space="preserve">Модель процессора AMD Ryzen 5 3500U (рис. 23).</w:t>
      </w:r>
    </w:p>
    <w:p>
      <w:pPr>
        <w:pStyle w:val="CaptionedFigure"/>
      </w:pPr>
      <w:r>
        <w:drawing>
          <wp:inline>
            <wp:extent cx="3733800" cy="435701"/>
            <wp:effectExtent b="0" l="0" r="0" t="0"/>
            <wp:docPr descr="Модель процессора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процессора</w:t>
      </w:r>
    </w:p>
    <w:p>
      <w:pPr>
        <w:pStyle w:val="BodyText"/>
      </w:pPr>
      <w:r>
        <w:t xml:space="preserve">Доступно 261120 Кб из 2096696 Кб (рис. 24).</w:t>
      </w:r>
    </w:p>
    <w:p>
      <w:pPr>
        <w:pStyle w:val="CaptionedFigure"/>
      </w:pPr>
      <w:r>
        <w:drawing>
          <wp:inline>
            <wp:extent cx="3733800" cy="1343290"/>
            <wp:effectExtent b="0" l="0" r="0" t="0"/>
            <wp:docPr descr="Объем доступной оперативной памяти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Объем доступной оперативной памяти</w:t>
      </w:r>
    </w:p>
    <w:p>
      <w:pPr>
        <w:pStyle w:val="BodyText"/>
      </w:pPr>
      <w:r>
        <w:t xml:space="preserve">Обнаруженный гипервизор типа KVM (рис. 25).</w:t>
      </w:r>
    </w:p>
    <w:p>
      <w:pPr>
        <w:pStyle w:val="CaptionedFigure"/>
      </w:pPr>
      <w:r>
        <w:drawing>
          <wp:inline>
            <wp:extent cx="3733800" cy="544285"/>
            <wp:effectExtent b="0" l="0" r="0" t="0"/>
            <wp:docPr descr="Тип обнаруженного гипервизора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Тип обнаруженного гипервизора</w:t>
      </w:r>
    </w:p>
    <w:p>
      <w:pPr>
        <w:pStyle w:val="BodyText"/>
      </w:pPr>
      <w:r>
        <w:t xml:space="preserve">sudo fdish -l показывает тип файловой системы, типа Linux, Linux LVM (рис. 26).</w:t>
      </w:r>
    </w:p>
    <w:p>
      <w:pPr>
        <w:pStyle w:val="CaptionedFigure"/>
      </w:pPr>
      <w:r>
        <w:drawing>
          <wp:inline>
            <wp:extent cx="3733800" cy="1850571"/>
            <wp:effectExtent b="0" l="0" r="0" t="0"/>
            <wp:docPr descr="Тип файловой системы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Тип файловой системы</w:t>
      </w:r>
    </w:p>
    <w:p>
      <w:pPr>
        <w:pStyle w:val="BodyText"/>
      </w:pPr>
      <w:r>
        <w:t xml:space="preserve">Далее показана последовательно монтирования файловых систем (рис. 27).</w:t>
      </w:r>
    </w:p>
    <w:p>
      <w:pPr>
        <w:pStyle w:val="CaptionedFigure"/>
      </w:pPr>
      <w:r>
        <w:drawing>
          <wp:inline>
            <wp:extent cx="3733800" cy="854065"/>
            <wp:effectExtent b="0" l="0" r="0" t="0"/>
            <wp:docPr descr="Последовательность монтирования файловых систем" title="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Последовательность монтирования файловых систем</w:t>
      </w:r>
    </w:p>
    <w:bookmarkEnd w:id="98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3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—help;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3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3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3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Закиров Нурислам, НКАбд-01-23</dc:creator>
  <dc:language>ru-RU</dc:language>
  <cp:keywords/>
  <dcterms:created xsi:type="dcterms:W3CDTF">2025-02-22T13:50:35Z</dcterms:created>
  <dcterms:modified xsi:type="dcterms:W3CDTF">2025-02-22T13:50:35Z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