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ЛЗ 6. Вероятностный прогноз сроков MVP «Практики» (Монте-Карло)</w:t>
      </w:r>
    </w:p>
    <w:p>
      <w:r>
        <w:t>Управление IT-проектами · Неделя 6 · 4 курс бакалавриата · осень 2026</w:t>
      </w:r>
    </w:p>
    <w:p>
      <w:r>
        <w:t>Артефакты ЗС 6: notebook с симуляцией и графиками (analytics/monte_carlo.ipynb в репозитории, выполнен, воспроизводим) и слайд «Когда будет готово» для заказчика (часть 5). Покер планирования — часть 4.</w:t>
      </w:r>
    </w:p>
    <w:p>
      <w:r>
        <w:rPr>
          <w:i/>
        </w:rPr>
        <w:t>Главный вывод: MVP будет готов к 07.03.2027 с вероятностью 50 % и к 02.05.2027 с вероятностью 85 %. Запуск 01.02.2027 при текущем плане — 24%.</w:t>
      </w:r>
    </w:p>
    <w:p>
      <w:pPr>
        <w:pStyle w:val="Heading1"/>
      </w:pPr>
      <w:r>
        <w:t>Часть 1. Исторические данные throughput</w:t>
      </w:r>
    </w:p>
    <w:p>
      <w:r>
        <w:t>Своей истории у команды ещё нет — спринты начнутся в ЗС 9. Задание разрешает взять открытый репозиторий GitHub. Мы выбрали jazzband/pip-tools: задачи там закрывает небольшая команда волонтёров, которые занимаются проектом в свободное время, как и мы между другими предметами. Крупные проекты с оплачиваемой командой закрывают 20–50 задач в неделю и дали бы бессмысленно оптимистичный прогноз.</w:t>
      </w:r>
    </w:p>
    <w:p>
      <w:pPr>
        <w:pStyle w:val="ListBullet"/>
      </w:pPr>
      <w:r>
        <w:t>Период: 06.10.2025 – 04.10.2026 (52 недели), закрыто 48 задач, в среднем 0,92 в неделю.</w:t>
      </w:r>
    </w:p>
    <w:p>
      <w:pPr>
        <w:pStyle w:val="ListBullet"/>
      </w:pPr>
      <w:r>
        <w:t>Недель без единой закрытой задачи: 62%. Throughput неровный: длинные паузы и всплески до 9 задач.</w:t>
      </w:r>
    </w:p>
    <w:p>
      <w:pPr>
        <w:pStyle w:val="ListBullet"/>
      </w:pPr>
      <w:r>
        <w:t>Считаем только issues, закрытые как выполненные: без pull request, дублей и «не будем делать».</w:t>
      </w:r>
    </w:p>
    <w:p>
      <w:pPr>
        <w:pStyle w:val="ListBullet"/>
      </w:pPr>
      <w:r>
        <w:t>Снимок выгружен скриптом analytics/fetch_throughput.py и лежит в репозитории, поэтому расчёт повторяется без интернета.</w:t>
      </w:r>
    </w:p>
    <w:p>
      <w:r>
        <w:drawing>
          <wp:inline xmlns:a="http://schemas.openxmlformats.org/drawingml/2006/main" xmlns:pic="http://schemas.openxmlformats.org/drawingml/2006/picture">
            <wp:extent cx="5940000" cy="213347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-throughpu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1334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>Рис. 1. Закрытые задачи по неделям, jazzband/pip-tools</w:t>
      </w:r>
    </w:p>
    <w:p>
      <w:pPr>
        <w:pStyle w:val="Heading1"/>
      </w:pPr>
      <w:r>
        <w:t>Часть 2. Симуляция и результат</w:t>
      </w:r>
    </w:p>
    <w:p>
      <w:r>
        <w:t>Бэклог MVP — 13 историй (51 SP) релизов «ходячий скелет» и «MVP» из ЛЗ 4. В каждом из 10 000 прогонов идём по календарю с 12.10.2026. Для каждой недели случайно берём неделю из истории и учитываем календарь команды из ЛЗ 5: в неделю рубежного контроля работаем примерно вполовину, в сессию — ноль, на каникулах — 80 %. Прогон заканчивается, когда закрыты все истории. Генератор случайных чисел зафиксирован (seed 2026), поэтому результат воспроизводим.</w:t>
      </w:r>
    </w:p>
    <w:p>
      <w:r>
        <w:drawing>
          <wp:inline xmlns:a="http://schemas.openxmlformats.org/drawingml/2006/main" xmlns:pic="http://schemas.openxmlformats.org/drawingml/2006/picture">
            <wp:extent cx="5940000" cy="194821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-forecas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9482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>Рис. 2. Гистограмма даты готовности и кумулятивная кривая вероятности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  <w:shd w:val="clear" w:color="auto" w:fill="DDEBF7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Сценарий</w:t>
            </w:r>
          </w:p>
        </w:tc>
        <w:tc>
          <w:tcPr>
            <w:tcW w:type="dxa" w:w="1337"/>
            <w:shd w:val="clear" w:color="auto" w:fill="DDEBF7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P50</w:t>
            </w:r>
          </w:p>
        </w:tc>
        <w:tc>
          <w:tcPr>
            <w:tcW w:type="dxa" w:w="1337"/>
            <w:shd w:val="clear" w:color="auto" w:fill="DDEBF7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P70</w:t>
            </w:r>
          </w:p>
        </w:tc>
        <w:tc>
          <w:tcPr>
            <w:tcW w:type="dxa" w:w="1337"/>
            <w:shd w:val="clear" w:color="auto" w:fill="DDEBF7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P85</w:t>
            </w:r>
          </w:p>
        </w:tc>
        <w:tc>
          <w:tcPr>
            <w:tcW w:type="dxa" w:w="1337"/>
            <w:shd w:val="clear" w:color="auto" w:fill="DDEBF7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P95</w:t>
            </w:r>
          </w:p>
        </w:tc>
        <w:tc>
          <w:tcPr>
            <w:tcW w:type="dxa" w:w="1337"/>
            <w:shd w:val="clear" w:color="auto" w:fill="DDEBF7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Успеть к M3 (18.12)</w:t>
            </w:r>
          </w:p>
        </w:tc>
        <w:tc>
          <w:tcPr>
            <w:tcW w:type="dxa" w:w="1337"/>
            <w:shd w:val="clear" w:color="auto" w:fill="DDEBF7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Успеть к M4 (01.02)</w:t>
            </w:r>
          </w:p>
        </w:tc>
      </w:tr>
      <w:tr>
        <w:tc>
          <w:tcPr>
            <w:tcW w:type="dxa" w:w="1337"/>
          </w:tcPr>
          <w:p>
            <w:r>
              <w:rPr>
                <w:sz w:val="19"/>
              </w:rPr>
              <w:t>MVP, 13 историй</w:t>
            </w:r>
          </w:p>
        </w:tc>
        <w:tc>
          <w:tcPr>
            <w:tcW w:type="dxa" w:w="1337"/>
          </w:tcPr>
          <w:p>
            <w:r>
              <w:rPr>
                <w:sz w:val="19"/>
              </w:rPr>
              <w:t>07.03.2027</w:t>
            </w:r>
          </w:p>
        </w:tc>
        <w:tc>
          <w:tcPr>
            <w:tcW w:type="dxa" w:w="1337"/>
          </w:tcPr>
          <w:p>
            <w:r>
              <w:rPr>
                <w:sz w:val="19"/>
              </w:rPr>
              <w:t>28.03.2027</w:t>
            </w:r>
          </w:p>
        </w:tc>
        <w:tc>
          <w:tcPr>
            <w:tcW w:type="dxa" w:w="1337"/>
          </w:tcPr>
          <w:p>
            <w:r>
              <w:rPr>
                <w:sz w:val="19"/>
              </w:rPr>
              <w:t>02.05.2027</w:t>
            </w:r>
          </w:p>
        </w:tc>
        <w:tc>
          <w:tcPr>
            <w:tcW w:type="dxa" w:w="1337"/>
          </w:tcPr>
          <w:p>
            <w:r>
              <w:rPr>
                <w:sz w:val="19"/>
              </w:rPr>
              <w:t>06.06.2027</w:t>
            </w:r>
          </w:p>
        </w:tc>
        <w:tc>
          <w:tcPr>
            <w:tcW w:type="dxa" w:w="1337"/>
          </w:tcPr>
          <w:p>
            <w:r>
              <w:rPr>
                <w:sz w:val="19"/>
              </w:rPr>
              <w:t>14%</w:t>
            </w:r>
          </w:p>
        </w:tc>
        <w:tc>
          <w:tcPr>
            <w:tcW w:type="dxa" w:w="1337"/>
          </w:tcPr>
          <w:p>
            <w:r>
              <w:rPr>
                <w:sz w:val="19"/>
              </w:rPr>
              <w:t>24%</w:t>
            </w:r>
          </w:p>
        </w:tc>
      </w:tr>
      <w:tr>
        <w:tc>
          <w:tcPr>
            <w:tcW w:type="dxa" w:w="1337"/>
          </w:tcPr>
          <w:p>
            <w:r>
              <w:rPr>
                <w:sz w:val="19"/>
              </w:rPr>
              <w:t>MVP после CR-001, 12</w:t>
            </w:r>
          </w:p>
        </w:tc>
        <w:tc>
          <w:tcPr>
            <w:tcW w:type="dxa" w:w="1337"/>
          </w:tcPr>
          <w:p>
            <w:r>
              <w:rPr>
                <w:sz w:val="19"/>
              </w:rPr>
              <w:t>28.02.2027</w:t>
            </w:r>
          </w:p>
        </w:tc>
        <w:tc>
          <w:tcPr>
            <w:tcW w:type="dxa" w:w="1337"/>
          </w:tcPr>
          <w:p>
            <w:r>
              <w:rPr>
                <w:sz w:val="19"/>
              </w:rPr>
              <w:t>21.03.2027</w:t>
            </w:r>
          </w:p>
        </w:tc>
        <w:tc>
          <w:tcPr>
            <w:tcW w:type="dxa" w:w="1337"/>
          </w:tcPr>
          <w:p>
            <w:r>
              <w:rPr>
                <w:sz w:val="19"/>
              </w:rPr>
              <w:t>18.04.2027</w:t>
            </w:r>
          </w:p>
        </w:tc>
        <w:tc>
          <w:tcPr>
            <w:tcW w:type="dxa" w:w="1337"/>
          </w:tcPr>
          <w:p>
            <w:r>
              <w:rPr>
                <w:sz w:val="19"/>
              </w:rPr>
              <w:t>23.05.2027</w:t>
            </w:r>
          </w:p>
        </w:tc>
        <w:tc>
          <w:tcPr>
            <w:tcW w:type="dxa" w:w="1337"/>
          </w:tcPr>
          <w:p>
            <w:r>
              <w:rPr>
                <w:sz w:val="19"/>
              </w:rPr>
              <w:t>18%</w:t>
            </w:r>
          </w:p>
        </w:tc>
        <w:tc>
          <w:tcPr>
            <w:tcW w:type="dxa" w:w="1337"/>
          </w:tcPr>
          <w:p>
            <w:r>
              <w:rPr>
                <w:sz w:val="19"/>
              </w:rPr>
              <w:t>29%</w:t>
            </w:r>
          </w:p>
        </w:tc>
      </w:tr>
      <w:tr>
        <w:tc>
          <w:tcPr>
            <w:tcW w:type="dxa" w:w="1337"/>
          </w:tcPr>
          <w:p>
            <w:r>
              <w:rPr>
                <w:sz w:val="19"/>
              </w:rPr>
              <w:t>Весь бэклог, 20 историй</w:t>
            </w:r>
          </w:p>
        </w:tc>
        <w:tc>
          <w:tcPr>
            <w:tcW w:type="dxa" w:w="1337"/>
          </w:tcPr>
          <w:p>
            <w:r>
              <w:rPr>
                <w:sz w:val="19"/>
              </w:rPr>
              <w:t>02.05.2027</w:t>
            </w:r>
          </w:p>
        </w:tc>
        <w:tc>
          <w:tcPr>
            <w:tcW w:type="dxa" w:w="1337"/>
          </w:tcPr>
          <w:p>
            <w:r>
              <w:rPr>
                <w:sz w:val="19"/>
              </w:rPr>
              <w:t>30.05.2027</w:t>
            </w:r>
          </w:p>
        </w:tc>
        <w:tc>
          <w:tcPr>
            <w:tcW w:type="dxa" w:w="1337"/>
          </w:tcPr>
          <w:p>
            <w:r>
              <w:rPr>
                <w:sz w:val="19"/>
              </w:rPr>
              <w:t>04.07.2027</w:t>
            </w:r>
          </w:p>
        </w:tc>
        <w:tc>
          <w:tcPr>
            <w:tcW w:type="dxa" w:w="1337"/>
          </w:tcPr>
          <w:p>
            <w:r>
              <w:rPr>
                <w:sz w:val="19"/>
              </w:rPr>
              <w:t>15.08.2027</w:t>
            </w:r>
          </w:p>
        </w:tc>
        <w:tc>
          <w:tcPr>
            <w:tcW w:type="dxa" w:w="1337"/>
          </w:tcPr>
          <w:p>
            <w:r>
              <w:rPr>
                <w:sz w:val="19"/>
              </w:rPr>
              <w:t>2%</w:t>
            </w:r>
          </w:p>
        </w:tc>
        <w:tc>
          <w:tcPr>
            <w:tcW w:type="dxa" w:w="1337"/>
          </w:tcPr>
          <w:p>
            <w:r>
              <w:rPr>
                <w:sz w:val="19"/>
              </w:rPr>
              <w:t>4%</w:t>
            </w:r>
          </w:p>
        </w:tc>
      </w:tr>
    </w:tbl>
    <w:p/>
    <w:p>
      <w:r>
        <w:t>Как читать: P85 = 02.05.2027 значит, что в 85 % сценариев MVP готов не позже этой даты. Заказчику называем диапазон P50–P85, а не одну дату.</w:t>
      </w:r>
    </w:p>
    <w:p>
      <w:pPr>
        <w:pStyle w:val="Heading1"/>
      </w:pPr>
      <w:r>
        <w:t>Часть 3. Сравнение с детерминированной оценкой</w:t>
      </w:r>
    </w:p>
    <w:p>
      <w:r>
        <w:t>План релизов ЛЗ 5 обещает весь MVP к вехе M3. Неявно это означает 51 SP за 10 недель, то есть около 5 SP в неделю без пауз. Так получается дата 22.12.2026. По симуляции вероятность успеть к ней — 15%.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DDEBF7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Причина расхождения</w:t>
            </w:r>
          </w:p>
        </w:tc>
        <w:tc>
          <w:tcPr>
            <w:tcW w:type="dxa" w:w="4680"/>
            <w:shd w:val="clear" w:color="auto" w:fill="DDEBF7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Что это значит для нас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</w:rPr>
              <w:t>Среднее скрывает разброс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В 62% недель истории не закрыто ни одной задачи. План по среднему предполагает, что пустых недель не бывает.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</w:rPr>
              <w:t>Story points — не время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SP измеряют относительный размер. Перевод «5 SP в неделю» не основан на данных: собственной скорости у команды пока нет.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</w:rPr>
              <w:t>Календарь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Рубежные контроли, праздник 26.10 и четыре недели сессии есть в симуляции и отсутствуют в детерминированном плане.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</w:rPr>
              <w:t>Ожидание других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Throughput из истории включает ожидание ревью и ответов. План предполагает, что все 12 зависимостей из ЛЗ 5 подтвердят вовремя.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</w:rPr>
              <w:t>Совпадение с ЛЗ 5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Capacity покрывает около 52 % работы. Монте-Карло с другой стороны приходит к той же картине: медиана — март, а не декабрь.</w:t>
            </w:r>
          </w:p>
        </w:tc>
      </w:tr>
    </w:tbl>
    <w:p/>
    <w:p>
      <w:r>
        <w:t>Ограничение. Throughput взят у другой команды — это честная отправная точка, но не наша скорость. После двух спринтов (ЗС 9) меняем источник данных на выгрузку из нашего репозитория и пересчитываем. Тогда прогноз станет нашим, а не заимствованным.</w:t>
      </w:r>
    </w:p>
    <w:p>
      <w:pPr>
        <w:pStyle w:val="Heading1"/>
      </w:pPr>
      <w:r>
        <w:t>Часть 4. Покер планирования на 10 историях</w:t>
      </w:r>
    </w:p>
    <w:p>
      <w:r>
        <w:rPr>
          <w:i/>
        </w:rPr>
        <w:t>Покер проводит команда: оценки ниже не заполнены намеренно, чтобы не выдавать придуманные цифры за результат. После игры заполните analytics/planning_poker.csv и перезапустите notebook: он сам посчитает разброс мнений.</w:t>
      </w:r>
    </w:p>
    <w:p>
      <w:r>
        <w:t>Правила проведения (30–40 минут):</w:t>
      </w:r>
    </w:p>
    <w:p>
      <w:pPr>
        <w:pStyle w:val="ListNumber"/>
      </w:pPr>
      <w:r>
        <w:t>Карты: 1, 2, 3, 5, 8, 13. Ведущий зачитывает историю и критерии приёмки из бэклога.</w:t>
      </w:r>
    </w:p>
    <w:p>
      <w:pPr>
        <w:pStyle w:val="ListNumber"/>
      </w:pPr>
      <w:r>
        <w:t>Каждый выбирает карту молча, вскрываем одновременно, чтобы первая названная оценка не тянула остальных.</w:t>
      </w:r>
    </w:p>
    <w:p>
      <w:pPr>
        <w:pStyle w:val="ListNumber"/>
      </w:pPr>
      <w:r>
        <w:t>Если оценки расходятся больше чем на одну карту, автор самой высокой и самой низкой объясняет причину. Причины записываем: это и есть главный результат покера.</w:t>
      </w:r>
    </w:p>
    <w:p>
      <w:pPr>
        <w:pStyle w:val="ListNumber"/>
      </w:pPr>
      <w:r>
        <w:t>Второй раунд. Если согласия нет, берём большую оценку и заводим спайк на неясную часть.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val="clear" w:color="auto" w:fill="DDEBF7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История</w:t>
            </w:r>
          </w:p>
        </w:tc>
        <w:tc>
          <w:tcPr>
            <w:tcW w:type="dxa" w:w="1560"/>
            <w:shd w:val="clear" w:color="auto" w:fill="DDEBF7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Название</w:t>
            </w:r>
          </w:p>
        </w:tc>
        <w:tc>
          <w:tcPr>
            <w:tcW w:type="dxa" w:w="1560"/>
            <w:shd w:val="clear" w:color="auto" w:fill="DDEBF7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SP в ЛЗ 4</w:t>
            </w:r>
          </w:p>
        </w:tc>
        <w:tc>
          <w:tcPr>
            <w:tcW w:type="dxa" w:w="1560"/>
            <w:shd w:val="clear" w:color="auto" w:fill="DDEBF7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Раунд 1: Әлібек / Нүркен</w:t>
            </w:r>
          </w:p>
        </w:tc>
        <w:tc>
          <w:tcPr>
            <w:tcW w:type="dxa" w:w="1560"/>
            <w:shd w:val="clear" w:color="auto" w:fill="DDEBF7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Почему выше / ниже</w:t>
            </w:r>
          </w:p>
        </w:tc>
        <w:tc>
          <w:tcPr>
            <w:tcW w:type="dxa" w:w="1560"/>
            <w:shd w:val="clear" w:color="auto" w:fill="DDEBF7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Итог</w:t>
            </w:r>
          </w:p>
        </w:tc>
      </w:tr>
      <w:tr>
        <w:tc>
          <w:tcPr>
            <w:tcW w:type="dxa" w:w="1560"/>
          </w:tcPr>
          <w:p>
            <w:r>
              <w:rPr>
                <w:sz w:val="19"/>
              </w:rPr>
              <w:t>S01</w:t>
            </w:r>
          </w:p>
        </w:tc>
        <w:tc>
          <w:tcPr>
            <w:tcW w:type="dxa" w:w="1560"/>
          </w:tcPr>
          <w:p>
            <w:r>
              <w:rPr>
                <w:sz w:val="19"/>
              </w:rPr>
              <w:t>Список открытых мест практики с фильтрами</w:t>
            </w:r>
          </w:p>
        </w:tc>
        <w:tc>
          <w:tcPr>
            <w:tcW w:type="dxa" w:w="1560"/>
          </w:tcPr>
          <w:p>
            <w:r>
              <w:rPr>
                <w:sz w:val="19"/>
              </w:rPr>
              <w:t>3</w:t>
            </w:r>
          </w:p>
        </w:tc>
        <w:tc>
          <w:tcPr>
            <w:tcW w:type="dxa" w:w="1560"/>
          </w:tcPr>
          <w:p>
            <w:r>
              <w:rPr>
                <w:sz w:val="19"/>
              </w:rPr>
            </w:r>
          </w:p>
        </w:tc>
        <w:tc>
          <w:tcPr>
            <w:tcW w:type="dxa" w:w="1560"/>
          </w:tcPr>
          <w:p>
            <w:r>
              <w:rPr>
                <w:sz w:val="19"/>
              </w:rPr>
            </w:r>
          </w:p>
        </w:tc>
        <w:tc>
          <w:tcPr>
            <w:tcW w:type="dxa" w:w="1560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1560"/>
          </w:tcPr>
          <w:p>
            <w:r>
              <w:rPr>
                <w:sz w:val="19"/>
              </w:rPr>
              <w:t>S02</w:t>
            </w:r>
          </w:p>
        </w:tc>
        <w:tc>
          <w:tcPr>
            <w:tcW w:type="dxa" w:w="1560"/>
          </w:tcPr>
          <w:p>
            <w:r>
              <w:rPr>
                <w:sz w:val="19"/>
              </w:rPr>
              <w:t>Методист добавляет вакансию партнёра через форму</w:t>
            </w:r>
          </w:p>
        </w:tc>
        <w:tc>
          <w:tcPr>
            <w:tcW w:type="dxa" w:w="1560"/>
          </w:tcPr>
          <w:p>
            <w:r>
              <w:rPr>
                <w:sz w:val="19"/>
              </w:rPr>
              <w:t>3</w:t>
            </w:r>
          </w:p>
        </w:tc>
        <w:tc>
          <w:tcPr>
            <w:tcW w:type="dxa" w:w="1560"/>
          </w:tcPr>
          <w:p>
            <w:r>
              <w:rPr>
                <w:sz w:val="19"/>
              </w:rPr>
            </w:r>
          </w:p>
        </w:tc>
        <w:tc>
          <w:tcPr>
            <w:tcW w:type="dxa" w:w="1560"/>
          </w:tcPr>
          <w:p>
            <w:r>
              <w:rPr>
                <w:sz w:val="19"/>
              </w:rPr>
            </w:r>
          </w:p>
        </w:tc>
        <w:tc>
          <w:tcPr>
            <w:tcW w:type="dxa" w:w="1560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1560"/>
          </w:tcPr>
          <w:p>
            <w:r>
              <w:rPr>
                <w:sz w:val="19"/>
              </w:rPr>
              <w:t>S04</w:t>
            </w:r>
          </w:p>
        </w:tc>
        <w:tc>
          <w:tcPr>
            <w:tcW w:type="dxa" w:w="1560"/>
          </w:tcPr>
          <w:p>
            <w:r>
              <w:rPr>
                <w:sz w:val="19"/>
              </w:rPr>
              <w:t>Подача заявки на вакансию</w:t>
            </w:r>
          </w:p>
        </w:tc>
        <w:tc>
          <w:tcPr>
            <w:tcW w:type="dxa" w:w="1560"/>
          </w:tcPr>
          <w:p>
            <w:r>
              <w:rPr>
                <w:sz w:val="19"/>
              </w:rPr>
              <w:t>5</w:t>
            </w:r>
          </w:p>
        </w:tc>
        <w:tc>
          <w:tcPr>
            <w:tcW w:type="dxa" w:w="1560"/>
          </w:tcPr>
          <w:p>
            <w:r>
              <w:rPr>
                <w:sz w:val="19"/>
              </w:rPr>
            </w:r>
          </w:p>
        </w:tc>
        <w:tc>
          <w:tcPr>
            <w:tcW w:type="dxa" w:w="1560"/>
          </w:tcPr>
          <w:p>
            <w:r>
              <w:rPr>
                <w:sz w:val="19"/>
              </w:rPr>
            </w:r>
          </w:p>
        </w:tc>
        <w:tc>
          <w:tcPr>
            <w:tcW w:type="dxa" w:w="1560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1560"/>
          </w:tcPr>
          <w:p>
            <w:r>
              <w:rPr>
                <w:sz w:val="19"/>
              </w:rPr>
              <w:t>S05</w:t>
            </w:r>
          </w:p>
        </w:tc>
        <w:tc>
          <w:tcPr>
            <w:tcW w:type="dxa" w:w="1560"/>
          </w:tcPr>
          <w:p>
            <w:r>
              <w:rPr>
                <w:sz w:val="19"/>
              </w:rPr>
              <w:t>Студент видит статус своих заявок</w:t>
            </w:r>
          </w:p>
        </w:tc>
        <w:tc>
          <w:tcPr>
            <w:tcW w:type="dxa" w:w="1560"/>
          </w:tcPr>
          <w:p>
            <w:r>
              <w:rPr>
                <w:sz w:val="19"/>
              </w:rPr>
              <w:t>3</w:t>
            </w:r>
          </w:p>
        </w:tc>
        <w:tc>
          <w:tcPr>
            <w:tcW w:type="dxa" w:w="1560"/>
          </w:tcPr>
          <w:p>
            <w:r>
              <w:rPr>
                <w:sz w:val="19"/>
              </w:rPr>
            </w:r>
          </w:p>
        </w:tc>
        <w:tc>
          <w:tcPr>
            <w:tcW w:type="dxa" w:w="1560"/>
          </w:tcPr>
          <w:p>
            <w:r>
              <w:rPr>
                <w:sz w:val="19"/>
              </w:rPr>
            </w:r>
          </w:p>
        </w:tc>
        <w:tc>
          <w:tcPr>
            <w:tcW w:type="dxa" w:w="1560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1560"/>
          </w:tcPr>
          <w:p>
            <w:r>
              <w:rPr>
                <w:sz w:val="19"/>
              </w:rPr>
              <w:t>S07</w:t>
            </w:r>
          </w:p>
        </w:tc>
        <w:tc>
          <w:tcPr>
            <w:tcW w:type="dxa" w:w="1560"/>
          </w:tcPr>
          <w:p>
            <w:r>
              <w:rPr>
                <w:sz w:val="19"/>
              </w:rPr>
              <w:t>Очередь новых заявок для методиста</w:t>
            </w:r>
          </w:p>
        </w:tc>
        <w:tc>
          <w:tcPr>
            <w:tcW w:type="dxa" w:w="1560"/>
          </w:tcPr>
          <w:p>
            <w:r>
              <w:rPr>
                <w:sz w:val="19"/>
              </w:rPr>
              <w:t>3</w:t>
            </w:r>
          </w:p>
        </w:tc>
        <w:tc>
          <w:tcPr>
            <w:tcW w:type="dxa" w:w="1560"/>
          </w:tcPr>
          <w:p>
            <w:r>
              <w:rPr>
                <w:sz w:val="19"/>
              </w:rPr>
            </w:r>
          </w:p>
        </w:tc>
        <w:tc>
          <w:tcPr>
            <w:tcW w:type="dxa" w:w="1560"/>
          </w:tcPr>
          <w:p>
            <w:r>
              <w:rPr>
                <w:sz w:val="19"/>
              </w:rPr>
            </w:r>
          </w:p>
        </w:tc>
        <w:tc>
          <w:tcPr>
            <w:tcW w:type="dxa" w:w="1560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1560"/>
          </w:tcPr>
          <w:p>
            <w:r>
              <w:rPr>
                <w:sz w:val="19"/>
              </w:rPr>
              <w:t>S08</w:t>
            </w:r>
          </w:p>
        </w:tc>
        <w:tc>
          <w:tcPr>
            <w:tcW w:type="dxa" w:w="1560"/>
          </w:tcPr>
          <w:p>
            <w:r>
              <w:rPr>
                <w:sz w:val="19"/>
              </w:rPr>
              <w:t>Передача пакета заявок работодателю</w:t>
            </w:r>
          </w:p>
        </w:tc>
        <w:tc>
          <w:tcPr>
            <w:tcW w:type="dxa" w:w="1560"/>
          </w:tcPr>
          <w:p>
            <w:r>
              <w:rPr>
                <w:sz w:val="19"/>
              </w:rPr>
              <w:t>5</w:t>
            </w:r>
          </w:p>
        </w:tc>
        <w:tc>
          <w:tcPr>
            <w:tcW w:type="dxa" w:w="1560"/>
          </w:tcPr>
          <w:p>
            <w:r>
              <w:rPr>
                <w:sz w:val="19"/>
              </w:rPr>
            </w:r>
          </w:p>
        </w:tc>
        <w:tc>
          <w:tcPr>
            <w:tcW w:type="dxa" w:w="1560"/>
          </w:tcPr>
          <w:p>
            <w:r>
              <w:rPr>
                <w:sz w:val="19"/>
              </w:rPr>
            </w:r>
          </w:p>
        </w:tc>
        <w:tc>
          <w:tcPr>
            <w:tcW w:type="dxa" w:w="1560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1560"/>
          </w:tcPr>
          <w:p>
            <w:r>
              <w:rPr>
                <w:sz w:val="19"/>
              </w:rPr>
              <w:t>S10</w:t>
            </w:r>
          </w:p>
        </w:tc>
        <w:tc>
          <w:tcPr>
            <w:tcW w:type="dxa" w:w="1560"/>
          </w:tcPr>
          <w:p>
            <w:r>
              <w:rPr>
                <w:sz w:val="19"/>
              </w:rPr>
              <w:t>Уведомление студента о смене статуса</w:t>
            </w:r>
          </w:p>
        </w:tc>
        <w:tc>
          <w:tcPr>
            <w:tcW w:type="dxa" w:w="1560"/>
          </w:tcPr>
          <w:p>
            <w:r>
              <w:rPr>
                <w:sz w:val="19"/>
              </w:rPr>
              <w:t>5</w:t>
            </w:r>
          </w:p>
        </w:tc>
        <w:tc>
          <w:tcPr>
            <w:tcW w:type="dxa" w:w="1560"/>
          </w:tcPr>
          <w:p>
            <w:r>
              <w:rPr>
                <w:sz w:val="19"/>
              </w:rPr>
            </w:r>
          </w:p>
        </w:tc>
        <w:tc>
          <w:tcPr>
            <w:tcW w:type="dxa" w:w="1560"/>
          </w:tcPr>
          <w:p>
            <w:r>
              <w:rPr>
                <w:sz w:val="19"/>
              </w:rPr>
            </w:r>
          </w:p>
        </w:tc>
        <w:tc>
          <w:tcPr>
            <w:tcW w:type="dxa" w:w="1560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1560"/>
          </w:tcPr>
          <w:p>
            <w:r>
              <w:rPr>
                <w:sz w:val="19"/>
              </w:rPr>
              <w:t>S14</w:t>
            </w:r>
          </w:p>
        </w:tc>
        <w:tc>
          <w:tcPr>
            <w:tcW w:type="dxa" w:w="1560"/>
          </w:tcPr>
          <w:p>
            <w:r>
              <w:rPr>
                <w:sz w:val="19"/>
              </w:rPr>
              <w:t>Импорт текущей Excel-таблицы заявок</w:t>
            </w:r>
          </w:p>
        </w:tc>
        <w:tc>
          <w:tcPr>
            <w:tcW w:type="dxa" w:w="1560"/>
          </w:tcPr>
          <w:p>
            <w:r>
              <w:rPr>
                <w:sz w:val="19"/>
              </w:rPr>
              <w:t>5</w:t>
            </w:r>
          </w:p>
        </w:tc>
        <w:tc>
          <w:tcPr>
            <w:tcW w:type="dxa" w:w="1560"/>
          </w:tcPr>
          <w:p>
            <w:r>
              <w:rPr>
                <w:sz w:val="19"/>
              </w:rPr>
            </w:r>
          </w:p>
        </w:tc>
        <w:tc>
          <w:tcPr>
            <w:tcW w:type="dxa" w:w="1560"/>
          </w:tcPr>
          <w:p>
            <w:r>
              <w:rPr>
                <w:sz w:val="19"/>
              </w:rPr>
            </w:r>
          </w:p>
        </w:tc>
        <w:tc>
          <w:tcPr>
            <w:tcW w:type="dxa" w:w="1560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1560"/>
          </w:tcPr>
          <w:p>
            <w:r>
              <w:rPr>
                <w:sz w:val="19"/>
              </w:rPr>
              <w:t>S15</w:t>
            </w:r>
          </w:p>
        </w:tc>
        <w:tc>
          <w:tcPr>
            <w:tcW w:type="dxa" w:w="1560"/>
          </w:tcPr>
          <w:p>
            <w:r>
              <w:rPr>
                <w:sz w:val="19"/>
              </w:rPr>
              <w:t>Согласие на обработку персональных данных</w:t>
            </w:r>
          </w:p>
        </w:tc>
        <w:tc>
          <w:tcPr>
            <w:tcW w:type="dxa" w:w="1560"/>
          </w:tcPr>
          <w:p>
            <w:r>
              <w:rPr>
                <w:sz w:val="19"/>
              </w:rPr>
              <w:t>2</w:t>
            </w:r>
          </w:p>
        </w:tc>
        <w:tc>
          <w:tcPr>
            <w:tcW w:type="dxa" w:w="1560"/>
          </w:tcPr>
          <w:p>
            <w:r>
              <w:rPr>
                <w:sz w:val="19"/>
              </w:rPr>
            </w:r>
          </w:p>
        </w:tc>
        <w:tc>
          <w:tcPr>
            <w:tcW w:type="dxa" w:w="1560"/>
          </w:tcPr>
          <w:p>
            <w:r>
              <w:rPr>
                <w:sz w:val="19"/>
              </w:rPr>
            </w:r>
          </w:p>
        </w:tc>
        <w:tc>
          <w:tcPr>
            <w:tcW w:type="dxa" w:w="1560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1560"/>
          </w:tcPr>
          <w:p>
            <w:r>
              <w:rPr>
                <w:sz w:val="19"/>
              </w:rPr>
              <w:t>S16</w:t>
            </w:r>
          </w:p>
        </w:tc>
        <w:tc>
          <w:tcPr>
            <w:tcW w:type="dxa" w:w="1560"/>
          </w:tcPr>
          <w:p>
            <w:r>
              <w:rPr>
                <w:sz w:val="19"/>
              </w:rPr>
              <w:t>Роли и разграничение доступа</w:t>
            </w:r>
          </w:p>
        </w:tc>
        <w:tc>
          <w:tcPr>
            <w:tcW w:type="dxa" w:w="1560"/>
          </w:tcPr>
          <w:p>
            <w:r>
              <w:rPr>
                <w:sz w:val="19"/>
              </w:rPr>
              <w:t>8</w:t>
            </w:r>
          </w:p>
        </w:tc>
        <w:tc>
          <w:tcPr>
            <w:tcW w:type="dxa" w:w="1560"/>
          </w:tcPr>
          <w:p>
            <w:r>
              <w:rPr>
                <w:sz w:val="19"/>
              </w:rPr>
            </w:r>
          </w:p>
        </w:tc>
        <w:tc>
          <w:tcPr>
            <w:tcW w:type="dxa" w:w="1560"/>
          </w:tcPr>
          <w:p>
            <w:r>
              <w:rPr>
                <w:sz w:val="19"/>
              </w:rPr>
            </w:r>
          </w:p>
        </w:tc>
        <w:tc>
          <w:tcPr>
            <w:tcW w:type="dxa" w:w="1560"/>
          </w:tcPr>
          <w:p>
            <w:r>
              <w:rPr>
                <w:sz w:val="19"/>
              </w:rPr>
            </w:r>
          </w:p>
        </w:tc>
      </w:tr>
    </w:tbl>
    <w:p/>
    <w:p>
      <w:r>
        <w:t>На что обратить внимание: истории с внешней зависимостью (S08 — письмо работодателю, S10 — почта вуза, S14 — образец таблицы от методиста, S16 — роли и ИБ) обычно дают самый большой разброс. Оценка зависит от того, что каждый предполагает о чужом ответе.</w:t>
      </w:r>
    </w:p>
    <w:p>
      <w:pPr>
        <w:pStyle w:val="Heading1"/>
      </w:pPr>
      <w:r>
        <w:t>Часть 5. Слайд «Когда будет готово» для заказчика</w:t>
      </w:r>
    </w:p>
    <w:p>
      <w:r>
        <w:drawing>
          <wp:inline xmlns:a="http://schemas.openxmlformats.org/drawingml/2006/main" xmlns:pic="http://schemas.openxmlformats.org/drawingml/2006/picture">
            <wp:extent cx="5940000" cy="334125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recast-slid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341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>Рис. 3. Слайд для методиста и спонсора</w:t>
      </w:r>
    </w:p>
    <w:p>
      <w:r>
        <w:t>На слайде три вещи, которых заказчик обычно не получает: диапазон вместо даты, вероятность успеть к нужной ему дате и честный список того, что сдвинет срок в обе стороны.</w:t>
      </w:r>
    </w:p>
    <w:p>
      <w:pPr>
        <w:pStyle w:val="Heading1"/>
      </w:pPr>
      <w:r>
        <w:t>Раскрытие использования AI</w:t>
      </w:r>
    </w:p>
    <w:p>
      <w:r>
        <w:t>По правилам курса: код симуляции, выбор репозитория-источника, графики и текст подготовлены с помощью AI-ассистента Claude (Anthropic). Данные выгружены из открытого API GitHub, расчёт воспроизводим. Покер планирования проводит команда; его результаты AI не генерировал. Ответственность за содержание несёт команда.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/>
      <w:b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