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 w:line="240" w:lineRule="auto"/>
        <w:jc w:val="center"/>
      </w:pPr>
      <w:r>
        <w:rPr>
          <w:rFonts w:ascii="Verdana" w:hAnsi="Verdana" w:eastAsia="Verdana"/>
          <w:b/>
          <w:i w:val="0"/>
          <w:color w:val="8E1023"/>
          <w:sz w:val="36"/>
        </w:rPr>
        <w:t xml:space="preserve">ACTIVE </w:t>
      </w:r>
      <w:r>
        <w:rPr>
          <w:rFonts w:ascii="Verdana" w:hAnsi="Verdana" w:eastAsia="Verdana"/>
          <w:b/>
          <w:i w:val="0"/>
          <w:color w:val="171717"/>
          <w:sz w:val="36"/>
        </w:rPr>
        <w:t>SALES</w:t>
      </w:r>
    </w:p>
    <w:p>
      <w:pPr>
        <w:spacing w:before="700" w:after="200" w:line="240" w:lineRule="auto"/>
        <w:jc w:val="center"/>
      </w:pPr>
      <w:r>
        <w:rPr>
          <w:rFonts w:ascii="Verdana" w:hAnsi="Verdana" w:eastAsia="Verdana"/>
          <w:b/>
          <w:i w:val="0"/>
          <w:color w:val="171717"/>
          <w:sz w:val="48"/>
        </w:rPr>
        <w:t>ТЕСТ ПО КУРСУ</w:t>
      </w:r>
    </w:p>
    <w:p>
      <w:pPr>
        <w:spacing w:before="0" w:after="160" w:line="240" w:lineRule="auto"/>
        <w:jc w:val="center"/>
      </w:pPr>
      <w:r>
        <w:rPr>
          <w:rFonts w:ascii="Verdana" w:hAnsi="Verdana" w:eastAsia="Verdana"/>
          <w:b/>
          <w:i w:val="0"/>
          <w:color w:val="8E1023"/>
          <w:sz w:val="36"/>
        </w:rPr>
        <w:t>«Деловые переговоры в B2B 4.0»</w:t>
      </w:r>
    </w:p>
    <w:p>
      <w:pPr>
        <w:spacing w:before="100" w:after="360" w:line="240" w:lineRule="auto"/>
        <w:jc w:val="center"/>
      </w:pPr>
      <w:r>
        <w:rPr>
          <w:rFonts w:ascii="Verdana" w:hAnsi="Verdana" w:eastAsia="Verdana"/>
          <w:b w:val="0"/>
          <w:i w:val="0"/>
          <w:color w:val="444444"/>
          <w:sz w:val="22"/>
        </w:rPr>
        <w:t>Версия для тренера / администратора обучения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171717"/>
                <w:sz w:val="20"/>
              </w:rPr>
              <w:t>ФИО участника</w:t>
            </w:r>
          </w:p>
        </w:tc>
        <w:tc>
          <w:tcPr>
            <w:tcW w:type="dxa" w:w="50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 w:val="0"/>
                <w:i w:val="0"/>
                <w:color w:val="777777"/>
                <w:sz w:val="20"/>
              </w:rPr>
              <w:t>________________________________________</w:t>
            </w:r>
          </w:p>
        </w:tc>
      </w:tr>
      <w:tr>
        <w:tc>
          <w:tcPr>
            <w:tcW w:type="dxa" w:w="501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171717"/>
                <w:sz w:val="20"/>
              </w:rPr>
              <w:t>Компания / подразделение</w:t>
            </w:r>
          </w:p>
        </w:tc>
        <w:tc>
          <w:tcPr>
            <w:tcW w:type="dxa" w:w="50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 w:val="0"/>
                <w:i w:val="0"/>
                <w:color w:val="777777"/>
                <w:sz w:val="20"/>
              </w:rPr>
              <w:t>________________________________________</w:t>
            </w:r>
          </w:p>
        </w:tc>
      </w:tr>
      <w:tr>
        <w:tc>
          <w:tcPr>
            <w:tcW w:type="dxa" w:w="501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171717"/>
                <w:sz w:val="20"/>
              </w:rPr>
              <w:t>Дата прохождения</w:t>
            </w:r>
          </w:p>
        </w:tc>
        <w:tc>
          <w:tcPr>
            <w:tcW w:type="dxa" w:w="50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 w:val="0"/>
                <w:i w:val="0"/>
                <w:color w:val="777777"/>
                <w:sz w:val="20"/>
              </w:rPr>
              <w:t>________________________________________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Verdana" w:hAnsi="Verdana" w:eastAsia="Verdana"/>
          <w:b/>
          <w:i w:val="0"/>
          <w:color w:val="171717"/>
          <w:sz w:val="36"/>
        </w:rPr>
        <w:t>Критерии оценки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>18–20 баллов</w:t>
            </w:r>
          </w:p>
        </w:tc>
        <w:tc>
          <w:tcPr>
            <w:tcW w:type="dxa" w:w="33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>Высокое усвоение</w:t>
            </w:r>
          </w:p>
        </w:tc>
        <w:tc>
          <w:tcPr>
            <w:tcW w:type="dxa" w:w="33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Участник понимает систему и готов применять инструменты.</w:t>
            </w:r>
          </w:p>
        </w:tc>
      </w:tr>
      <w:tr>
        <w:tc>
          <w:tcPr>
            <w:tcW w:type="dxa" w:w="3346"/>
            <w:shd w:fill="F2F3F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>15–17 баллов</w:t>
            </w:r>
          </w:p>
        </w:tc>
        <w:tc>
          <w:tcPr>
            <w:tcW w:type="dxa" w:w="3346"/>
            <w:shd w:fill="F2F3F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>Материал усвоен</w:t>
            </w:r>
          </w:p>
        </w:tc>
        <w:tc>
          <w:tcPr>
            <w:tcW w:type="dxa" w:w="3346"/>
            <w:shd w:fill="F2F3F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Рекомендуется практика на реальной сделке.</w:t>
            </w:r>
          </w:p>
        </w:tc>
      </w:tr>
      <w:tr>
        <w:tc>
          <w:tcPr>
            <w:tcW w:type="dxa" w:w="33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>12–14 баллов</w:t>
            </w:r>
          </w:p>
        </w:tc>
        <w:tc>
          <w:tcPr>
            <w:tcW w:type="dxa" w:w="33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>Частичное усвоение</w:t>
            </w:r>
          </w:p>
        </w:tc>
        <w:tc>
          <w:tcPr>
            <w:tcW w:type="dxa" w:w="33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Нужно повторить темы с ошибками.</w:t>
            </w:r>
          </w:p>
        </w:tc>
      </w:tr>
      <w:tr>
        <w:tc>
          <w:tcPr>
            <w:tcW w:type="dxa" w:w="3346"/>
            <w:shd w:fill="F2F3F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>0–11 баллов</w:t>
            </w:r>
          </w:p>
        </w:tc>
        <w:tc>
          <w:tcPr>
            <w:tcW w:type="dxa" w:w="3346"/>
            <w:shd w:fill="F2F3F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>Требуется повтор</w:t>
            </w:r>
          </w:p>
        </w:tc>
        <w:tc>
          <w:tcPr>
            <w:tcW w:type="dxa" w:w="3346"/>
            <w:shd w:fill="F2F3F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Повторно изучить презентацию и пройти тест.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1. Правильный ответ: Б. Определить цель, пределы и переменные сделки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Подготовка задаёт цель, границы и пространство для обмена; презентация продукта — только один из инструментов.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2. Правильный ответ: Г. Заявленное требование или условие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Позиция — озвученное требование. Интерес объясняет, почему оно важно.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3. Правильный ответ: А. Критерии решения, участники, риски и ограничения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Решение в B2B зависит от критериев, участников, рисков и ограничений, а не только от формальных данных.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4. Правильный ответ: В. Чтобы не сводить весь торг только к цене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Переменные позволяют обмениваться условиями и защищать маржу, не сводя торг к скидке.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5. Правильный ответ: Б. Согласовать цель, рамку и время разговора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Рамка встречи согласует цель, время и порядок разговора.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6. Правильный ответ: Г. «Какую задачу бизнеса должно решить это решение?»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Открытый вопрос раскрывает бизнес-задачу и критерии результата.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7. Правильный ответ: А. Взять паузу и уточнить предмет требования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Пауза снижает автоматическую эмоциональную реакцию и возвращает контроль.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8. Правильный ответ: В. Клиент создаёт искусственную срочность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Искусственная срочность ограничивает время на анализ и часто используется как давление.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9. Правильный ответ: Б. Уступка даётся в обмен на встречный шаг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Профессиональный торг строится на взаимном обмене ценностями.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10. Правильный ответ: Г. Сужаются варианты решения и снижается маржа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Обсуждение только цены уменьшает пространство решений и повышает риск необоснованной уступки.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11. Правильный ответ: А. Низкая стоимость для нас и высокая ценность для клиента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Первая уступка должна быть управляемой: недорогой для продавца и значимой для клиента.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12. Правильный ответ: В. Связать стоимость с результатом, рисками и условиями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Цена становится обоснованной, когда связана с результатом, рисками и условиями реализации.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13. Правильный ответ: Б. Принять — уточнить — ответить — проверить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Алгоритм не допускает спора до понимания истинной причины возражения.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14. Правильный ответ: Г. Отделить человека от проблемы и уточнить факты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Отделение человека от проблемы снижает напряжение и возвращает факты.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15. Правильный ответ: А. Подготовить риски, интересы и критерии решения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При работе с VIP особенно важны подготовка интересов, рисков и критериев решения.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16. Правильный ответ: В. Фиксацией действий, ответственных и срока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Без ответственных и срока следующий шаг остаётся неопределённым.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17. Правильный ответ: Б. Итоги, открытые вопросы, действия и сроки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Follow-up превращает устный разговор в управляемый план действий.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18. Правильный ответ: Г. «Давайте сравним состав, условия, риски и результат»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Сравнивать нужно сопоставимый состав предложения, условия, риски и ожидаемый результат.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19. Правильный ответ: А. Согласовать конкретный следующий шаг, дату и критерии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Конкретный следующий шаг сохраняет движение сделки и создаёт взаимные обязательства.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7EC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Verdana" w:hAnsi="Verdana" w:eastAsia="Verdana"/>
                <w:b/>
                <w:i w:val="0"/>
                <w:color w:val="680817"/>
                <w:sz w:val="21"/>
              </w:rPr>
              <w:t>20. Правильный ответ: В. Найти выполнимую договорённость и сохранить отношения</w:t>
            </w:r>
          </w:p>
          <w:p>
            <w:pPr>
              <w:spacing w:before="0" w:after="0" w:line="252" w:lineRule="auto"/>
            </w:pPr>
            <w:r>
              <w:rPr>
                <w:rFonts w:ascii="Verdana" w:hAnsi="Verdana" w:eastAsia="Verdana"/>
                <w:b/>
                <w:i w:val="0"/>
                <w:color w:val="171717"/>
                <w:sz w:val="19"/>
              </w:rPr>
              <w:t xml:space="preserve">Почему: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Цель переговоров — выполнимая договорённость, которая защищает интересы и поддерживает отношения.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92" w:right="936" w:bottom="792" w:left="936" w:header="288" w:footer="25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Verdana" w:hAnsi="Verdana" w:eastAsia="Verdana"/>
        <w:b w:val="0"/>
        <w:i w:val="0"/>
        <w:color w:val="777777"/>
        <w:sz w:val="16"/>
      </w:rPr>
      <w:t xml:space="preserve">ACTIVE SALES  |  Ключ к тесту B2B  |  </w:t>
    </w:r>
    <w:r>
      <w:rPr>
        <w:rFonts w:ascii="Verdana" w:hAnsi="Verdana"/>
        <w:sz w:val="16"/>
        <w:color w:val="77777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eastAsia="Verdana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erdana" w:hAnsi="Verdana" w:eastAsia="Verdana"/>
      <w:b/>
      <w:bCs/>
      <w:color w:val="8E10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Verdana" w:hAnsi="Verdana" w:eastAsia="Verdana"/>
      <w:b/>
      <w:bCs/>
      <w:color w:val="1717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Verdana" w:hAnsi="Verdana" w:eastAsia="Verdana"/>
      <w:b/>
      <w:bCs/>
      <w:color w:val="68081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erdana" w:hAnsi="Verdana" w:eastAsia="Verdana"/>
      <w:b/>
      <w:color w:val="8E102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