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 w:line="240" w:lineRule="auto"/>
        <w:jc w:val="center"/>
      </w:pPr>
      <w:r>
        <w:rPr>
          <w:rFonts w:ascii="Verdana" w:hAnsi="Verdana" w:eastAsia="Verdana"/>
          <w:b/>
          <w:i w:val="0"/>
          <w:color w:val="8E1023"/>
          <w:sz w:val="36"/>
        </w:rPr>
        <w:t xml:space="preserve">ACTIVE </w:t>
      </w:r>
      <w:r>
        <w:rPr>
          <w:rFonts w:ascii="Verdana" w:hAnsi="Verdana" w:eastAsia="Verdana"/>
          <w:b/>
          <w:i w:val="0"/>
          <w:color w:val="171717"/>
          <w:sz w:val="36"/>
        </w:rPr>
        <w:t>SALES</w:t>
      </w:r>
    </w:p>
    <w:p>
      <w:pPr>
        <w:spacing w:before="700" w:after="200" w:line="240" w:lineRule="auto"/>
        <w:jc w:val="center"/>
      </w:pPr>
      <w:r>
        <w:rPr>
          <w:rFonts w:ascii="Verdana" w:hAnsi="Verdana" w:eastAsia="Verdana"/>
          <w:b/>
          <w:i w:val="0"/>
          <w:color w:val="171717"/>
          <w:sz w:val="48"/>
        </w:rPr>
        <w:t>ТЕСТ ПО КУРСУ</w:t>
      </w:r>
    </w:p>
    <w:p>
      <w:pPr>
        <w:spacing w:before="0" w:after="160" w:line="240" w:lineRule="auto"/>
        <w:jc w:val="center"/>
      </w:pPr>
      <w:r>
        <w:rPr>
          <w:rFonts w:ascii="Verdana" w:hAnsi="Verdana" w:eastAsia="Verdana"/>
          <w:b/>
          <w:i w:val="0"/>
          <w:color w:val="8E1023"/>
          <w:sz w:val="36"/>
        </w:rPr>
        <w:t>«Деловые переговоры в B2B 4.0»</w:t>
      </w:r>
    </w:p>
    <w:p>
      <w:pPr>
        <w:spacing w:before="100" w:after="360" w:line="240" w:lineRule="auto"/>
        <w:jc w:val="center"/>
      </w:pPr>
      <w:r>
        <w:rPr>
          <w:rFonts w:ascii="Verdana" w:hAnsi="Verdana" w:eastAsia="Verdana"/>
          <w:b w:val="0"/>
          <w:i w:val="0"/>
          <w:color w:val="444444"/>
          <w:sz w:val="22"/>
        </w:rPr>
        <w:t>20 вопросов  •  4 варианта ответа  •  рекомендуемый проходной балл — 75%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171717"/>
                <w:sz w:val="20"/>
              </w:rPr>
              <w:t>ФИО участника</w:t>
            </w:r>
          </w:p>
        </w:tc>
        <w:tc>
          <w:tcPr>
            <w:tcW w:type="dxa" w:w="50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 w:val="0"/>
                <w:i w:val="0"/>
                <w:color w:val="777777"/>
                <w:sz w:val="20"/>
              </w:rPr>
              <w:t>________________________________________</w:t>
            </w:r>
          </w:p>
        </w:tc>
      </w:tr>
      <w:tr>
        <w:tc>
          <w:tcPr>
            <w:tcW w:type="dxa" w:w="5018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171717"/>
                <w:sz w:val="20"/>
              </w:rPr>
              <w:t>Компания / подразделение</w:t>
            </w:r>
          </w:p>
        </w:tc>
        <w:tc>
          <w:tcPr>
            <w:tcW w:type="dxa" w:w="50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 w:val="0"/>
                <w:i w:val="0"/>
                <w:color w:val="777777"/>
                <w:sz w:val="20"/>
              </w:rPr>
              <w:t>________________________________________</w:t>
            </w:r>
          </w:p>
        </w:tc>
      </w:tr>
      <w:tr>
        <w:tc>
          <w:tcPr>
            <w:tcW w:type="dxa" w:w="5018"/>
            <w:shd w:fill="F2F3F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/>
                <w:i w:val="0"/>
                <w:color w:val="171717"/>
                <w:sz w:val="20"/>
              </w:rPr>
              <w:t>Дата прохождения</w:t>
            </w:r>
          </w:p>
        </w:tc>
        <w:tc>
          <w:tcPr>
            <w:tcW w:type="dxa" w:w="501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/>
            <w:r>
              <w:rPr>
                <w:rFonts w:ascii="Verdana" w:hAnsi="Verdana" w:eastAsia="Verdana"/>
                <w:b w:val="0"/>
                <w:i w:val="0"/>
                <w:color w:val="777777"/>
                <w:sz w:val="20"/>
              </w:rPr>
              <w:t>________________________________________</w:t>
            </w:r>
          </w:p>
        </w:tc>
      </w:tr>
    </w:tbl>
    <w:p>
      <w:r>
        <w:br w:type="page"/>
      </w:r>
    </w:p>
    <w:p>
      <w:pPr>
        <w:spacing w:before="0" w:after="100" w:line="240" w:lineRule="auto"/>
      </w:pPr>
      <w:r>
        <w:rPr>
          <w:rFonts w:ascii="Verdana" w:hAnsi="Verdana" w:eastAsia="Verdana"/>
          <w:b/>
          <w:i w:val="0"/>
          <w:color w:val="8E1023"/>
          <w:sz w:val="32"/>
        </w:rPr>
        <w:t>Инструкция</w:t>
      </w:r>
    </w:p>
    <w:p>
      <w:pPr>
        <w:spacing w:before="0" w:after="60" w:line="240" w:lineRule="auto"/>
      </w:pPr>
      <w:r>
        <w:rPr>
          <w:rFonts w:ascii="Verdana" w:hAnsi="Verdana" w:eastAsia="Verdana"/>
          <w:b/>
          <w:i w:val="0"/>
          <w:color w:val="8E1023"/>
          <w:sz w:val="20"/>
        </w:rPr>
        <w:t xml:space="preserve">• </w:t>
      </w:r>
      <w:r>
        <w:rPr>
          <w:rFonts w:ascii="Verdana" w:hAnsi="Verdana" w:eastAsia="Verdana"/>
          <w:b w:val="0"/>
          <w:i w:val="0"/>
          <w:color w:val="171717"/>
          <w:sz w:val="20"/>
        </w:rPr>
        <w:t>Выберите один наиболее правильный вариант ответа в каждом вопросе.</w:t>
      </w:r>
    </w:p>
    <w:p>
      <w:pPr>
        <w:spacing w:before="0" w:after="60" w:line="240" w:lineRule="auto"/>
      </w:pPr>
      <w:r>
        <w:rPr>
          <w:rFonts w:ascii="Verdana" w:hAnsi="Verdana" w:eastAsia="Verdana"/>
          <w:b/>
          <w:i w:val="0"/>
          <w:color w:val="8E1023"/>
          <w:sz w:val="20"/>
        </w:rPr>
        <w:t xml:space="preserve">• </w:t>
      </w:r>
      <w:r>
        <w:rPr>
          <w:rFonts w:ascii="Verdana" w:hAnsi="Verdana" w:eastAsia="Verdana"/>
          <w:b w:val="0"/>
          <w:i w:val="0"/>
          <w:color w:val="171717"/>
          <w:sz w:val="20"/>
        </w:rPr>
        <w:t>Не используйте презентацию во время прохождения теста.</w:t>
      </w:r>
    </w:p>
    <w:p>
      <w:pPr>
        <w:spacing w:before="0" w:after="60" w:line="240" w:lineRule="auto"/>
      </w:pPr>
      <w:r>
        <w:rPr>
          <w:rFonts w:ascii="Verdana" w:hAnsi="Verdana" w:eastAsia="Verdana"/>
          <w:b/>
          <w:i w:val="0"/>
          <w:color w:val="8E1023"/>
          <w:sz w:val="20"/>
        </w:rPr>
        <w:t xml:space="preserve">• </w:t>
      </w:r>
      <w:r>
        <w:rPr>
          <w:rFonts w:ascii="Verdana" w:hAnsi="Verdana" w:eastAsia="Verdana"/>
          <w:b w:val="0"/>
          <w:i w:val="0"/>
          <w:color w:val="171717"/>
          <w:sz w:val="20"/>
        </w:rPr>
        <w:t>Рекомендуемое время: 25 минут. Максимальный результат: 20 баллов.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1. Главный результат подготовки к переговорам — это: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Составить максимально длинную презентацию продукта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Определить цель, пределы и переменные сделки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Подготовить скидку на случай сопротивления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Выучить ответы на все возможные вопросы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2. Что в переговорах называется позицией стороны?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Скрытая личная мотивация участника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Экономический эффект будущей сделки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Отношение к поставщику и его бренду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Заявленное требование или условие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3. Какая информация особенно важна до B2B-встречи?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Критерии решения, участники, риски и ограничения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Только официальный размер компании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Только перечень конкурентов клиента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Личные увлечения всех участников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4. Зачем заранее готовить несколько переменных сделки?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Чтобы усложнить коммерческое предложение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Чтобы увести разговор от результата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Чтобы не сводить весь торг только к цене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Чтобы увеличить продолжительность встречи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5. Как лучше открыть деловую встречу?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Сразу перейти к стоимости и скидкам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Согласовать цель, рамку и время разговора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Подробно рассказать историю своей компании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Начать с критики текущего поставщика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6. Какой вопрос лучше помогает выявить бизнес-интерес?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«Вам нравится наше предложение?»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«Вы точно готовы подписать договор?»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«Вы согласны, что качество важнее цены?»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«Какую задачу бизнеса должно решить это решение?»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7. Что следует сделать первым при сильном давлении клиента?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Взять паузу и уточнить предмет требования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Немедленно дать небольшую уступку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Ответить таким же жёстким тоном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Завершить встречу без объяснений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8. Какой признак чаще говорит о манипуляции?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Клиент называет реальный бюджет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Клиент просит расчёт по вариантам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Клиент создаёт искусственную срочность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Клиент уточняет условия гарантии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9. Какое правило является основой профессионального торга?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Первая уступка должна быть максимальной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Уступка даётся в обмен на встречный шаг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Скидку нужно скрывать до конца встречи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Любое возражение снимается снижением цены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10. Почему опасно обсуждать только цену?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Клиенту становится трудно сравнить цифры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Встреча обязательно становится длиннее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Менеджеру приходится использовать презентацию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Сужаются варианты решения и снижается маржа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11. Какой вариант лучше подходит для первой уступки?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Низкая стоимость для нас и высокая ценность для клиента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Самая дорогая уступка, чтобы показать серьёзность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Снижение цены без изменения других условий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Уступка, о которой клиент пока не просил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12. Как эффективнее защищать цену?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Повторять, что компания давно работает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Ссылаться только на внутренние правила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Связать стоимость с результатом, рисками и условиями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Сообщить, что цены одинаковы для всех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13. Какая последовательность работы с возражением наиболее сильная?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Ответить — доказать — завершить — напомнить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Принять — уточнить — ответить — проверить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Возразить — сравнить — предложить скидку — закрыть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Выслушать — перевести тему — отправить КП — ждать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14. Что помогает перевести конфликт в конструктив?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Указать клиенту на его эмоциональность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Продолжать доказывать свою правоту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Повысить тон, чтобы вернуть контроль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Отделить человека от проблемы и уточнить факты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15. Что особенно важно при переговорах с VIP-клиентом?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Подготовить риски, интересы и критерии решения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Избегать любых вопросов о бизнесе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Сразу предложить особую скидку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Передать всю инициативу собеседнику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16. Чем должна закончиться результативная встреча?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Обещанием клиента подумать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Отправкой общей презентации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Фиксацией действий, ответственных и срока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Устной благодарностью без обязательств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17. Что должно быть в follow-up после встречи?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Полная стенограмма разговора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Итоги, открытые вопросы, действия и сроки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Только рекламная презентация компании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Повторное предложение скидки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18. Клиент говорит: «У конкурента дешевле». Лучший первый ответ: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«Тогда покупайте у конкурента»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«Мы всё равно качественнее»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«Можем сразу дать такую же цену»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«Давайте сравним состав, условия, риски и результат»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19. Клиент не готов принять решение. Что делать?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Согласовать конкретный следующий шаг, дату и критерии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Оставить клиента без контакта на несколько недель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Каждый день отправлять одно и то же предложение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Немедленно отменить все ранее обсуждённые условия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FFF"/>
            <w:tcMar>
              <w:top w:w="110" w:type="dxa"/>
              <w:start w:w="130" w:type="dxa"/>
              <w:bottom w:w="100" w:type="dxa"/>
              <w:end w:w="130" w:type="dxa"/>
            </w:tcMar>
            <w:tcBorders>
              <w:top w:val="single" w:sz="4" w:color="E5E5E5"/>
              <w:left w:val="single" w:sz="14" w:color="8E1023"/>
              <w:bottom w:val="single" w:sz="4" w:color="E5E5E5"/>
              <w:right w:val="single" w:sz="4" w:color="E5E5E5"/>
            </w:tcBorders>
          </w:tcPr>
          <w:p>
            <w:pPr>
              <w:spacing w:before="0" w:after="100" w:line="252" w:lineRule="auto"/>
            </w:pPr>
            <w:r/>
            <w:r>
              <w:rPr>
                <w:rFonts w:ascii="Verdana" w:hAnsi="Verdana" w:eastAsia="Verdana"/>
                <w:b/>
                <w:i w:val="0"/>
                <w:color w:val="171717"/>
                <w:sz w:val="22"/>
              </w:rPr>
              <w:t>20. Главная цель сильных B2B-переговоров: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А.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Добиться победы над второй стороной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Б.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Сохранить цену любой ценой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В.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Найти выполнимую договорённость и сохранить отношения</w:t>
            </w:r>
          </w:p>
          <w:p>
            <w:pPr>
              <w:spacing w:before="0" w:after="40" w:line="240" w:lineRule="auto"/>
            </w:pPr>
            <w:r>
              <w:rPr>
                <w:rFonts w:ascii="Verdana" w:hAnsi="Verdana" w:eastAsia="Verdana"/>
                <w:b/>
                <w:i w:val="0"/>
                <w:color w:val="8E1023"/>
                <w:sz w:val="19"/>
              </w:rPr>
              <w:t xml:space="preserve">□ Г. </w:t>
            </w:r>
            <w:r>
              <w:rPr>
                <w:rFonts w:ascii="Verdana" w:hAnsi="Verdana" w:eastAsia="Verdana"/>
                <w:b w:val="0"/>
                <w:i w:val="0"/>
                <w:color w:val="171717"/>
                <w:sz w:val="19"/>
              </w:rPr>
              <w:t>Сделать встречу максимально короткой</w:t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Verdana" w:hAnsi="Verdana" w:eastAsia="Verdana"/>
          <w:b/>
          <w:i w:val="0"/>
          <w:color w:val="171717"/>
          <w:sz w:val="36"/>
        </w:rPr>
        <w:t>Бланк ответов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8E102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2509"/>
            <w:shd w:fill="8E102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i w:val="0"/>
                <w:color w:val="FFFFFF"/>
                <w:sz w:val="20"/>
              </w:rPr>
              <w:t>Ответ</w:t>
            </w:r>
          </w:p>
        </w:tc>
        <w:tc>
          <w:tcPr>
            <w:tcW w:type="dxa" w:w="2509"/>
            <w:shd w:fill="8E102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2509"/>
            <w:shd w:fill="8E102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i w:val="0"/>
                <w:color w:val="FFFFFF"/>
                <w:sz w:val="20"/>
              </w:rPr>
              <w:t>Ответ</w:t>
            </w:r>
          </w:p>
        </w:tc>
      </w:tr>
      <w:tr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1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11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</w:tr>
      <w:tr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2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12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</w:tr>
      <w:tr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3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13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</w:tr>
      <w:tr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4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14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</w:tr>
      <w:tr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5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15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</w:tr>
      <w:tr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6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16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</w:tr>
      <w:tr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7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17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</w:tr>
      <w:tr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8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18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</w:tr>
      <w:tr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9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19</w:t>
            </w:r>
          </w:p>
        </w:tc>
        <w:tc>
          <w:tcPr>
            <w:tcW w:type="dxa" w:w="2509"/>
            <w:shd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</w:tr>
      <w:tr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10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20</w:t>
            </w:r>
          </w:p>
        </w:tc>
        <w:tc>
          <w:tcPr>
            <w:tcW w:type="dxa" w:w="2509"/>
            <w:shd w:fill="F2F3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 w:val="0"/>
                <w:i w:val="0"/>
                <w:color w:val="171717"/>
                <w:sz w:val="20"/>
              </w:rPr>
              <w:t>____</w:t>
            </w:r>
          </w:p>
        </w:tc>
      </w:tr>
    </w:tbl>
    <w:p>
      <w:pPr>
        <w:spacing w:before="360" w:after="60" w:line="240" w:lineRule="auto"/>
      </w:pPr>
      <w:r>
        <w:rPr>
          <w:rFonts w:ascii="Verdana" w:hAnsi="Verdana" w:eastAsia="Verdana"/>
          <w:b/>
          <w:i w:val="0"/>
          <w:color w:val="8E1023"/>
          <w:sz w:val="24"/>
        </w:rPr>
        <w:t>Результат: ______ / 20</w:t>
      </w:r>
    </w:p>
    <w:p>
      <w:r>
        <w:rPr>
          <w:rFonts w:ascii="Verdana" w:hAnsi="Verdana" w:eastAsia="Verdana"/>
          <w:b w:val="0"/>
          <w:i w:val="0"/>
          <w:color w:val="171717"/>
          <w:sz w:val="20"/>
        </w:rPr>
        <w:t>Подпись проверяющего: ______________________________</w:t>
      </w:r>
    </w:p>
    <w:sectPr w:rsidR="00FC693F" w:rsidRPr="0006063C" w:rsidSect="00034616">
      <w:footerReference w:type="default" r:id="rId9"/>
      <w:pgSz w:w="11909" w:h="16834"/>
      <w:pgMar w:top="792" w:right="936" w:bottom="792" w:left="936" w:header="288" w:footer="25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Verdana" w:hAnsi="Verdana" w:eastAsia="Verdana"/>
        <w:b w:val="0"/>
        <w:i w:val="0"/>
        <w:color w:val="777777"/>
        <w:sz w:val="16"/>
      </w:rPr>
      <w:t xml:space="preserve">ACTIVE SALES  |  Тест B2B  |  </w:t>
    </w:r>
    <w:r>
      <w:rPr>
        <w:rFonts w:ascii="Verdana" w:hAnsi="Verdana"/>
        <w:sz w:val="16"/>
        <w:color w:val="77777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eastAsia="Verdana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Verdana" w:hAnsi="Verdana" w:eastAsia="Verdana"/>
      <w:b/>
      <w:bCs/>
      <w:color w:val="8E10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Verdana" w:hAnsi="Verdana" w:eastAsia="Verdana"/>
      <w:b/>
      <w:bCs/>
      <w:color w:val="1717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Verdana" w:hAnsi="Verdana" w:eastAsia="Verdana"/>
      <w:b/>
      <w:bCs/>
      <w:color w:val="68081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Verdana" w:hAnsi="Verdana" w:eastAsia="Verdana"/>
      <w:b/>
      <w:color w:val="8E102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