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41413d" w:space="0" w:sz="0" w:val="none"/>
          <w:left w:color="41413d" w:space="0" w:sz="0" w:val="none"/>
          <w:bottom w:color="41413d" w:space="0" w:sz="0" w:val="none"/>
          <w:right w:color="41413d" w:space="0" w:sz="0" w:val="none"/>
          <w:between w:color="41413d" w:space="0" w:sz="0" w:val="none"/>
        </w:pBdr>
        <w:spacing w:before="240" w:line="420" w:lineRule="auto"/>
        <w:rPr>
          <w:b w:val="1"/>
          <w:bCs w:val="1"/>
          <w:sz w:val="46"/>
          <w:szCs w:val="46"/>
        </w:rPr>
      </w:pPr>
      <w:bookmarkStart w:colFirst="0" w:colLast="0" w:name="_ntd0jw933sa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C&amp;C Umsatz- &amp; Provisionssystem</w:t>
      </w:r>
    </w:p>
    <w:p w:rsidR="00000000" w:rsidDel="00000000" w:rsidP="00000000" w:rsidRDefault="00000000" w:rsidRPr="00000000" w14:paraId="00000002">
      <w:pPr>
        <w:pBdr>
          <w:top w:color="41413d" w:space="0" w:sz="0" w:val="none"/>
          <w:left w:color="41413d" w:space="0" w:sz="0" w:val="none"/>
          <w:bottom w:color="41413d" w:space="0" w:sz="0" w:val="none"/>
          <w:right w:color="41413d" w:space="0" w:sz="0" w:val="none"/>
          <w:between w:color="41413d" w:space="0" w:sz="0" w:val="none"/>
        </w:pBdr>
        <w:spacing w:after="300" w:before="300" w:line="374.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Allgemein:</w:t>
      </w:r>
      <w:r w:rsidDel="00000000" w:rsidR="00000000" w:rsidRPr="00000000">
        <w:rPr>
          <w:sz w:val="24"/>
          <w:szCs w:val="24"/>
          <w:rtl w:val="0"/>
        </w:rPr>
        <w:t xml:space="preserve"> Internes Dashboard, das Umsätze, Provisionen und Auszahlungen für Setter, Closer, Chatter, Affiliates und Creator zentral, automatisiert und revisionssicher verwaltet – inklusive Live-Analytics und rollenbasierten Zugriffen.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41413d" w:space="0" w:sz="0" w:val="none"/>
          <w:left w:color="41413d" w:space="0" w:sz="0" w:val="none"/>
          <w:bottom w:color="41413d" w:space="0" w:sz="0" w:val="none"/>
          <w:right w:color="41413d" w:space="0" w:sz="0" w:val="none"/>
          <w:between w:color="41413d" w:space="0" w:sz="0" w:val="none"/>
        </w:pBdr>
        <w:spacing w:after="300" w:line="374.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💰 Zahlungen</w:t>
      </w:r>
      <w:r w:rsidDel="00000000" w:rsidR="00000000" w:rsidRPr="00000000">
        <w:rPr>
          <w:sz w:val="24"/>
          <w:szCs w:val="24"/>
          <w:rtl w:val="0"/>
        </w:rPr>
        <w:t xml:space="preserve"> – Zentrale Übersicht aller Einnahmen, filterbar nach Datum, Produkt, Kunde und Zahlungsart.</w:t>
      </w:r>
    </w:p>
    <w:p w:rsidR="00000000" w:rsidDel="00000000" w:rsidP="00000000" w:rsidRDefault="00000000" w:rsidRPr="00000000" w14:paraId="00000005">
      <w:pPr>
        <w:pBdr>
          <w:top w:color="41413d" w:space="0" w:sz="0" w:val="none"/>
          <w:left w:color="41413d" w:space="0" w:sz="0" w:val="none"/>
          <w:bottom w:color="41413d" w:space="0" w:sz="0" w:val="none"/>
          <w:right w:color="41413d" w:space="0" w:sz="0" w:val="none"/>
          <w:between w:color="41413d" w:space="0" w:sz="0" w:val="none"/>
        </w:pBdr>
        <w:spacing w:after="300" w:before="300" w:line="374.4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➕ Neue Zahlung</w:t>
      </w:r>
      <w:r w:rsidDel="00000000" w:rsidR="00000000" w:rsidRPr="00000000">
        <w:rPr>
          <w:sz w:val="24"/>
          <w:szCs w:val="24"/>
          <w:rtl w:val="0"/>
        </w:rPr>
        <w:t xml:space="preserve"> – Schnelle Erfassung mit automatischer Provisionsberechnung für alle beteiligten Rollen.</w:t>
      </w:r>
    </w:p>
    <w:p w:rsidR="00000000" w:rsidDel="00000000" w:rsidP="00000000" w:rsidRDefault="00000000" w:rsidRPr="00000000" w14:paraId="00000006">
      <w:pPr>
        <w:pBdr>
          <w:top w:color="41413d" w:space="0" w:sz="0" w:val="none"/>
          <w:left w:color="41413d" w:space="0" w:sz="0" w:val="none"/>
          <w:bottom w:color="41413d" w:space="0" w:sz="0" w:val="none"/>
          <w:right w:color="41413d" w:space="0" w:sz="0" w:val="none"/>
          <w:between w:color="41413d" w:space="0" w:sz="0" w:val="none"/>
        </w:pBdr>
        <w:spacing w:after="300" w:before="300" w:line="374.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📅 Raten</w:t>
      </w:r>
      <w:r w:rsidDel="00000000" w:rsidR="00000000" w:rsidRPr="00000000">
        <w:rPr>
          <w:sz w:val="24"/>
          <w:szCs w:val="24"/>
          <w:rtl w:val="0"/>
        </w:rPr>
        <w:t xml:space="preserve"> – Verwaltung von Ratenplänen mit Fälligkeits-Tracking und Hervorhebung überfälliger Posten.</w:t>
      </w:r>
    </w:p>
    <w:p w:rsidR="00000000" w:rsidDel="00000000" w:rsidP="00000000" w:rsidRDefault="00000000" w:rsidRPr="00000000" w14:paraId="00000007">
      <w:pPr>
        <w:pBdr>
          <w:top w:color="41413d" w:space="0" w:sz="0" w:val="none"/>
          <w:left w:color="41413d" w:space="0" w:sz="0" w:val="none"/>
          <w:bottom w:color="41413d" w:space="0" w:sz="0" w:val="none"/>
          <w:right w:color="41413d" w:space="0" w:sz="0" w:val="none"/>
          <w:between w:color="41413d" w:space="0" w:sz="0" w:val="none"/>
        </w:pBdr>
        <w:spacing w:after="300" w:before="300" w:line="374.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💸 Auszahlungen</w:t>
      </w:r>
      <w:r w:rsidDel="00000000" w:rsidR="00000000" w:rsidRPr="00000000">
        <w:rPr>
          <w:sz w:val="24"/>
          <w:szCs w:val="24"/>
          <w:rtl w:val="0"/>
        </w:rPr>
        <w:t xml:space="preserve"> – Wöchentliche Provisionsübersicht pro Person, mit Ein-Klick-Status „Ausgezahlt" und Rückgängig-Funktion.</w:t>
      </w:r>
    </w:p>
    <w:p w:rsidR="00000000" w:rsidDel="00000000" w:rsidP="00000000" w:rsidRDefault="00000000" w:rsidRPr="00000000" w14:paraId="00000008">
      <w:pPr>
        <w:pBdr>
          <w:top w:color="41413d" w:space="0" w:sz="0" w:val="none"/>
          <w:left w:color="41413d" w:space="0" w:sz="0" w:val="none"/>
          <w:bottom w:color="41413d" w:space="0" w:sz="0" w:val="none"/>
          <w:right w:color="41413d" w:space="0" w:sz="0" w:val="none"/>
          <w:between w:color="41413d" w:space="0" w:sz="0" w:val="none"/>
        </w:pBdr>
        <w:spacing w:after="300" w:before="300" w:line="374.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📊 Statistik</w:t>
      </w:r>
      <w:r w:rsidDel="00000000" w:rsidR="00000000" w:rsidRPr="00000000">
        <w:rPr>
          <w:sz w:val="24"/>
          <w:szCs w:val="24"/>
          <w:rtl w:val="0"/>
        </w:rPr>
        <w:t xml:space="preserve"> – Tracking-Dashboard mit Umsatzverlauf, Funnel-Analyse, Conversion-Rates und Close-CRM-Integration.</w:t>
      </w:r>
    </w:p>
    <w:p w:rsidR="00000000" w:rsidDel="00000000" w:rsidP="00000000" w:rsidRDefault="00000000" w:rsidRPr="00000000" w14:paraId="00000009">
      <w:pPr>
        <w:pBdr>
          <w:top w:color="41413d" w:space="0" w:sz="0" w:val="none"/>
          <w:left w:color="41413d" w:space="0" w:sz="0" w:val="none"/>
          <w:bottom w:color="41413d" w:space="0" w:sz="0" w:val="none"/>
          <w:right w:color="41413d" w:space="0" w:sz="0" w:val="none"/>
          <w:between w:color="41413d" w:space="0" w:sz="0" w:val="none"/>
        </w:pBdr>
        <w:spacing w:before="300" w:line="374.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⚙️ Einstellungen</w:t>
      </w:r>
      <w:r w:rsidDel="00000000" w:rsidR="00000000" w:rsidRPr="00000000">
        <w:rPr>
          <w:sz w:val="24"/>
          <w:szCs w:val="24"/>
          <w:rtl w:val="0"/>
        </w:rPr>
        <w:t xml:space="preserve"> – Konfiguration von Provisionssätzen, Team, Produkten und Integrationen – ohne technisches Wissen.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