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41413d" w:space="0" w:sz="0" w:val="none"/>
          <w:left w:color="41413d" w:space="0" w:sz="0" w:val="none"/>
          <w:bottom w:color="41413d" w:space="0" w:sz="0" w:val="none"/>
          <w:right w:color="41413d" w:space="0" w:sz="0" w:val="none"/>
          <w:between w:color="41413d" w:space="0" w:sz="0" w:val="none"/>
        </w:pBdr>
        <w:spacing w:before="240" w:line="420" w:lineRule="auto"/>
        <w:rPr>
          <w:b w:val="1"/>
          <w:bCs w:val="1"/>
          <w:sz w:val="46"/>
          <w:szCs w:val="46"/>
        </w:rPr>
      </w:pPr>
      <w:bookmarkStart w:colFirst="0" w:colLast="0" w:name="_yl11e2lxzta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C&amp;C Tracking Dashboard</w:t>
      </w:r>
    </w:p>
    <w:p w:rsidR="00000000" w:rsidDel="00000000" w:rsidP="00000000" w:rsidRDefault="00000000" w:rsidRPr="00000000" w14:paraId="00000002">
      <w:pPr>
        <w:pBdr>
          <w:top w:color="41413d" w:space="0" w:sz="0" w:val="none"/>
          <w:left w:color="41413d" w:space="0" w:sz="0" w:val="none"/>
          <w:bottom w:color="41413d" w:space="0" w:sz="0" w:val="none"/>
          <w:right w:color="41413d" w:space="0" w:sz="0" w:val="none"/>
          <w:between w:color="41413d" w:space="0" w:sz="0" w:val="none"/>
        </w:pBdr>
        <w:spacing w:after="300" w:before="300" w:line="374.4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Allgemein:</w:t>
      </w:r>
      <w:r w:rsidDel="00000000" w:rsidR="00000000" w:rsidRPr="00000000">
        <w:rPr>
          <w:sz w:val="24"/>
          <w:szCs w:val="24"/>
          <w:rtl w:val="0"/>
        </w:rPr>
        <w:t xml:space="preserve"> Live-Analytics-Dashboard, das Marketing-, Funnel- und Sales-Performance in Echtzeit visualisiert – mit flexiblen Zeiträumen (Tag, Woche, Monat, individuell) und detaillierten Drill-Down-Pop-ups.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41413d" w:space="0" w:sz="0" w:val="none"/>
          <w:left w:color="41413d" w:space="0" w:sz="0" w:val="none"/>
          <w:bottom w:color="41413d" w:space="0" w:sz="0" w:val="none"/>
          <w:right w:color="41413d" w:space="0" w:sz="0" w:val="none"/>
          <w:between w:color="41413d" w:space="0" w:sz="0" w:val="none"/>
        </w:pBdr>
        <w:spacing w:after="300" w:line="374.4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📈 Übersicht</w:t>
      </w:r>
      <w:r w:rsidDel="00000000" w:rsidR="00000000" w:rsidRPr="00000000">
        <w:rPr>
          <w:sz w:val="24"/>
          <w:szCs w:val="24"/>
          <w:rtl w:val="0"/>
        </w:rPr>
        <w:t xml:space="preserve"> – Zentrale KPIs auf einen Blick: DMs, Link-Klicks, LT-Käufe und LT-Umsatz im gewählten Zeitraum.</w:t>
      </w:r>
    </w:p>
    <w:p w:rsidR="00000000" w:rsidDel="00000000" w:rsidP="00000000" w:rsidRDefault="00000000" w:rsidRPr="00000000" w14:paraId="00000005">
      <w:pPr>
        <w:pBdr>
          <w:top w:color="41413d" w:space="0" w:sz="0" w:val="none"/>
          <w:left w:color="41413d" w:space="0" w:sz="0" w:val="none"/>
          <w:bottom w:color="41413d" w:space="0" w:sz="0" w:val="none"/>
          <w:right w:color="41413d" w:space="0" w:sz="0" w:val="none"/>
          <w:between w:color="41413d" w:space="0" w:sz="0" w:val="none"/>
        </w:pBdr>
        <w:spacing w:after="300" w:before="300" w:line="374.4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🌐 Website / Funnel</w:t>
      </w:r>
      <w:r w:rsidDel="00000000" w:rsidR="00000000" w:rsidRPr="00000000">
        <w:rPr>
          <w:sz w:val="24"/>
          <w:szCs w:val="24"/>
          <w:rtl w:val="0"/>
        </w:rPr>
        <w:t xml:space="preserve"> – Visualisierung des kompletten Conversion-Funnels von Link-Klicks über Button-Klicks bis zum LT-Kauf, inkl. Conversion-Rates und Trendanalysen.</w:t>
      </w:r>
    </w:p>
    <w:p w:rsidR="00000000" w:rsidDel="00000000" w:rsidP="00000000" w:rsidRDefault="00000000" w:rsidRPr="00000000" w14:paraId="00000006">
      <w:pPr>
        <w:pBdr>
          <w:top w:color="41413d" w:space="0" w:sz="0" w:val="none"/>
          <w:left w:color="41413d" w:space="0" w:sz="0" w:val="none"/>
          <w:bottom w:color="41413d" w:space="0" w:sz="0" w:val="none"/>
          <w:right w:color="41413d" w:space="0" w:sz="0" w:val="none"/>
          <w:between w:color="41413d" w:space="0" w:sz="0" w:val="none"/>
        </w:pBdr>
        <w:spacing w:after="300" w:before="300" w:line="374.4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📞 Close / Calls</w:t>
      </w:r>
      <w:r w:rsidDel="00000000" w:rsidR="00000000" w:rsidRPr="00000000">
        <w:rPr>
          <w:sz w:val="24"/>
          <w:szCs w:val="24"/>
          <w:rtl w:val="0"/>
        </w:rPr>
        <w:t xml:space="preserve"> – Auswertung der Setter- und Closer-Performance aus Close CRM: Termine, Show-Rate, Closing-Rate, neue Leads und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Chatter Abdeckung</w:t>
      </w:r>
      <w:r w:rsidDel="00000000" w:rsidR="00000000" w:rsidRPr="00000000">
        <w:rPr>
          <w:sz w:val="24"/>
          <w:szCs w:val="24"/>
          <w:rtl w:val="0"/>
        </w:rPr>
        <w:t xml:space="preserve"> via Superchat-Abgleich.</w:t>
      </w:r>
    </w:p>
    <w:p w:rsidR="00000000" w:rsidDel="00000000" w:rsidP="00000000" w:rsidRDefault="00000000" w:rsidRPr="00000000" w14:paraId="00000007">
      <w:pPr>
        <w:pBdr>
          <w:top w:color="41413d" w:space="0" w:sz="0" w:val="none"/>
          <w:left w:color="41413d" w:space="0" w:sz="0" w:val="none"/>
          <w:bottom w:color="41413d" w:space="0" w:sz="0" w:val="none"/>
          <w:right w:color="41413d" w:space="0" w:sz="0" w:val="none"/>
          <w:between w:color="41413d" w:space="0" w:sz="0" w:val="none"/>
        </w:pBdr>
        <w:spacing w:after="300" w:before="300" w:line="374.4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👥 Team Performance</w:t>
      </w:r>
      <w:r w:rsidDel="00000000" w:rsidR="00000000" w:rsidRPr="00000000">
        <w:rPr>
          <w:sz w:val="24"/>
          <w:szCs w:val="24"/>
          <w:rtl w:val="0"/>
        </w:rPr>
        <w:t xml:space="preserve"> – Individuelle Leistung pro Teammitglied mit direktem Vergleich von Aktivitäten und Ergebnissen.</w:t>
      </w:r>
    </w:p>
    <w:p w:rsidR="00000000" w:rsidDel="00000000" w:rsidP="00000000" w:rsidRDefault="00000000" w:rsidRPr="00000000" w14:paraId="00000008">
      <w:pPr>
        <w:pBdr>
          <w:top w:color="41413d" w:space="0" w:sz="0" w:val="none"/>
          <w:left w:color="41413d" w:space="0" w:sz="0" w:val="none"/>
          <w:bottom w:color="41413d" w:space="0" w:sz="0" w:val="none"/>
          <w:right w:color="41413d" w:space="0" w:sz="0" w:val="none"/>
          <w:between w:color="41413d" w:space="0" w:sz="0" w:val="none"/>
        </w:pBdr>
        <w:spacing w:before="300" w:line="374.4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🔍 Detail-Pop-ups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– Jeder KPI lässt sich per Klick öffnen für Verlaufsdiagramm, Trendindikator (↗/↘) und Durchschnittswerte pro Tag.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