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Garamond" w:cs="Garamond" w:eastAsia="Garamond" w:hAnsi="Garamond"/>
          <w:b/>
          <w:bCs/>
          <w:color w:val="0A4C6C"/>
          <w:sz w:val="48"/>
          <w:szCs w:val="48"/>
        </w:rPr>
        <w:t xml:space="preserve">PROVENARC MARINE</w:t>
      </w:r>
    </w:p>
    <w:p>
      <w:pPr>
        <w:spacing w:after="240"/>
        <w:jc w:val="center"/>
      </w:pPr>
      <w:r>
        <w:rPr>
          <w:rFonts w:ascii="Garamond" w:cs="Garamond" w:eastAsia="Garamond" w:hAnsi="Garamond"/>
          <w:color w:val="1B6384"/>
          <w:sz w:val="32"/>
          <w:szCs w:val="32"/>
        </w:rPr>
        <w:t xml:space="preserve">Premium Vessel Documentation &amp; Preservation</w:t>
      </w:r>
    </w:p>
    <w:p>
      <w:pPr>
        <w:spacing w:after="1440"/>
        <w:jc w:val="center"/>
      </w:pPr>
      <w:r>
        <w:rPr>
          <w:rFonts w:ascii="Garamond" w:cs="Garamond" w:eastAsia="Garamond" w:hAnsi="Garamond"/>
          <w:i/>
          <w:iCs/>
          <w:color w:val="666666"/>
          <w:sz w:val="24"/>
          <w:szCs w:val="24"/>
        </w:rPr>
        <w:t xml:space="preserve">Complete Website Content Suite</w:t>
      </w:r>
    </w:p>
    <w:p>
      <w:pPr>
        <w:pBdr>
          <w:top w:val="single" w:color="0A4C6C" w:sz="12"/>
          <w:bottom w:val="single" w:color="0A4C6C" w:sz="12"/>
        </w:pBdr>
        <w:spacing w:before="240" w:after="240"/>
        <w:jc w:val="center"/>
      </w:pPr>
      <w:r>
        <w:rPr>
          <w:rFonts w:ascii="Garamond" w:cs="Garamond" w:eastAsia="Garamond" w:hAnsi="Garamond"/>
          <w:b/>
          <w:bCs/>
          <w:color w:val="0A4C6C"/>
          <w:sz w:val="26"/>
          <w:szCs w:val="26"/>
        </w:rPr>
        <w:t xml:space="preserve">From Logbooks to Waterlines — Three Decades of Maritime Excellence</w:t>
      </w:r>
    </w:p>
    <w:p>
      <w:pPr>
        <w:spacing w:before="480"/>
        <w:jc w:val="center"/>
      </w:pPr>
      <w:r>
        <w:rPr>
          <w:rFonts w:ascii="Garamond" w:cs="Garamond" w:eastAsia="Garamond" w:hAnsi="Garamond"/>
          <w:color w:val="999999"/>
          <w:sz w:val="20"/>
          <w:szCs w:val="20"/>
        </w:rPr>
        <w:t xml:space="preserve">A Division of Provenarc Group LLC</w:t>
      </w:r>
    </w:p>
    <w:p>
      <w:r>
        <w:br w:type="page"/>
      </w:r>
    </w:p>
    <w:p>
      <w:pPr>
        <w:pStyle w:val="Heading1"/>
      </w:pPr>
      <w:r>
        <w:t xml:space="preserve">Homepage Hero Content</w:t>
      </w:r>
    </w:p>
    <w:p>
      <w:pPr>
        <w:pStyle w:val="Heading2"/>
      </w:pPr>
      <w:r>
        <w:t xml:space="preserve">Primary Headline Options</w:t>
      </w:r>
    </w:p>
    <w:p>
      <w:pPr>
        <w:pStyle w:val="ListParagraph"/>
        <w:numPr>
          <w:ilvl w:val="0"/>
          <w:numId w:val="2"/>
        </w:numPr>
      </w:pPr>
      <w:r>
        <w:t xml:space="preserve">Preserving Maritime Heritage with Three Decades of Precision</w:t>
      </w:r>
    </w:p>
    <w:p>
      <w:pPr>
        <w:pStyle w:val="ListParagraph"/>
        <w:numPr>
          <w:ilvl w:val="0"/>
          <w:numId w:val="2"/>
        </w:numPr>
      </w:pPr>
      <w:r>
        <w:t xml:space="preserve">Museum-Grade Vessel Documentation for Superyachts and Classic Vessels</w:t>
      </w:r>
    </w:p>
    <w:p>
      <w:pPr>
        <w:pStyle w:val="ListParagraph"/>
        <w:numPr>
          <w:ilvl w:val="0"/>
          <w:numId w:val="2"/>
        </w:numPr>
      </w:pPr>
      <w:r>
        <w:t xml:space="preserve">Where Maritime Excellence Meets Archival Preservation</w:t>
      </w:r>
    </w:p>
    <w:p>
      <w:pPr>
        <w:pStyle w:val="Heading2"/>
      </w:pPr>
      <w:r>
        <w:t xml:space="preserve">Subheadline</w:t>
      </w:r>
    </w:p>
    <w:p>
      <w:pPr>
        <w:spacing w:after="240"/>
      </w:pPr>
      <w:r>
        <w:rPr>
          <w:sz w:val="24"/>
          <w:szCs w:val="24"/>
        </w:rPr>
        <w:t xml:space="preserve">Professional vessel documentation combining maritime expertise, drone-based hull and superstructure scanning, and museum-grade archival volumes. From yacht surveys to historic vessel preservation — your maritime legacy deserves permanent documentation.</w:t>
      </w:r>
    </w:p>
    <w:p>
      <w:pPr>
        <w:pStyle w:val="Heading2"/>
      </w:pPr>
      <w:r>
        <w:t xml:space="preserve">Hero Paragraph</w:t>
      </w:r>
    </w:p>
    <w:p>
      <w:pPr>
        <w:spacing w:before="240" w:after="240"/>
      </w:pPr>
      <w:r>
        <w:rPr>
          <w:sz w:val="24"/>
          <w:szCs w:val="24"/>
        </w:rPr>
        <w:t xml:space="preserve">Provenarc Marine brings thirty years of combined expertise in maritime operations, vessel surveying, and documentation compliance to every engagement. Founded by professionals who understand that vessel documentation serves purposes far beyond regulatory compliance — it preserves maritime heritage, protects transaction value, and establishes baseline condition evidence critical for insurance and resale.
Our proprietary documentation process integrates traditional logbook and maintenance record digitization with advanced drone technology that captures hull, superstructure, and mechanical systems with millimeter precision. Original documents never leave your vessel or shore facility. We travel globally to marinas, shipyards, and private docks, bringing museum-grade archival capabilities to vessels ranging from classic sailing yachts to modern superyachts.
Every deliverable meets dual standards: immediate operational utility for crew, surveyors, and insurance underwriters, and permanent archival quality designed to survive generations of ownership transfers. Whether preparing for survey, documenting restoration projects, or preserving family maritime legacy, we deliver documentation that honors your vessel's heritage.</w:t>
      </w:r>
    </w:p>
    <w:p>
      <w:r>
        <w:br w:type="page"/>
      </w:r>
    </w:p>
    <w:p>
      <w:pPr>
        <w:pStyle w:val="Heading1"/>
      </w:pPr>
      <w:r>
        <w:t xml:space="preserve">Our Maritime Heritage</w:t>
      </w:r>
    </w:p>
    <w:p>
      <w:pPr>
        <w:spacing w:after="240"/>
      </w:pPr>
      <w:r>
        <w:rPr>
          <w:sz w:val="24"/>
          <w:szCs w:val="24"/>
        </w:rPr>
        <w:t xml:space="preserve">Provenarc Marine was established by professionals whose careers span marine surveying, yacht operations, and maritime documentation compliance. Our team includes individuals who have conducted hundreds of pre-purchase surveys, managed documentation for commercial fleets, and navigated international registry requirements across multiple flag states.
This experience informs every aspect of our service delivery. We understand Coast Guard documentation requirements not from reading regulations but from years of processing vessel transfers and registry applications. We recognize the critical importance of complete maintenance logs when insurers evaluate hull coverage. We have witnessed transaction failures caused by missing documentation and insurance disputes arising from inadequate baseline condition evidence.
Maritime documentation presents unique challenges that aviation and automotive contexts do not. Vessels operate in corrosive saltwater environments where condition evolves rapidly. International operations create complex flag state and port state documentation requirements. Multiple ownership structures — corporate entities, trusts, flag of convenience registrations — demand meticulous chain of title documentation. Classic vessel restoration projects require historical research that extends decades into maritime archives.</w:t>
      </w:r>
    </w:p>
    <w:p>
      <w:pPr>
        <w:pStyle w:val="Heading2"/>
      </w:pPr>
      <w:r>
        <w:t xml:space="preserve">What Sets Maritime Documentation Apart</w:t>
      </w:r>
    </w:p>
    <w:p>
      <w:pPr>
        <w:pStyle w:val="Heading3"/>
      </w:pPr>
      <w:r>
        <w:t xml:space="preserve">Environmental Complexity</w:t>
      </w:r>
    </w:p>
    <w:p>
      <w:pPr>
        <w:spacing w:after="160"/>
      </w:pPr>
      <w:r>
        <w:rPr>
          <w:sz w:val="24"/>
          <w:szCs w:val="24"/>
        </w:rPr>
        <w:t xml:space="preserve">Marine environments accelerate documentation degradation. Logbooks stored aboard vessels face humidity, salt air, and motion stress that paper archives were never designed to withstand. We have encountered maintenance logs where entire sections have become illegible from water damage or mold contamination. Professional digitization becomes not just convenience but preservation necessity.</w:t>
      </w:r>
    </w:p>
    <w:p>
      <w:pPr>
        <w:pStyle w:val="Heading3"/>
      </w:pPr>
      <w:r>
        <w:t xml:space="preserve">International Registry Navigation</w:t>
      </w:r>
    </w:p>
    <w:p>
      <w:pPr>
        <w:spacing w:after="160"/>
      </w:pPr>
      <w:r>
        <w:rPr>
          <w:sz w:val="24"/>
          <w:szCs w:val="24"/>
        </w:rPr>
        <w:t xml:space="preserve">Flag state registration requirements vary dramatically. Cayman Islands registry demands differ from Marshall Islands which differ from United States Coast Guard documentation. Our team has processed vessel documentation across seventeen flag jurisdictions and understands the specific evidence each registry requires for ownership transfers, mortgages, and compliance verification.</w:t>
      </w:r>
    </w:p>
    <w:p>
      <w:pPr>
        <w:pStyle w:val="Heading3"/>
      </w:pPr>
      <w:r>
        <w:t xml:space="preserve">Survey and Insurance Integration</w:t>
      </w:r>
    </w:p>
    <w:p>
      <w:pPr>
        <w:spacing w:after="240"/>
      </w:pPr>
      <w:r>
        <w:rPr>
          <w:sz w:val="24"/>
          <w:szCs w:val="24"/>
        </w:rPr>
        <w:t xml:space="preserve">Marine surveyors conducting condition and valuation assessments increasingly request comprehensive documentation packages that extend beyond traditional logbooks. Hull ultrasonic thickness testing results, recent haul-out photographs, engine alignment reports, electrical system diagrams — the scope of documentation relevant to vessel valuation exceeds simple maintenance logs. Our comprehensive documentation packages integrate all relevant evidence in formats surveyors and underwriters recognize as professional standard.</w:t>
      </w:r>
    </w:p>
    <w:p>
      <w:r>
        <w:br w:type="page"/>
      </w:r>
    </w:p>
    <w:p>
      <w:pPr>
        <w:pStyle w:val="Heading1"/>
      </w:pPr>
      <w:r>
        <w:t xml:space="preserve">Services and Capabilities</w:t>
      </w:r>
    </w:p>
    <w:p>
      <w:pPr>
        <w:pStyle w:val="Heading2"/>
      </w:pPr>
      <w:r>
        <w:t xml:space="preserve">Complete Vessel Documentation</w:t>
      </w:r>
    </w:p>
    <w:p>
      <w:pPr>
        <w:spacing w:after="240"/>
      </w:pPr>
      <w:r>
        <w:rPr>
          <w:sz w:val="24"/>
          <w:szCs w:val="24"/>
        </w:rPr>
        <w:t xml:space="preserve">Provenarc Marine provides integrated documentation services that address both regulatory compliance and heritage preservation. Every engagement begins with comprehensive assessment of existing documentation — identifying gaps, evaluating condition, and establishing preservation priorities. Field service proceeds methodically whether aboard vessel or at shore facility, with original documents never leaving owner custody.</w:t>
      </w:r>
    </w:p>
    <w:p>
      <w:pPr>
        <w:pStyle w:val="Heading3"/>
      </w:pPr>
      <w:r>
        <w:t xml:space="preserve">Logbook and Maintenance Record Digitization</w:t>
      </w:r>
    </w:p>
    <w:p>
      <w:pPr>
        <w:spacing w:after="160"/>
      </w:pPr>
      <w:r>
        <w:rPr>
          <w:sz w:val="24"/>
          <w:szCs w:val="24"/>
        </w:rPr>
        <w:t xml:space="preserve">Official logbooks documenting vessel operations, maintenance logs tracking engine hours and service intervals, equipment installation records, safety inspection certificates, classification society survey reports — comprehensive digitization with professional OCR technology makes decades of handwritten entries fully searchable. Metadata tagging enables instant retrieval by date, system, or maintenance type. Cloud hosting through our VesselVault platform provides secure access for crew, owners, brokers, and surveyors.</w:t>
      </w:r>
    </w:p>
    <w:p>
      <w:pPr>
        <w:pStyle w:val="Heading3"/>
      </w:pPr>
      <w:r>
        <w:t xml:space="preserve">Drone-Based Hull and Superstructure Documentation</w:t>
      </w:r>
    </w:p>
    <w:p>
      <w:pPr>
        <w:spacing w:after="160"/>
      </w:pPr>
      <w:r>
        <w:rPr>
          <w:sz w:val="24"/>
          <w:szCs w:val="24"/>
        </w:rPr>
        <w:t xml:space="preserve">Professional-grade drones equipped with high-resolution cameras and LiDAR sensors capture complete hull documentation from waterline to superstructure. This technology proves especially valuable for vessels at dock where traditional underwater hull inspection requires haul-out. Superstructure details including rigging, mast hardware, radar arches, and flybridge equipment receive millimeter-level documentation. Baseline condition scans establish permanent evidence for insurance underwriting and future survey comparison.</w:t>
      </w:r>
    </w:p>
    <w:p>
      <w:pPr>
        <w:pStyle w:val="Heading3"/>
      </w:pPr>
      <w:r>
        <w:t xml:space="preserve">Interior and Mechanical Systems Scanning</w:t>
      </w:r>
    </w:p>
    <w:p>
      <w:pPr>
        <w:spacing w:after="160"/>
      </w:pPr>
      <w:r>
        <w:rPr>
          <w:sz w:val="24"/>
          <w:szCs w:val="24"/>
        </w:rPr>
        <w:t xml:space="preserve">Interior configuration documentation preserves custom joinery, entertainment systems, and luxury appointments that define superyacht value. Engine room scanning captures main propulsion, generators, HVAC systems, and auxiliary equipment with detail that supports maintenance planning and refit specifications. Galley equipment, navigation electronics, and safety systems receive comprehensive documentation supporting insurance requirements and crew training.</w:t>
      </w:r>
    </w:p>
    <w:p>
      <w:pPr>
        <w:pStyle w:val="Heading3"/>
      </w:pPr>
      <w:r>
        <w:t xml:space="preserve">Museum-Grade Archival Volumes</w:t>
      </w:r>
    </w:p>
    <w:p>
      <w:pPr>
        <w:spacing w:after="240"/>
      </w:pPr>
      <w:r>
        <w:rPr>
          <w:sz w:val="24"/>
          <w:szCs w:val="24"/>
        </w:rPr>
        <w:t xml:space="preserve">Physical documentation volumes bound with museum-grade archival materials transform vessel logbooks into maritime heritage artifacts. Acid-free paper, full-color reproduction of original documents, Smyth-sewn binding, custom embossing featuring vessel name and port of registry — these volumes serve operational purposes aboard vessel while functioning as permanent family archives independent of digital platform longevity. Some clients commission multiple sets for vessel operations, shore office reference, and family legacy preservation.</w:t>
      </w:r>
    </w:p>
    <w:p>
      <w:r>
        <w:br w:type="page"/>
      </w:r>
    </w:p>
    <w:p>
      <w:pPr>
        <w:pStyle w:val="Heading1"/>
      </w:pPr>
      <w:r>
        <w:t xml:space="preserve">Service Tier Structure</w:t>
      </w:r>
    </w:p>
    <w:p>
      <w:pPr>
        <w:pStyle w:val="Heading2"/>
      </w:pPr>
      <w:r>
        <w:t xml:space="preserve">Tier 1: Essential Vessel Documentation</w:t>
      </w:r>
    </w:p>
    <w:p>
      <w:pPr>
        <w:spacing w:after="240"/>
      </w:pPr>
      <w:r>
        <w:rPr>
          <w:sz w:val="24"/>
          <w:szCs w:val="24"/>
        </w:rPr>
        <w:t xml:space="preserve">Comprehensive digitization of vessel logbooks, maintenance records, registration documents, and safety certificates. Professional scanning with OCR technology creates searchable archives accessible through secure cloud platform. Ideal for Coast Guard documentation transfers, insurance renewals, and basic compliance requirements.
Base Investment: Seventeen thousand to twenty-two thousand dollars depending on document volume and vessel location. Standard turnaround twenty-five to thirty days. Museum-grade archival volume available as optional add-on.</w:t>
      </w:r>
    </w:p>
    <w:p>
      <w:pPr>
        <w:pStyle w:val="Heading2"/>
      </w:pPr>
      <w:r>
        <w:t xml:space="preserve">Tier 2: Complete Vessel Documentation</w:t>
      </w:r>
    </w:p>
    <w:p>
      <w:pPr>
        <w:spacing w:after="240"/>
      </w:pPr>
      <w:r>
        <w:rPr>
          <w:sz w:val="24"/>
          <w:szCs w:val="24"/>
        </w:rPr>
        <w:t xml:space="preserve">Essential documentation plus comprehensive drone-based exterior scanning capturing hull, superstructure, rigging, and deck equipment. Interior scanning documents saloon, staterooms, galley, and crew areas. Creates baseline condition evidence for insurance underwriting and establishes pre-survey documentation.
Base Investment: Thirty-eight thousand to forty-eight thousand dollars. Standard turnaround thirty to thirty-five days. Museum-grade archival volume included as standard deliverable.</w:t>
      </w:r>
    </w:p>
    <w:p>
      <w:pPr>
        <w:pStyle w:val="Heading2"/>
      </w:pPr>
      <w:r>
        <w:t xml:space="preserve">Tier 3: Premium Comprehensive Documentation</w:t>
      </w:r>
    </w:p>
    <w:p>
      <w:pPr>
        <w:spacing w:after="240"/>
      </w:pPr>
      <w:r>
        <w:rPr>
          <w:sz w:val="24"/>
          <w:szCs w:val="24"/>
        </w:rPr>
        <w:t xml:space="preserve">Complete vessel documentation extended to mechanical systems including engine room, propulsion equipment, generators, HVAC systems, and navigation electronics. Supports major refit planning, classification society survey preparation, and pre-purchase technical due diligence.
Base Investment: Fifty-eight thousand to seventy-two thousand dollars. Standard turnaround thirty-five to forty days. Premium museum-grade archival volumes with custom nautical embossing included.</w:t>
      </w:r>
    </w:p>
    <w:p>
      <w:pPr>
        <w:pStyle w:val="Heading2"/>
      </w:pPr>
      <w:r>
        <w:t xml:space="preserve">Tier 4: Superyacht Executive Documentation</w:t>
      </w:r>
    </w:p>
    <w:p>
      <w:pPr>
        <w:spacing w:after="240"/>
      </w:pPr>
      <w:r>
        <w:rPr>
          <w:sz w:val="24"/>
          <w:szCs w:val="24"/>
        </w:rPr>
        <w:t xml:space="preserve">Comprehensive documentation for vessels where condition evidence directly impacts transaction outcomes and insurance positioning. Multi-day engagements with senior technician teams capture every system with forensic thoroughness. Includes historical documentation research, coordination with shipyards and flag registries, and custom deliverable formatting for specific survey or transaction requirements.
Base Investment: One hundred sixty thousand to one hundred ninety thousand dollars. Standard turnaround forty to fifty days. Hand-crafted museum-grade multi-volume sets with leather binding and gold leaf embossing included.</w:t>
      </w:r>
    </w:p>
    <w:p>
      <w:pPr>
        <w:pStyle w:val="Heading2"/>
      </w:pPr>
      <w:r>
        <w:t xml:space="preserve">Tier 5: Flagship Heritage Preservation</w:t>
      </w:r>
    </w:p>
    <w:p>
      <w:pPr>
        <w:spacing w:after="240"/>
      </w:pPr>
      <w:r>
        <w:rPr>
          <w:sz w:val="24"/>
          <w:szCs w:val="24"/>
        </w:rPr>
        <w:t xml:space="preserve">Reserved for historic vessels, classic sailing yachts, and ultra-premium motor yachts where documentation represents permanent maritime heritage preservation. Multi-week engagements include archival research engaging with prior owners and builders, coordination with maritime museums and historians, restoration project documentation, and comprehensive ownership transition packages. The definitive vessel heritage archive.
Base Investment: Two hundred thirty thousand to two hundred eighty thousand dollars. Custom timeline based on research scope. Museum-grade archival volumes meeting institutional preservation standards with acid-free materials certified for century-scale longevity.</w:t>
      </w:r>
    </w:p>
    <w:p>
      <w:r>
        <w:br w:type="page"/>
      </w:r>
    </w:p>
    <w:p>
      <w:pPr>
        <w:pStyle w:val="Heading1"/>
      </w:pPr>
      <w:r>
        <w:t xml:space="preserve">Yacht Broker and Sales Agent Services</w:t>
      </w:r>
    </w:p>
    <w:p>
      <w:pPr>
        <w:spacing w:after="240"/>
      </w:pPr>
      <w:r>
        <w:rPr>
          <w:sz w:val="24"/>
          <w:szCs w:val="24"/>
        </w:rPr>
        <w:t xml:space="preserve">Yacht brokerage operates in an environment where documentation quality directly influences transaction velocity and commission realization. Buyers conducting due diligence on seven-figure and eight-figure vessels demand comprehensive condition evidence. Incomplete documentation creates negotiating leverage for price reductions. Professional documentation packages differentiate premium listings and demonstrate seller stewardship.
Provenarc Marine offers specialized partnership programs for yacht brokers and sales professionals. We understand transaction deadlines, buyer expectations, and the importance of presentation quality in luxury yacht marketing.</w:t>
      </w:r>
    </w:p>
    <w:p>
      <w:pPr>
        <w:pStyle w:val="Heading2"/>
      </w:pPr>
      <w:r>
        <w:t xml:space="preserve">Broker Partnership Models</w:t>
      </w:r>
    </w:p>
    <w:p>
      <w:pPr>
        <w:pStyle w:val="Heading3"/>
      </w:pPr>
      <w:r>
        <w:t xml:space="preserve">Referral Partnership</w:t>
      </w:r>
    </w:p>
    <w:p>
      <w:pPr>
        <w:spacing w:after="160"/>
      </w:pPr>
      <w:r>
        <w:rPr>
          <w:sz w:val="24"/>
          <w:szCs w:val="24"/>
        </w:rPr>
        <w:t xml:space="preserve">Refer yacht sale clients to Provenarc Marine and receive referral fees structured as percentage of base service fees. We handle all documentation service delivery while you focus on transaction management. Referral fees paid upon project completion.</w:t>
      </w:r>
    </w:p>
    <w:p>
      <w:pPr>
        <w:pStyle w:val="Heading3"/>
      </w:pPr>
      <w:r>
        <w:t xml:space="preserve">White-Label Documentation Services</w:t>
      </w:r>
    </w:p>
    <w:p>
      <w:pPr>
        <w:spacing w:after="160"/>
      </w:pPr>
      <w:r>
        <w:rPr>
          <w:sz w:val="24"/>
          <w:szCs w:val="24"/>
        </w:rPr>
        <w:t xml:space="preserve">Offer comprehensive vessel documentation under your brokerage brand as value-added service to sellers. We provide expertise and execution, you present deliverables as premium listing enhancement. Revenue sharing provisions and co-marketing support included.</w:t>
      </w:r>
    </w:p>
    <w:p>
      <w:pPr>
        <w:pStyle w:val="Heading3"/>
      </w:pPr>
      <w:r>
        <w:t xml:space="preserve">Co-Branded Premium Listing Package</w:t>
      </w:r>
    </w:p>
    <w:p>
      <w:pPr>
        <w:spacing w:after="240"/>
      </w:pPr>
      <w:r>
        <w:rPr>
          <w:sz w:val="24"/>
          <w:szCs w:val="24"/>
        </w:rPr>
        <w:t xml:space="preserve">Market professional documentation as distinguishing feature of high-value listings. Both brands appear on museum-grade archival volumes and marketing deliverables. Supports premium commission structures and differentiates your representation from commodity brokerage services.</w:t>
      </w:r>
    </w:p>
    <w:p>
      <w:pPr>
        <w:pStyle w:val="Heading2"/>
      </w:pPr>
      <w:r>
        <w:t xml:space="preserve">Expedited Service for Transaction Deadlines</w:t>
      </w:r>
    </w:p>
    <w:p>
      <w:pPr>
        <w:spacing w:after="240"/>
      </w:pPr>
      <w:r>
        <w:rPr>
          <w:sz w:val="24"/>
          <w:szCs w:val="24"/>
        </w:rPr>
        <w:t xml:space="preserve">Available exclusively to licensed yacht brokers managing active transactions with documented closing deadlines. Standard expedited service achieves fifty percent turnaround reduction through dedicated processing resources. Priority expedited service compresses timelines by sixty-seven percent representing maximum compression without quality compromise. Premium ranges from twenty-five to forty percent of base service fees depending on urgency level required.</w:t>
      </w:r>
    </w:p>
    <w:p>
      <w:pPr>
        <w:pStyle w:val="Heading2"/>
      </w:pPr>
      <w:r>
        <w:t xml:space="preserve">Return on Investment</w:t>
      </w:r>
    </w:p>
    <w:p>
      <w:pPr>
        <w:spacing w:after="240"/>
      </w:pPr>
      <w:r>
        <w:rPr>
          <w:sz w:val="24"/>
          <w:szCs w:val="24"/>
        </w:rPr>
        <w:t xml:space="preserve">Broker partners report transaction timeline reduction of forty to ninety days when professional documentation is provided at listing. On superyachts where monthly operating costs range from fifty thousand to two hundred thousand dollars, timeline compression saves sellers substantial holding costs while accelerating commission realization. Professional documentation frequently prevents price erosion of five to fifteen percent that occurs when buyers identify documentation gaps during survey.</w:t>
      </w:r>
    </w:p>
    <w:p>
      <w:r>
        <w:br w:type="page"/>
      </w:r>
    </w:p>
    <w:p>
      <w:pPr>
        <w:pStyle w:val="Heading1"/>
      </w:pPr>
      <w:r>
        <w:t xml:space="preserve">Historic and Classic Vessel Preservation</w:t>
      </w:r>
    </w:p>
    <w:p>
      <w:pPr>
        <w:spacing w:after="240"/>
      </w:pPr>
      <w:r>
        <w:rPr>
          <w:sz w:val="24"/>
          <w:szCs w:val="24"/>
        </w:rPr>
        <w:t xml:space="preserve">Classic sailing yachts, historic motor vessels, and restored wooden boats represent maritime heritage that transcends commercial value. Documentation for these vessels serves purposes beyond transaction facilitation — it preserves maritime history, supports museum archives, and creates permanent records of restoration craftsmanship.
Provenarc Marine specializes in heritage vessel documentation that meets institutional preservation standards. Our archival volumes have been commissioned by maritime museums, classic yacht societies, and families preserving multi-generational vessel ownership. We coordinate with maritime historians, naval architects, and restoration specialists to create comprehensive documentation that honors vessel significance.</w:t>
      </w:r>
    </w:p>
    <w:p>
      <w:pPr>
        <w:pStyle w:val="Heading2"/>
      </w:pPr>
      <w:r>
        <w:t xml:space="preserve">Heritage Vessel Services</w:t>
      </w:r>
    </w:p>
    <w:p>
      <w:pPr>
        <w:pStyle w:val="Heading3"/>
      </w:pPr>
      <w:r>
        <w:t xml:space="preserve">Historical Documentation Research</w:t>
      </w:r>
    </w:p>
    <w:p>
      <w:pPr>
        <w:spacing w:after="160"/>
      </w:pPr>
      <w:r>
        <w:rPr>
          <w:sz w:val="24"/>
          <w:szCs w:val="24"/>
        </w:rPr>
        <w:t xml:space="preserve">Engaging with builders, prior owners, restoration yards, and maritime archives to compile complete vessel history. Original build specifications, class society records, racing history documentation, notable voyages and ownership transitions — comprehensive research creates definitive vessel biography.</w:t>
      </w:r>
    </w:p>
    <w:p>
      <w:pPr>
        <w:pStyle w:val="Heading3"/>
      </w:pPr>
      <w:r>
        <w:t xml:space="preserve">Restoration Project Documentation</w:t>
      </w:r>
    </w:p>
    <w:p>
      <w:pPr>
        <w:spacing w:after="160"/>
      </w:pPr>
      <w:r>
        <w:rPr>
          <w:sz w:val="24"/>
          <w:szCs w:val="24"/>
        </w:rPr>
        <w:t xml:space="preserve">Before and after documentation capturing restoration processes from initial survey through project completion. Hull restoration, systems upgrades, rigging replacement, interior joinery — comprehensive photographic and dimensional documentation preserves restoration craftsmanship and supports future maintenance planning.</w:t>
      </w:r>
    </w:p>
    <w:p>
      <w:pPr>
        <w:pStyle w:val="Heading3"/>
      </w:pPr>
      <w:r>
        <w:t xml:space="preserve">Museum-Grade Archival Presentation</w:t>
      </w:r>
    </w:p>
    <w:p>
      <w:pPr>
        <w:spacing w:after="240"/>
      </w:pPr>
      <w:r>
        <w:rPr>
          <w:sz w:val="24"/>
          <w:szCs w:val="24"/>
        </w:rPr>
        <w:t xml:space="preserve">Multi-volume archival sets meeting institutional preservation standards suitable for museum archives, maritime library collections, or family legacy documentation. Custom presentation incorporating historical photographs, builder correspondence, class society certificates, and comprehensive vessel biography. These volumes become permanent maritime artifacts independent of vessel ownership.</w:t>
      </w:r>
    </w:p>
    <w:p>
      <w:r>
        <w:br w:type="page"/>
      </w:r>
    </w:p>
    <w:p>
      <w:pPr>
        <w:pStyle w:val="Heading1"/>
      </w:pPr>
      <w:r>
        <w:t xml:space="preserve">Maritime Documentation Technology</w:t>
      </w:r>
    </w:p>
    <w:p>
      <w:pPr>
        <w:pStyle w:val="Heading2"/>
      </w:pPr>
      <w:r>
        <w:t xml:space="preserve">Drone-Based Hull and Superstructure Scanning</w:t>
      </w:r>
    </w:p>
    <w:p>
      <w:pPr>
        <w:spacing w:after="240"/>
      </w:pPr>
      <w:r>
        <w:rPr>
          <w:sz w:val="24"/>
          <w:szCs w:val="24"/>
        </w:rPr>
        <w:t xml:space="preserve">Marine environments present unique challenges for comprehensive documentation. Hull waterline inspection traditionally requires haul-out. Superstructure and rigging documentation demands elevated perspectives difficult to achieve safely aboard vessel. Provenarc Marine employs professional maritime drone operations that capture complete vessel documentation from perspectives impossible with traditional methods.
Our drone pilots maintain FAA Part 107 certification with specialized training in maritime facility operations. We coordinate with marina management, respect waterway traffic patterns, and maintain comprehensive marine liability insurance. All operations adhere to Coast Guard navigation safety requirements and local waterway regulations.</w:t>
      </w:r>
    </w:p>
    <w:p>
      <w:pPr>
        <w:pStyle w:val="Heading3"/>
      </w:pPr>
      <w:r>
        <w:t xml:space="preserve">Hull Documentation Capabilities</w:t>
      </w:r>
    </w:p>
    <w:p>
      <w:pPr>
        <w:spacing w:after="160"/>
      </w:pPr>
      <w:r>
        <w:rPr>
          <w:sz w:val="24"/>
          <w:szCs w:val="24"/>
        </w:rPr>
        <w:t xml:space="preserve">Complete waterline documentation without haul-out requirement. Drone-based imaging captures hull condition, bottom paint status, through-hull fittings, rudder and running gear — evidence traditionally available only during yard period. This documentation supports insurance underwriting, enables remote surveyor preliminary assessment, and establishes baseline condition for future comparison.</w:t>
      </w:r>
    </w:p>
    <w:p>
      <w:pPr>
        <w:pStyle w:val="Heading3"/>
      </w:pPr>
      <w:r>
        <w:t xml:space="preserve">Superstructure and Rigging Detail</w:t>
      </w:r>
    </w:p>
    <w:p>
      <w:pPr>
        <w:spacing w:after="160"/>
      </w:pPr>
      <w:r>
        <w:rPr>
          <w:sz w:val="24"/>
          <w:szCs w:val="24"/>
        </w:rPr>
        <w:t xml:space="preserve">Mast hardware, standing rigging, radar arrays, communication antennas — comprehensive documentation from optimal perspectives. Particularly valuable for sailing vessels where rigging condition directly impacts safety and insurance qualification. Detail level supports maintenance planning and refit specifications without requiring expensive yard crane or bosun's chair operations.</w:t>
      </w:r>
    </w:p>
    <w:p>
      <w:pPr>
        <w:pStyle w:val="Heading3"/>
      </w:pPr>
      <w:r>
        <w:t xml:space="preserve">Deck Equipment and Safety Systems</w:t>
      </w:r>
    </w:p>
    <w:p>
      <w:pPr>
        <w:spacing w:after="240"/>
      </w:pPr>
      <w:r>
        <w:rPr>
          <w:sz w:val="24"/>
          <w:szCs w:val="24"/>
        </w:rPr>
        <w:t xml:space="preserve">Windlass equipment, anchor handling systems, davits and tender launching equipment, life raft installations, man overboard recovery systems — complete documentation supporting Coast Guard safety inspections and classification society surveys. Deck layout documentation assists crew training and supports refit planning.</w:t>
      </w:r>
    </w:p>
    <w:p>
      <w:r>
        <w:br w:type="page"/>
      </w:r>
    </w:p>
    <w:p>
      <w:pPr>
        <w:pStyle w:val="Heading1"/>
      </w:pPr>
      <w:r>
        <w:t xml:space="preserve">Global Maritime Documentation Services</w:t>
      </w:r>
    </w:p>
    <w:p>
      <w:pPr>
        <w:spacing w:after="240"/>
      </w:pPr>
      <w:r>
        <w:rPr>
          <w:sz w:val="24"/>
          <w:szCs w:val="24"/>
        </w:rPr>
        <w:t xml:space="preserve">Vessels operate globally and documentation requirements respect no geographic boundaries. Provenarc Marine provides consistent white-glove service whether your vessel resides in Mediterranean marinas, Caribbean anchorages, Pacific Northwest harbors, or Asian shipyards. We have documented vessels across four continents and seventeen flag jurisdictions.
Our global service capability extends beyond simple geographic reach. We understand international registry requirements, navigate customs clearance for specialized documentation equipment, and coordinate with local marine surveyors and classification societies. Original documents never ship internationally — we travel to vessel location regardless of where that vessel operates.</w:t>
      </w:r>
    </w:p>
    <w:p>
      <w:pPr>
        <w:pStyle w:val="Heading2"/>
      </w:pPr>
      <w:r>
        <w:t xml:space="preserve">International Flag State Documentation</w:t>
      </w:r>
    </w:p>
    <w:p>
      <w:pPr>
        <w:spacing w:after="240"/>
      </w:pPr>
      <w:r>
        <w:rPr>
          <w:sz w:val="24"/>
          <w:szCs w:val="24"/>
        </w:rPr>
        <w:t xml:space="preserve">Flag state registries impose varying documentation requirements for ownership transfers, mortgage registration, and compliance certification. Cayman Islands requirements differ substantially from Maltese registry which differs from United States Coast Guard documentation. Our team has processed vessel documentation across seventeen jurisdictions and understands specific evidence each registry demands.
We coordinate with flag state registrars, format documentation packages to meet jurisdiction-specific requirements, and provide guidance on documentation gaps that could delay registry processing. This expertise proves especially valuable during international vessel purchases where documentation must satisfy both selling and purchasing jurisdiction requirements simultaneously.</w:t>
      </w:r>
    </w:p>
    <w:p>
      <w:r>
        <w:br w:type="page"/>
      </w:r>
    </w:p>
    <w:p>
      <w:pPr>
        <w:pStyle w:val="Heading1"/>
      </w:pPr>
      <w:r>
        <w:t xml:space="preserve">Client Testimonial Framework</w:t>
      </w:r>
    </w:p>
    <w:p>
      <w:pPr>
        <w:pStyle w:val="Heading2"/>
      </w:pPr>
      <w:r>
        <w:t xml:space="preserve">Superyacht Owner Testimonial Template</w:t>
      </w:r>
    </w:p>
    <w:p>
      <w:pPr>
        <w:spacing w:after="160"/>
      </w:pPr>
      <w:r>
        <w:rPr>
          <w:sz w:val="24"/>
          <w:szCs w:val="24"/>
        </w:rPr>
        <w:t xml:space="preserve">"When listing our seventy-five foot motor yacht, comprehensive documentation became critical differentiator. Provenarc Marine's team documented everything — complete maintenance logs, drone-based hull condition scans, engine room systems documentation. The museum-grade archival volumes impressed every buyer who toured the vessel. Our broker said the documentation quality accelerated the sale by at least sixty days and prevented the typical price erosion from buyer documentation concerns." — [Vessel Owner], [Vessel Name/Type], [Home Port]</w:t>
      </w:r>
    </w:p>
    <w:p>
      <w:pPr>
        <w:pStyle w:val="Heading2"/>
      </w:pPr>
      <w:r>
        <w:t xml:space="preserve">Yacht Broker Testimonial Template</w:t>
      </w:r>
    </w:p>
    <w:p>
      <w:pPr>
        <w:spacing w:after="160"/>
      </w:pPr>
      <w:r>
        <w:rPr>
          <w:sz w:val="24"/>
          <w:szCs w:val="24"/>
        </w:rPr>
        <w:t xml:space="preserve">"Professional vessel documentation has become standard offering for our premium listings. Provenarc Marine provides what high-net-worth buyers expect — comprehensive condition documentation, baseline survey evidence, and presentation-quality deliverables. Transactions proceed faster when buyers can conduct preliminary due diligence remotely before scheduling sea trials. The white-label partnership enables us to offer documentation services under our brokerage brand without building internal capability." — [Broker Name], [Brokerage], [Operating Region]</w:t>
      </w:r>
    </w:p>
    <w:p>
      <w:pPr>
        <w:pStyle w:val="Heading2"/>
      </w:pPr>
      <w:r>
        <w:t xml:space="preserve">Classic Vessel Owner Testimonial Template</w:t>
      </w:r>
    </w:p>
    <w:p>
      <w:pPr>
        <w:spacing w:after="240"/>
      </w:pPr>
      <w:r>
        <w:rPr>
          <w:sz w:val="24"/>
          <w:szCs w:val="24"/>
        </w:rPr>
        <w:t xml:space="preserve">"Our family has owned this classic sailing yacht for three generations. When we decided to document her complete history, Provenarc Marine conducted extensive archival research, engaged with the original builder's records, and created museum-grade documentation volumes that preserve eighty years of maritime heritage. These volumes have become family heirlooms independent of vessel ownership — permanent records of our maritime legacy." — [Owner Name], [Classic Vessel Name], [Build Year]</w:t>
      </w:r>
    </w:p>
    <w:p>
      <w:r>
        <w:br w:type="page"/>
      </w:r>
    </w:p>
    <w:p>
      <w:pPr>
        <w:pStyle w:val="Heading1"/>
      </w:pPr>
      <w:r>
        <w:t xml:space="preserve">Calls to Action</w:t>
      </w:r>
    </w:p>
    <w:p>
      <w:pPr>
        <w:pStyle w:val="Heading2"/>
      </w:pPr>
      <w:r>
        <w:t xml:space="preserve">Primary CTA Options</w:t>
      </w:r>
    </w:p>
    <w:p>
      <w:pPr>
        <w:pStyle w:val="ListParagraph"/>
        <w:numPr>
          <w:ilvl w:val="0"/>
          <w:numId w:val="2"/>
        </w:numPr>
      </w:pPr>
      <w:r>
        <w:t xml:space="preserve">Schedule Your Vessel Documentation Consultation</w:t>
      </w:r>
    </w:p>
    <w:p>
      <w:pPr>
        <w:pStyle w:val="ListParagraph"/>
        <w:numPr>
          <w:ilvl w:val="0"/>
          <w:numId w:val="2"/>
        </w:numPr>
      </w:pPr>
      <w:r>
        <w:t xml:space="preserve">Request Custom Maritime Documentation Proposal</w:t>
      </w:r>
    </w:p>
    <w:p>
      <w:pPr>
        <w:pStyle w:val="ListParagraph"/>
        <w:numPr>
          <w:ilvl w:val="0"/>
          <w:numId w:val="2"/>
        </w:numPr>
        <w:spacing w:after="240"/>
      </w:pPr>
      <w:r>
        <w:t xml:space="preserve">Preserve Your Vessel's Maritime Legacy</w:t>
      </w:r>
    </w:p>
    <w:p>
      <w:pPr>
        <w:pStyle w:val="Heading2"/>
      </w:pPr>
      <w:r>
        <w:t xml:space="preserve">Broker Services CTA</w:t>
      </w:r>
    </w:p>
    <w:p>
      <w:pPr>
        <w:pStyle w:val="ListParagraph"/>
        <w:numPr>
          <w:ilvl w:val="0"/>
          <w:numId w:val="2"/>
        </w:numPr>
      </w:pPr>
      <w:r>
        <w:t xml:space="preserve">Discuss Yacht Broker Partnership Opportunities</w:t>
      </w:r>
    </w:p>
    <w:p>
      <w:pPr>
        <w:pStyle w:val="ListParagraph"/>
        <w:numPr>
          <w:ilvl w:val="0"/>
          <w:numId w:val="2"/>
        </w:numPr>
        <w:spacing w:after="240"/>
      </w:pPr>
      <w:r>
        <w:t xml:space="preserve">Schedule Broker Services Consultation</w:t>
      </w:r>
    </w:p>
    <w:p>
      <w:pPr>
        <w:pStyle w:val="Heading2"/>
      </w:pPr>
      <w:r>
        <w:t xml:space="preserve">Heritage Vessel CTA</w:t>
      </w:r>
    </w:p>
    <w:p>
      <w:pPr>
        <w:pStyle w:val="ListParagraph"/>
        <w:numPr>
          <w:ilvl w:val="0"/>
          <w:numId w:val="2"/>
        </w:numPr>
      </w:pPr>
      <w:r>
        <w:t xml:space="preserve">Begin Classic Vessel Heritage Preservation</w:t>
      </w:r>
    </w:p>
    <w:p>
      <w:pPr>
        <w:pStyle w:val="ListParagraph"/>
        <w:numPr>
          <w:ilvl w:val="0"/>
          <w:numId w:val="2"/>
        </w:numPr>
        <w:spacing w:after="240"/>
      </w:pPr>
      <w:r>
        <w:t xml:space="preserve">Request Museum-Grade Documentation Consultation</w:t>
      </w:r>
    </w:p>
    <w:p>
      <w:r>
        <w:br w:type="page"/>
      </w:r>
    </w:p>
    <w:p>
      <w:pPr>
        <w:pBdr>
          <w:top w:val="double" w:color="0A4C6C" w:sz="12"/>
        </w:pBdr>
        <w:spacing w:before="720" w:after="240"/>
        <w:jc w:val="center"/>
      </w:pPr>
      <w:r>
        <w:rPr>
          <w:rFonts w:ascii="Garamond" w:cs="Garamond" w:eastAsia="Garamond" w:hAnsi="Garamond"/>
          <w:b/>
          <w:bCs/>
          <w:color w:val="0A4C6C"/>
          <w:sz w:val="28"/>
          <w:szCs w:val="28"/>
        </w:rPr>
        <w:t xml:space="preserve">PROVENARC MARINE</w:t>
      </w:r>
    </w:p>
    <w:p>
      <w:pPr>
        <w:jc w:val="center"/>
      </w:pPr>
      <w:r>
        <w:rPr>
          <w:rFonts w:ascii="Garamond" w:cs="Garamond" w:eastAsia="Garamond" w:hAnsi="Garamond"/>
          <w:color w:val="666666"/>
          <w:sz w:val="20"/>
          <w:szCs w:val="20"/>
        </w:rPr>
        <w:t xml:space="preserve">A Division of Provenarc Group LLC
Preserving Maritime Heritage with Three Decades of Precision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4C6C" w:sz="6" w:space="1"/>
      </w:pBdr>
      <w:spacing w:before="120"/>
      <w:jc w:val="center"/>
    </w:pPr>
    <w:r>
      <w:rPr>
        <w:rFonts w:ascii="Garamond" w:cs="Garamond" w:eastAsia="Garamond" w:hAnsi="Garamond"/>
        <w:color w:val="666666"/>
        <w:sz w:val="16"/>
        <w:szCs w:val="16"/>
      </w:rPr>
      <w:t xml:space="preserve">Premium Vessel Documentation &amp; Preservation  |  Page </w:t>
    </w:r>
    <w:r>
      <w:rPr>
        <w:rFonts w:ascii="Garamond" w:cs="Garamond" w:eastAsia="Garamond" w:hAnsi="Garamond"/>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4C6C" w:sz="6" w:space="1"/>
      </w:pBdr>
      <w:spacing w:after="120"/>
      <w:jc w:val="center"/>
    </w:pPr>
    <w:r>
      <w:rPr>
        <w:rFonts w:ascii="Garamond" w:cs="Garamond" w:eastAsia="Garamond" w:hAnsi="Garamond"/>
        <w:b/>
        <w:bCs/>
        <w:color w:val="0A4C6C"/>
        <w:sz w:val="18"/>
        <w:szCs w:val="18"/>
      </w:rPr>
      <w:t xml:space="preserve">PROVENARC MARINE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aramond" w:cs="Garamond" w:eastAsia="Garamond" w:hAnsi="Garamond"/>
      <w:b/>
      <w:bCs/>
      <w:color w:val="0A4C6C"/>
      <w:sz w:val="36"/>
      <w:szCs w:val="36"/>
    </w:rPr>
  </w:style>
  <w:style w:type="paragraph" w:styleId="Heading2">
    <w:name w:val="Heading 2"/>
    <w:basedOn w:val="Normal"/>
    <w:next w:val="Normal"/>
    <w:qFormat/>
    <w:pPr>
      <w:spacing w:before="280" w:after="200"/>
      <w:outlineLvl w:val="1"/>
    </w:pPr>
    <w:rPr>
      <w:rFonts w:ascii="Garamond" w:cs="Garamond" w:eastAsia="Garamond" w:hAnsi="Garamond"/>
      <w:b/>
      <w:bCs/>
      <w:color w:val="1B6384"/>
      <w:sz w:val="30"/>
      <w:szCs w:val="30"/>
    </w:rPr>
  </w:style>
  <w:style w:type="paragraph" w:styleId="Heading3">
    <w:name w:val="Heading 3"/>
    <w:basedOn w:val="Normal"/>
    <w:next w:val="Normal"/>
    <w:qFormat/>
    <w:pPr>
      <w:spacing w:before="200" w:after="160"/>
      <w:outlineLvl w:val="2"/>
    </w:pPr>
    <w:rPr>
      <w:rFonts w:ascii="Garamond" w:cs="Garamond" w:eastAsia="Garamond" w:hAnsi="Garamond"/>
      <w:b/>
      <w:bCs/>
      <w:color w:val="2D7A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2026-03-05T20:45:17.958Z</dcterms:created>
  <dcterms:modified xsi:type="dcterms:W3CDTF">2026-03-05T20:45:17.960Z</dcterms:modified>
</cp:coreProperties>
</file>

<file path=docProps/custom.xml><?xml version="1.0" encoding="utf-8"?>
<Properties xmlns="http://schemas.openxmlformats.org/officeDocument/2006/custom-properties" xmlns:vt="http://schemas.openxmlformats.org/officeDocument/2006/docPropsVTypes"/>
</file>