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Week 5: Integumentary System</w:t>
      </w:r>
    </w:p>
    <w:p>
      <w:pPr>
        <w:spacing w:after="400"/>
        <w:jc w:val="center"/>
      </w:pPr>
      <w:r>
        <w:t xml:space="preserve">HIV • Skin Cancer • Infections &amp; Infestations • Benign Disorders • Wounds &amp; Burns</w:t>
      </w:r>
    </w:p>
    <w:p>
      <w:pPr>
        <w:spacing w:after="600"/>
        <w:jc w:val="center"/>
      </w:pPr>
      <w:r>
        <w:t xml:space="preserve">NUR 334 Med-Surg I Study Guide</w:t>
      </w:r>
    </w:p>
    <w:p>
      <w:pPr>
        <w:pStyle w:val="Heading1"/>
        <w:spacing w:after="200" w:before="200"/>
      </w:pPr>
      <w:r>
        <w:t xml:space="preserve">SECTION 1: COMPREHENSIVE HIGH-LEVEL OVERVIEW</w:t>
      </w:r>
    </w:p>
    <w:p>
      <w:pPr>
        <w:pStyle w:val="Heading2"/>
        <w:spacing w:after="100" w:before="100"/>
      </w:pPr>
      <w:r>
        <w:t xml:space="preserve">The Integumentary System &amp; Infectious/Chronic Conditions</w:t>
      </w:r>
    </w:p>
    <w:p>
      <w:pPr>
        <w:spacing w:after="100"/>
      </w:pPr>
      <w:r>
        <w:t xml:space="preserve">This week's focus on the integumentary system covers three interconnected domains:</w:t>
      </w:r>
    </w:p>
    <w:p>
      <w:pPr>
        <w:pStyle w:val="List Bullet"/>
        <w:spacing w:after="50"/>
      </w:pPr>
      <w:r>
        <w:t xml:space="preserve">HIV Infection: A systemic disease with profound cutaneous and immune manifestations. Understanding CD4 count progression, opportunistic infections, and antiretroviral therapy is critical for patient management.</w:t>
      </w:r>
    </w:p>
    <w:p>
      <w:pPr>
        <w:pStyle w:val="List Bullet"/>
        <w:spacing w:after="50"/>
      </w:pPr>
      <w:r>
        <w:t xml:space="preserve">Skin Pathology: Acute infections (bacterial, viral, fungal), parasitic infestations, malignancies, and benign conditions. Classification by pathology type helps organize clinical decision-making.</w:t>
      </w:r>
    </w:p>
    <w:p>
      <w:pPr>
        <w:pStyle w:val="List Bullet"/>
        <w:spacing w:after="50"/>
      </w:pPr>
      <w:r>
        <w:t xml:space="preserve">Wound &amp; Burn Management: Acute tissue damage requires understanding of healing phases, depth classification, and infection prevention. Burns represent major trauma requiring specialized care.</w:t>
      </w:r>
    </w:p>
    <w:p>
      <w:pPr>
        <w:spacing w:after="200"/>
      </w:pPr>
    </w:p>
    <w:p>
      <w:pPr>
        <w:pStyle w:val="Heading3"/>
        <w:spacing w:after="100" w:before="100"/>
      </w:pPr>
      <w:r>
        <w:t xml:space="preserve">HIGHLY TESTABLE CONCEPTS TO MASTER:</w:t>
      </w:r>
    </w:p>
    <w:p>
      <w:pPr>
        <w:pStyle w:val="List Bullet"/>
        <w:spacing w:after="50"/>
      </w:pPr>
      <w:r>
        <w:t xml:space="preserve">HIV Staging: CD4 &lt;200 = AIDS diagnosis; CD4 &lt;50 = critical danger zone for opportunistic infections like PCP, toxoplasmosis, CMV</w:t>
      </w:r>
    </w:p>
    <w:p>
      <w:pPr>
        <w:pStyle w:val="List Bullet"/>
        <w:spacing w:after="50"/>
      </w:pPr>
      <w:r>
        <w:t xml:space="preserve">Skin Lesion Morphology: Differentiate primary (macule, papule, vesicle) from secondary lesions; use ABCDE rule for melanoma; recognize candidiasis vs. dermatophyte infections</w:t>
      </w:r>
    </w:p>
    <w:p>
      <w:pPr>
        <w:pStyle w:val="List Bullet"/>
        <w:spacing w:after="50"/>
      </w:pPr>
      <w:r>
        <w:t xml:space="preserve">Burn Depth &amp; TBSA: Superficial partial thickness (pink, painful) vs. full thickness (white/brown, painless); Rule of 9s for body surface area; &gt;20% TBSA = major burn requiring fluid resuscitation</w:t>
      </w:r>
    </w:p>
    <w:p>
      <w:pPr>
        <w:pStyle w:val="List Bullet"/>
        <w:spacing w:after="50"/>
      </w:pPr>
      <w:r>
        <w:t xml:space="preserve">Wound Healing Phases: Hemostasis → Inflammation (0-3 days) → Proliferation (3-21 days) → Remodeling (weeks-years); recognize signs of infection vs. normal healing</w:t>
      </w:r>
    </w:p>
    <w:p>
      <w:pPr>
        <w:pStyle w:val="List Bullet"/>
        <w:spacing w:after="50"/>
      </w:pPr>
      <w:r>
        <w:t xml:space="preserve">Clinical Decision-Making: When to culture, when to refer, when to admit; antibiotic selection based on organism type; infection control measures</w:t>
      </w:r>
    </w:p>
    <w:p>
      <w:pPr>
        <w:spacing w:after="400"/>
      </w:pPr>
    </w:p>
    <w:p>
      <w:pPr>
        <w:pageBreakBefore/>
      </w:pPr>
    </w:p>
    <w:p>
      <w:pPr>
        <w:pStyle w:val="Heading1"/>
        <w:spacing w:after="200" w:before="200"/>
      </w:pPr>
      <w:r>
        <w:t xml:space="preserve">SECTION 2: HIV INFECTION</w:t>
      </w:r>
    </w:p>
    <w:p>
      <w:pPr>
        <w:pStyle w:val="Heading2"/>
        <w:spacing w:after="100" w:before="100"/>
      </w:pPr>
      <w:r>
        <w:t xml:space="preserve">Pathophysiology &amp; Transmission</w:t>
      </w:r>
    </w:p>
    <w:p>
      <w:pPr>
        <w:pStyle w:val="List Bullet"/>
        <w:spacing w:after="50"/>
      </w:pPr>
      <w:r>
        <w:t xml:space="preserve">HIV attacks CD4+ T cells (helper T cells), progressively destroying immune function</w:t>
      </w:r>
    </w:p>
    <w:p>
      <w:pPr>
        <w:pStyle w:val="List Bullet"/>
        <w:spacing w:after="50"/>
      </w:pPr>
      <w:r>
        <w:t xml:space="preserve">Transmission: Unprotected sexual contact, blood/body fluid exposure, mother-to-child (perinatal)</w:t>
      </w:r>
    </w:p>
    <w:p>
      <w:pPr>
        <w:pStyle w:val="List Bullet"/>
        <w:spacing w:after="50"/>
      </w:pPr>
      <w:r>
        <w:t xml:space="preserve">NOT transmitted via: saliva, tears, sweat, casual contact, sharing food/utensils, insect bites</w:t>
      </w:r>
    </w:p>
    <w:p>
      <w:pPr>
        <w:spacing w:after="100"/>
      </w:pPr>
    </w:p>
    <w:p>
      <w:pPr>
        <w:pStyle w:val="Heading3"/>
        <w:spacing w:after="100" w:before="100"/>
      </w:pPr>
      <w:r>
        <w:t xml:space="preserve">CD4 Count Staging (CRITICAL for NCLEX):</w:t>
      </w:r>
    </w:p>
    <w:p>
      <w:pPr>
        <w:pStyle w:val="List Bullet"/>
        <w:spacing w:after="50"/>
      </w:pPr>
      <w:r>
        <w:t xml:space="preserve">&gt;500 CD4: Early infection; relatively preserved immunity</w:t>
      </w:r>
    </w:p>
    <w:p>
      <w:pPr>
        <w:pStyle w:val="List Bullet"/>
        <w:spacing w:after="50"/>
      </w:pPr>
      <w:r>
        <w:t xml:space="preserve">200-500 CD4: Moderate immunosuppression; watch for opportunistic infections</w:t>
      </w:r>
    </w:p>
    <w:p>
      <w:pPr>
        <w:pStyle w:val="List Bullet"/>
        <w:spacing w:after="50"/>
      </w:pPr>
      <w:r>
        <w:t xml:space="preserve">&lt;200 CD4: AIDS diagnosis; PCP (Pneumocystis pneumonia) prophylaxis indicated</w:t>
      </w:r>
    </w:p>
    <w:p>
      <w:pPr>
        <w:pStyle w:val="List Bullet"/>
        <w:spacing w:after="50"/>
      </w:pPr>
      <w:r>
        <w:t xml:space="preserve">&lt;100 CD4: Toxoplasmosis &amp; other severe opportunistic infections risk</w:t>
      </w:r>
    </w:p>
    <w:p>
      <w:pPr>
        <w:pStyle w:val="List Bullet"/>
        <w:spacing w:after="50"/>
      </w:pPr>
      <w:r>
        <w:t xml:space="preserve">&lt;50 CD4: CMV, disseminated MAC; critical danger zone</w:t>
      </w:r>
    </w:p>
    <w:p>
      <w:pPr>
        <w:spacing w:after="100"/>
      </w:pPr>
    </w:p>
    <w:p>
      <w:pPr>
        <w:pStyle w:val="Heading3"/>
        <w:spacing w:after="100" w:before="100"/>
      </w:pPr>
      <w:r>
        <w:t xml:space="preserve">Opportunistic Infections by CD4 Count: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2240"/>
      </w:tblGrid>
      <w:tr>
        <w:trPr>
          <w:trHeight w:val="400" w:hRule="auto"/>
        </w:trPr>
        <w:tc>
          <w:p>
            <w:r>
              <w:t xml:space="preserve">CD4 Count</w:t>
            </w:r>
          </w:p>
        </w:tc>
        <w:tc>
          <w:p>
            <w:r>
              <w:t xml:space="preserve">Opportunistic Infection</w:t>
            </w:r>
          </w:p>
        </w:tc>
        <w:tc>
          <w:p>
            <w:r>
              <w:t xml:space="preserve">Symptoms/Signs</w:t>
            </w:r>
          </w:p>
        </w:tc>
        <w:tc>
          <w:p>
            <w:r>
              <w:t xml:space="preserve">Management</w:t>
            </w:r>
          </w:p>
        </w:tc>
      </w:tr>
      <w:tr>
        <w:tc>
          <w:p>
            <w:r>
              <w:t xml:space="preserve">&lt;200</w:t>
            </w:r>
          </w:p>
        </w:tc>
        <w:tc>
          <w:p>
            <w:r>
              <w:t xml:space="preserve">PCP (Pneumocystis pneumonia)</w:t>
            </w:r>
          </w:p>
        </w:tc>
        <w:tc>
          <w:p>
            <w:r>
              <w:t xml:space="preserve">Dry cough, dyspnea, chest pain, fever</w:t>
            </w:r>
          </w:p>
        </w:tc>
        <w:tc>
          <w:p>
            <w:r>
              <w:t xml:space="preserve">TMP-SMX, oxygen, corticosteroids if PaO2 &lt;70</w:t>
            </w:r>
          </w:p>
        </w:tc>
      </w:tr>
      <w:tr>
        <w:tc>
          <w:p>
            <w:r>
              <w:t xml:space="preserve">&lt;100</w:t>
            </w:r>
          </w:p>
        </w:tc>
        <w:tc>
          <w:p>
            <w:r>
              <w:t xml:space="preserve">Toxoplasmosis (CNS)</w:t>
            </w:r>
          </w:p>
        </w:tc>
        <w:tc>
          <w:p>
            <w:r>
              <w:t xml:space="preserve">Headache, confusion, focal deficits, fever</w:t>
            </w:r>
          </w:p>
        </w:tc>
        <w:tc>
          <w:p>
            <w:r>
              <w:t xml:space="preserve">Sulfadiazine + pyrimethamine, brain imaging</w:t>
            </w:r>
          </w:p>
        </w:tc>
      </w:tr>
      <w:tr>
        <w:tc>
          <w:p>
            <w:r>
              <w:t xml:space="preserve">&lt;100</w:t>
            </w:r>
          </w:p>
        </w:tc>
        <w:tc>
          <w:p>
            <w:r>
              <w:t xml:space="preserve">Candidiasis (oral/esophageal)</w:t>
            </w:r>
          </w:p>
        </w:tc>
        <w:tc>
          <w:p>
            <w:r>
              <w:t xml:space="preserve">White plaques in mouth/throat, dysphagia</w:t>
            </w:r>
          </w:p>
        </w:tc>
        <w:tc>
          <w:p>
            <w:r>
              <w:t xml:space="preserve">Fluconazole (PO or IV), clotrimazole troches</w:t>
            </w:r>
          </w:p>
        </w:tc>
      </w:tr>
      <w:tr>
        <w:tc>
          <w:p>
            <w:r>
              <w:t xml:space="preserve">&lt;50</w:t>
            </w:r>
          </w:p>
        </w:tc>
        <w:tc>
          <w:p>
            <w:r>
              <w:t xml:space="preserve">CMV (retinitis, colitis)</w:t>
            </w:r>
          </w:p>
        </w:tc>
        <w:tc>
          <w:p>
            <w:r>
              <w:t xml:space="preserve">Vision changes (floaters), bloody diarrhea</w:t>
            </w:r>
          </w:p>
        </w:tc>
        <w:tc>
          <w:p>
            <w:r>
              <w:t xml:space="preserve">Ganciclovir (IV or intraocular), foscarnet</w:t>
            </w:r>
          </w:p>
        </w:tc>
      </w:tr>
      <w:tr>
        <w:tc>
          <w:p>
            <w:r>
              <w:t xml:space="preserve">&lt;50</w:t>
            </w:r>
          </w:p>
        </w:tc>
        <w:tc>
          <w:p>
            <w:r>
              <w:t xml:space="preserve">MAC (disseminated)</w:t>
            </w:r>
          </w:p>
        </w:tc>
        <w:tc>
          <w:p>
            <w:r>
              <w:t xml:space="preserve">Fever, night sweats, abdominal pain, adenopathy</w:t>
            </w:r>
          </w:p>
        </w:tc>
        <w:tc>
          <w:p>
            <w:r>
              <w:t xml:space="preserve">Azithromycin + ethambutol prophylaxis</w:t>
            </w:r>
          </w:p>
        </w:tc>
      </w:tr>
    </w:tbl>
    <w:p>
      <w:pPr>
        <w:spacing w:after="100"/>
      </w:pPr>
    </w:p>
    <w:p>
      <w:pPr>
        <w:pStyle w:val="Heading3"/>
        <w:spacing w:after="100" w:before="100"/>
      </w:pPr>
      <w:r>
        <w:t xml:space="preserve">Key HIV Complications &amp; Cutaneous Manifestations:</w:t>
      </w:r>
    </w:p>
    <w:p>
      <w:pPr>
        <w:pStyle w:val="List Bullet"/>
        <w:spacing w:after="50"/>
      </w:pPr>
      <w:r>
        <w:t xml:space="preserve">Kaposi Sarcoma (KS): Violaceous plaques/nodules; HHV-8 associated; AIDS-defining; prognosis better when CD4 &gt;200</w:t>
      </w:r>
    </w:p>
    <w:p>
      <w:pPr>
        <w:pStyle w:val="List Bullet"/>
        <w:spacing w:after="50"/>
      </w:pPr>
      <w:r>
        <w:t xml:space="preserve">PCP (Pneumocystis pneumonia): Insidious onset, exertional dyspnea, dry cough; "shaggy infiltrates" on CXR; high mortality if untreated</w:t>
      </w:r>
    </w:p>
    <w:p>
      <w:pPr>
        <w:pStyle w:val="List Bullet"/>
        <w:spacing w:after="50"/>
      </w:pPr>
      <w:r>
        <w:t xml:space="preserve">Cryptococccal Meningitis: Fever, headache, neck stiffness; CSF shows high opening pressure; treat with amphotericin B</w:t>
      </w:r>
    </w:p>
    <w:p>
      <w:pPr>
        <w:pStyle w:val="List Bullet"/>
        <w:spacing w:after="50"/>
      </w:pPr>
      <w:r>
        <w:t xml:space="preserve">Herpes Simplex (HSV): Severe, recurrent oral/genital ulcers; acyclovir therapy; watch for HSV esophagitis</w:t>
      </w:r>
    </w:p>
    <w:p>
      <w:pPr>
        <w:pStyle w:val="List Bullet"/>
        <w:spacing w:after="50"/>
      </w:pPr>
      <w:r>
        <w:t xml:space="preserve">Varicella-Zoster (Shingles): Dermatomal distribution; severe pain; antiviral within 72 hours; may disseminate at low CD4</w:t>
      </w:r>
    </w:p>
    <w:p>
      <w:pPr>
        <w:pStyle w:val="List Bullet"/>
        <w:spacing w:after="50"/>
      </w:pPr>
      <w:r>
        <w:t xml:space="preserve">Cryptococcosis: Meningitis risk; pulmonary involvement; diagnosed via CSF culture/antigen test</w:t>
      </w:r>
    </w:p>
    <w:p>
      <w:pPr>
        <w:spacing w:after="100"/>
      </w:pPr>
    </w:p>
    <w:p>
      <w:pPr>
        <w:pStyle w:val="Heading3"/>
        <w:spacing w:after="100" w:before="100"/>
      </w:pPr>
      <w:r>
        <w:t xml:space="preserve">Antiretroviral Therapy (ART):</w:t>
      </w:r>
    </w:p>
    <w:p>
      <w:pPr>
        <w:pStyle w:val="List Bullet"/>
        <w:spacing w:after="50"/>
      </w:pPr>
      <w:r>
        <w:t xml:space="preserve">Goal: Suppress viral load to undetectable (&lt;50 copies/mL); restore CD4 count</w:t>
      </w:r>
    </w:p>
    <w:p>
      <w:pPr>
        <w:pStyle w:val="List Bullet"/>
        <w:spacing w:after="50"/>
      </w:pPr>
      <w:r>
        <w:t xml:space="preserve">Regimens: Combination therapy (typically 2+ drugs); common classes include NRTIs, NNRTIs, protease inhibitors, integrase inhibitors</w:t>
      </w:r>
    </w:p>
    <w:p>
      <w:pPr>
        <w:pStyle w:val="List Bullet"/>
        <w:spacing w:after="50"/>
      </w:pPr>
      <w:r>
        <w:t xml:space="preserve">Adherence: Critical; missed doses lead to resistance and treatment failure</w:t>
      </w:r>
    </w:p>
    <w:p>
      <w:pPr>
        <w:pStyle w:val="List Bullet"/>
        <w:spacing w:after="50"/>
      </w:pPr>
      <w:r>
        <w:t xml:space="preserve">Side Effects: Lactic acidosis (NRTIs), lipodystrophy, peripheral neuropathy, hepatotoxicity; monitor LFTs, lipids</w:t>
      </w:r>
    </w:p>
    <w:p>
      <w:pPr>
        <w:pStyle w:val="List Bullet"/>
        <w:spacing w:after="50"/>
      </w:pPr>
      <w:r>
        <w:t xml:space="preserve">Immune Reconstitution Inflammatory Syndrome (IRIS): Paradoxical worsening when CD4 recovers; treat underlying infection first</w:t>
      </w:r>
    </w:p>
    <w:p>
      <w:pPr>
        <w:spacing w:after="200"/>
      </w:pPr>
    </w:p>
    <w:p>
      <w:pPr>
        <w:pStyle w:val="Heading2"/>
        <w:spacing w:after="100" w:before="100"/>
      </w:pPr>
      <w:r>
        <w:t xml:space="preserve">HIV CLINICAL APPLICATION FLASHCARDS (12)</w:t>
      </w:r>
    </w:p>
    <w:p>
      <w:pPr>
        <w:pStyle w:val="Heading4"/>
        <w:spacing w:after="50" w:before="100"/>
      </w:pPr>
      <w:r>
        <w:t xml:space="preserve">FC1: CD4 Interpretation</w:t>
      </w:r>
    </w:p>
    <w:p>
      <w:pPr>
        <w:pStyle w:val="Intense Emphasis"/>
        <w:spacing w:after="50"/>
      </w:pPr>
      <w:r>
        <w:t xml:space="preserve">QUESTION: A 42-year-old patient with newly diagnosed HIV presents with CD4 count of 85 cells/μL. What is the immediate nursing priority?</w:t>
      </w:r>
    </w:p>
    <w:p>
      <w:pPr>
        <w:spacing w:after="50"/>
      </w:pPr>
      <w:r>
        <w:t xml:space="preserve">ANSWER: Start PCP prophylaxis immediately; assess for symptoms of opportunistic infections (fever, cough, headache, vision changes); arrange CD4 monitoring within 2 weeks; consider MAC prophylaxis; review ART adherence plan</w:t>
      </w:r>
    </w:p>
    <w:p>
      <w:pPr>
        <w:pStyle w:val="List Paragraph"/>
        <w:spacing w:after="100"/>
      </w:pPr>
      <w:r>
        <w:t xml:space="preserve">RATIONALE/CLINICAL PEARL: At CD4 &lt;200, PCP prophylaxis (TMP-SMX) is mandatory. At CD4 &lt;50, MAC prophylaxis (azithromycin) is indicated. Patient needs baseline imaging (brain CT for toxo risk) and ophthalmology evaluation for CMV retinitis risk.</w:t>
      </w:r>
    </w:p>
    <w:p>
      <w:pPr>
        <w:pStyle w:val="Heading4"/>
        <w:spacing w:after="50" w:before="100"/>
      </w:pPr>
      <w:r>
        <w:t xml:space="preserve">FC2: Kaposi Sarcoma Recognition</w:t>
      </w:r>
    </w:p>
    <w:p>
      <w:pPr>
        <w:pStyle w:val="Intense Emphasis"/>
        <w:spacing w:after="50"/>
      </w:pPr>
      <w:r>
        <w:t xml:space="preserve">QUESTION: During assessment, you notice your HIV+ patient has new violaceous, non-blanching plaques on the palate and bilateral lower extremities. What is your next action?</w:t>
      </w:r>
    </w:p>
    <w:p>
      <w:pPr>
        <w:spacing w:after="50"/>
      </w:pPr>
      <w:r>
        <w:t xml:space="preserve">ANSWER: Photograph lesions for documentation; refer to oncology/dermatology; assess CD4 count and viral load; obtain biopsy if diagnosis uncertain; begin chemotherapy discussion; monitor for progression</w:t>
      </w:r>
    </w:p>
    <w:p>
      <w:pPr>
        <w:pStyle w:val="List Paragraph"/>
        <w:spacing w:after="100"/>
      </w:pPr>
      <w:r>
        <w:t xml:space="preserve">RATIONALE/CLINICAL PEARL: Kaposi Sarcoma (KS) is an AIDS-defining illness strongly associated with HHV-8. Prognosis depends on CD4 count—better outcomes when CD4 &gt;200. Treatment may include chemotherapy, local therapies, or ART intensification.</w:t>
      </w:r>
    </w:p>
    <w:p>
      <w:pPr>
        <w:pStyle w:val="Heading4"/>
        <w:spacing w:after="50" w:before="100"/>
      </w:pPr>
      <w:r>
        <w:t xml:space="preserve">FC3: Oral Candidiasis vs. HSV</w:t>
      </w:r>
    </w:p>
    <w:p>
      <w:pPr>
        <w:pStyle w:val="Intense Emphasis"/>
        <w:spacing w:after="50"/>
      </w:pPr>
      <w:r>
        <w:t xml:space="preserve">QUESTION: Patient reports painful mouth ulcers. On exam, you see white plaques on the tongue and palate that blanch with swabbing. How does this differ from HSV?</w:t>
      </w:r>
    </w:p>
    <w:p>
      <w:pPr>
        <w:spacing w:after="50"/>
      </w:pPr>
      <w:r>
        <w:t xml:space="preserve">ANSWER: White plaques that blanch = Candidiasis (thrush). HSV presents with painful vesicles and shallow ulcers (no plaques). Candida is painless unless severe. Treat candida with fluconazole; HSV with acyclovir. Both are common at low CD4.</w:t>
      </w:r>
    </w:p>
    <w:p>
      <w:pPr>
        <w:pStyle w:val="List Paragraph"/>
        <w:spacing w:after="100"/>
      </w:pPr>
      <w:r>
        <w:t xml:space="preserve">RATIONALE/CLINICAL PEARL: Candidiasis often progresses to esophagitis (painful swallowing) at very low CD4. Monitor swallowing ability. If patient cannot swallow, consider IV fluconazole or switch to different antifungal. HSV esophagitis is also possible and may coexist.</w:t>
      </w:r>
    </w:p>
    <w:p>
      <w:pPr>
        <w:pStyle w:val="Heading4"/>
        <w:spacing w:after="50" w:before="100"/>
      </w:pPr>
      <w:r>
        <w:t xml:space="preserve">FC4: PCP Prophylaxis Decision</w:t>
      </w:r>
    </w:p>
    <w:p>
      <w:pPr>
        <w:pStyle w:val="Intense Emphasis"/>
        <w:spacing w:after="50"/>
      </w:pPr>
      <w:r>
        <w:t xml:space="preserve">QUESTION: CD4 count is 195. Patient is allergic to sulfa drugs. What prophylaxis regimen is appropriate for PCP prevention?</w:t>
      </w:r>
    </w:p>
    <w:p>
      <w:pPr>
        <w:spacing w:after="50"/>
      </w:pPr>
      <w:r>
        <w:t xml:space="preserve">ANSWER: Use dapsone + pyrimethamine + folinic acid (leucovorin). Alternative: atovaquone + azithromycin or pentamidine inhaled. TMP-SMX is preferred but contraindicated with sulfa allergy. Note: some PCP prophylaxis agents also cover toxoplasmosis.</w:t>
      </w:r>
    </w:p>
    <w:p>
      <w:pPr>
        <w:pStyle w:val="List Paragraph"/>
        <w:spacing w:after="100"/>
      </w:pPr>
      <w:r>
        <w:t xml:space="preserve">RATIONALE/CLINICAL PEARL: When CD4 &lt;200, PCP prophylaxis is non-negotiable. Dosing and drug selection depend on allergies and other OIs. Document allergy severity. Folinic acid (NOT folic acid) is essential with dapsone/pyrimethamine to prevent bone marrow toxicity.</w:t>
      </w:r>
    </w:p>
    <w:p>
      <w:pPr>
        <w:pStyle w:val="Heading4"/>
        <w:spacing w:after="50" w:before="100"/>
      </w:pPr>
      <w:r>
        <w:t xml:space="preserve">FC5: IRIS Recognition</w:t>
      </w:r>
    </w:p>
    <w:p>
      <w:pPr>
        <w:pStyle w:val="Intense Emphasis"/>
        <w:spacing w:after="50"/>
      </w:pPr>
      <w:r>
        <w:t xml:space="preserve">QUESTION: Within 2 weeks of starting ART, patient develops fever, night sweats, and worsening lymphadenopathy despite high CD4 recovery. Lab values: CD4 risen from 20 to 150; viral load undetectable. Diagnosis?</w:t>
      </w:r>
    </w:p>
    <w:p>
      <w:pPr>
        <w:spacing w:after="50"/>
      </w:pPr>
      <w:r>
        <w:t xml:space="preserve">ANSWER: Immune Reconstitution Inflammatory Syndrome (IRIS). This is a paradoxical worsening of inflammation as immune system recovers. Manage by: continuing ART, adding corticosteroids PRN, treating underlying infection if present, and supportive care.</w:t>
      </w:r>
    </w:p>
    <w:p>
      <w:pPr>
        <w:pStyle w:val="List Paragraph"/>
        <w:spacing w:after="100"/>
      </w:pPr>
      <w:r>
        <w:t xml:space="preserve">RATIONALE/CLINICAL PEARL: IRIS timing: occurs within weeks of ART initiation when CD4 &gt;50-100. Risk increases with very low baseline CD4. Do NOT stop ART. Educate patient that this is a sign immune system is working. Most cases resolve within 4-6 weeks.</w:t>
      </w:r>
    </w:p>
    <w:p>
      <w:pPr>
        <w:pStyle w:val="Heading4"/>
        <w:spacing w:after="50" w:before="100"/>
      </w:pPr>
      <w:r>
        <w:t xml:space="preserve">FC6: ART Adherence Counseling</w:t>
      </w:r>
    </w:p>
    <w:p>
      <w:pPr>
        <w:pStyle w:val="Intense Emphasis"/>
        <w:spacing w:after="50"/>
      </w:pPr>
      <w:r>
        <w:t xml:space="preserve">QUESTION: Patient admits missing doses "sometimes" due to side effects. CD4 is stable but viral load is 1200 copies/mL (previously undetectable). What is your priority intervention?</w:t>
      </w:r>
    </w:p>
    <w:p>
      <w:pPr>
        <w:spacing w:after="50"/>
      </w:pPr>
      <w:r>
        <w:t xml:space="preserve">ANSWER: Assess barriers to adherence: side effects, regimen complexity, depression, substance use, transportation. Develop adherence plan: simplify regimen if possible, provide pill organizer, address side effects, consider directly observed therapy (DOT), connect with social support/case management.</w:t>
      </w:r>
    </w:p>
    <w:p>
      <w:pPr>
        <w:pStyle w:val="List Paragraph"/>
        <w:spacing w:after="100"/>
      </w:pPr>
      <w:r>
        <w:t xml:space="preserve">RATIONALE/CLINICAL PEARL: Viral load rise indicates resistance risk. Even small adherence gaps (&gt;95%) lead to treatment failure. U=U (undetectable = untransmittable) requires sustained viral suppression. Adherence counseling is nursing priority—it determines survival.</w:t>
      </w:r>
    </w:p>
    <w:p>
      <w:pPr>
        <w:pStyle w:val="Heading4"/>
        <w:spacing w:after="50" w:before="100"/>
      </w:pPr>
      <w:r>
        <w:t xml:space="preserve">FC7: Lactic Acidosis Recognition</w:t>
      </w:r>
    </w:p>
    <w:p>
      <w:pPr>
        <w:pStyle w:val="Intense Emphasis"/>
        <w:spacing w:after="50"/>
      </w:pPr>
      <w:r>
        <w:t xml:space="preserve">QUESTION: Patient on NRTI-based ART develops severe nausea, vomiting, abdominal pain, rapid breathing, and malaise. Blood gas shows pH 7.28, HCO3 16. Labs show elevated lactate. Diagnosis?</w:t>
      </w:r>
    </w:p>
    <w:p>
      <w:pPr>
        <w:spacing w:after="50"/>
      </w:pPr>
      <w:r>
        <w:t xml:space="preserve">ANSWER: Lactic Acidosis - a rare but serious NRTI side effect (especially stavudine, didanosine, zidovudine). Management: STOP offending drug immediately; provide supportive care; IV fluids; monitor closely in ICU. Mortality is high.</w:t>
      </w:r>
    </w:p>
    <w:p>
      <w:pPr>
        <w:pStyle w:val="List Paragraph"/>
        <w:spacing w:after="100"/>
      </w:pPr>
      <w:r>
        <w:t xml:space="preserve">RATIONALE/CLINICAL PEARL: Risk factors: prolonged NRTI use, high CD4 count at therapy start, hepatic dysfunction, renal failure, obesity. This is why newer regimens avoid NRTIs. Always educate patients on warning signs: unexplained nausea, fatigue, rapid breathing, abdominal discomfort.</w:t>
      </w:r>
    </w:p>
    <w:p>
      <w:pPr>
        <w:pStyle w:val="Heading4"/>
        <w:spacing w:after="50" w:before="100"/>
      </w:pPr>
      <w:r>
        <w:t xml:space="preserve">FC8: MAC Prophylaxis Threshold</w:t>
      </w:r>
    </w:p>
    <w:p>
      <w:pPr>
        <w:pStyle w:val="Intense Emphasis"/>
        <w:spacing w:after="50"/>
      </w:pPr>
      <w:r>
        <w:t xml:space="preserve">QUESTION: CD4 count drops to 45. Patient is on TMP-SMX for PCP prophylaxis. Does this patient need additional MAC prophylaxis?</w:t>
      </w:r>
    </w:p>
    <w:p>
      <w:pPr>
        <w:spacing w:after="50"/>
      </w:pPr>
      <w:r>
        <w:t xml:space="preserve">ANSWER: YES. At CD4 &lt;50, MAC (Mycobacterium avium complex) prophylaxis is indicated. Add azithromycin (1200 mg weekly) or clarithromycin. TMP-SMX covers PCP but NOT MAC. If clarithromycin used, must combine with ethambutol for better efficacy.</w:t>
      </w:r>
    </w:p>
    <w:p>
      <w:pPr>
        <w:pStyle w:val="List Paragraph"/>
        <w:spacing w:after="100"/>
      </w:pPr>
      <w:r>
        <w:t xml:space="preserve">RATIONALE/CLINICAL PEARL: MAC disseminates at CD4 &lt;50, causing fever, night sweats, abdominal pain, adenopathy, and bacteremia. Blood cultures are diagnostic. Prevention is far superior to treatment. Once CD4 &gt;50 for &gt;3 months on ART, can discontinue MAC prophylaxis.</w:t>
      </w:r>
    </w:p>
    <w:p>
      <w:pPr>
        <w:pStyle w:val="Heading4"/>
        <w:spacing w:after="50" w:before="100"/>
      </w:pPr>
      <w:r>
        <w:t xml:space="preserve">FC9: CMV Risk Stratification</w:t>
      </w:r>
    </w:p>
    <w:p>
      <w:pPr>
        <w:pStyle w:val="Intense Emphasis"/>
        <w:spacing w:after="50"/>
      </w:pPr>
      <w:r>
        <w:t xml:space="preserve">QUESTION: Patient with CD4 = 35 has no eye symptoms. On dilated retinal exam, no cotton-wool spots or hemorrhages seen. What is the management plan?</w:t>
      </w:r>
    </w:p>
    <w:p>
      <w:pPr>
        <w:spacing w:after="50"/>
      </w:pPr>
      <w:r>
        <w:t xml:space="preserve">ANSWER: Baseline ophthalmology referral is essential. Monthly exams until CD4 &gt;100 for &gt;3 months. Patient education on vision changes (floaters, shadows). Consider valganciclovir prophylaxis at CD4 &lt;50 if patient has poor follow-up. Start ART urgently to raise CD4.</w:t>
      </w:r>
    </w:p>
    <w:p>
      <w:pPr>
        <w:pStyle w:val="List Paragraph"/>
        <w:spacing w:after="100"/>
      </w:pPr>
      <w:r>
        <w:t xml:space="preserve">RATIONALE/CLINICAL PEARL: CMV retinitis is the most common CMV manifestation at CD4 &lt;50. Diagnosis: Dilated retinal exam showing "cottage cheese and ketchup" appearance. Treatment: IV ganciclovir or foscarnet. Prognosis worsens with low CD4 and delayed treatment. Requires induction then maintenance therapy.</w:t>
      </w:r>
    </w:p>
    <w:p>
      <w:pPr>
        <w:pStyle w:val="Heading4"/>
        <w:spacing w:after="50" w:before="100"/>
      </w:pPr>
      <w:r>
        <w:t xml:space="preserve">FC10: Toxoplasmosis Prevention</w:t>
      </w:r>
    </w:p>
    <w:p>
      <w:pPr>
        <w:pStyle w:val="Intense Emphasis"/>
        <w:spacing w:after="50"/>
      </w:pPr>
      <w:r>
        <w:t xml:space="preserve">QUESTION: Patient's CD4 is &lt;100. No prior toxoplasmosis. Head CT is normal. On TMP-SMX already. Is additional prophylaxis needed?</w:t>
      </w:r>
    </w:p>
    <w:p>
      <w:pPr>
        <w:spacing w:after="50"/>
      </w:pPr>
      <w:r>
        <w:t xml:space="preserve">ANSWER: TMP-SMX DOES provide coverage against toxoplasmosis when used at PCP prophylaxis doses (1-2 DS tablets daily or 3x/week). So NO additional prophylaxis is needed if patient is on adequate TMP-SMX. If allergic to sulfa, use dapsone + pyrimethamine + folinic acid for both PCP and toxo coverage.</w:t>
      </w:r>
    </w:p>
    <w:p>
      <w:pPr>
        <w:pStyle w:val="List Paragraph"/>
        <w:spacing w:after="100"/>
      </w:pPr>
      <w:r>
        <w:t xml:space="preserve">RATIONALE/CLINICAL PEARL: Toxoplasmosis encephalitis presents with focal neurologic deficits, altered mental status, fever, and headache. Brain imaging shows ring-enhancing lesions. TMP-SMX is the primary prophylactic agent at PCP doses. Ensure adequate folinic acid (leucovorin) supplementation to prevent bone marrow toxicity.</w:t>
      </w:r>
    </w:p>
    <w:p>
      <w:pPr>
        <w:pStyle w:val="Heading4"/>
        <w:spacing w:after="50" w:before="100"/>
      </w:pPr>
      <w:r>
        <w:t xml:space="preserve">FC11: Treatment vs. Prophylaxis Dosing</w:t>
      </w:r>
    </w:p>
    <w:p>
      <w:pPr>
        <w:pStyle w:val="Intense Emphasis"/>
        <w:spacing w:after="50"/>
      </w:pPr>
      <w:r>
        <w:t xml:space="preserve">QUESTION: Patient develops PCP with PaO2 = 65 mmHg. What is the treatment regimen, and how does it differ from prophylaxis?</w:t>
      </w:r>
    </w:p>
    <w:p>
      <w:pPr>
        <w:spacing w:after="50"/>
      </w:pPr>
      <w:r>
        <w:t xml:space="preserve">ANSWER: Treatment Dose: TMP-SMX IV/PO at high dose (15-20 mg/kg/day of trimethoprim component) in divided doses for 21 days. Add corticosteroids: Prednisone 40 mg BID x5 days, then 40 mg daily x5 days, then taper over 11 days (total 21 days) if PaO2 &lt;70 mmHg. Prophylaxis Dose: 1-2 DS tablets daily or 3x/week (much lower). Supplemental oxygen, avoid intubation if possible (high mortality).</w:t>
      </w:r>
    </w:p>
    <w:p>
      <w:pPr>
        <w:pStyle w:val="List Paragraph"/>
        <w:spacing w:after="100"/>
      </w:pPr>
      <w:r>
        <w:t xml:space="preserve">RATIONALE/CLINICAL PEARL: PCP treatment dosing is 3-4x higher than prophylaxis. Corticosteroids improve outcomes significantly in moderate-severe disease. The goal is oxygenation &gt;60 mmHg without intubation. Non-adherence to prophylaxis after CD4 recovery risks PCP recurrence—maintain vigilance.</w:t>
      </w:r>
    </w:p>
    <w:p>
      <w:pPr>
        <w:pStyle w:val="Heading4"/>
        <w:spacing w:after="50" w:before="100"/>
      </w:pPr>
      <w:r>
        <w:t xml:space="preserve">FC12: Long-Term Monitoring Goals</w:t>
      </w:r>
    </w:p>
    <w:p>
      <w:pPr>
        <w:pStyle w:val="Intense Emphasis"/>
        <w:spacing w:after="50"/>
      </w:pPr>
      <w:r>
        <w:t xml:space="preserve">QUESTION: Patient has been on ART for 1 year with consistent viral load &lt;50 copies/mL and CD4 = 520. What are the key long-term monitoring milestones?</w:t>
      </w:r>
    </w:p>
    <w:p>
      <w:pPr>
        <w:spacing w:after="50"/>
      </w:pPr>
      <w:r>
        <w:t xml:space="preserve">ANSWER: Goals: (1) Maintain viral suppression (&lt;50 copies/mL = undetectable = untransmittable, "U=U"); (2) Monitor CD4 recovery—if sustained &gt;500 for &gt;3 months, can discontinue OI prophylaxis; (3) Watch for treatment-emergent resistance if adherence lapses; (4) Screen for non-AIDS malignancies (increased risk of lung, anal, liver cancers); (5) Monitor cardiovascular health (HIV + ART = increased CVD risk); (6) Assess mental health and substance use; (7) Ensure partner treatment/PrEP for serodiscordant couples.</w:t>
      </w:r>
    </w:p>
    <w:p>
      <w:pPr>
        <w:pStyle w:val="List Paragraph"/>
        <w:spacing w:after="100"/>
      </w:pPr>
      <w:r>
        <w:t xml:space="preserve">RATIONALE/CLINICAL PEARL: Long-term ART success means near-normal lifespan. Focus shifts to preventing AIDS complications, managing chronic diseases, and screening for age/HIV-associated conditions. Annual lab work: CBC, CMP, LFTs, lipids, CD4/viral load. U=U status (undetectable viral load = cannot transmit) is game-changing for prevention.</w:t>
      </w:r>
    </w:p>
    <w:p>
      <w:pPr>
        <w:spacing w:after="400"/>
      </w:pPr>
    </w:p>
    <w:p>
      <w:pPr>
        <w:pageBreakBefore/>
      </w:pPr>
    </w:p>
    <w:p>
      <w:pPr>
        <w:pStyle w:val="Heading1"/>
        <w:spacing w:after="200" w:before="200"/>
      </w:pPr>
      <w:r>
        <w:t xml:space="preserve">SECTION 3: SKIN CANCER, INFECTIONS, INFESTATIONS &amp; BENIGN DISORDERS</w:t>
      </w:r>
    </w:p>
    <w:p>
      <w:pPr>
        <w:pStyle w:val="Heading2"/>
        <w:spacing w:after="100" w:before="100"/>
      </w:pPr>
      <w:r>
        <w:t xml:space="preserve">Skin Lesion Classification (Foundation for Diagnosis)</w:t>
      </w:r>
    </w:p>
    <w:p>
      <w:pPr>
        <w:pStyle w:val="Heading3"/>
        <w:spacing w:after="100" w:before="100"/>
      </w:pPr>
      <w:r>
        <w:t xml:space="preserve">PRIMARY LESIONS (Initial manifestations):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20"/>
        <w:gridCol w:w="2500"/>
        <w:gridCol w:w="1620"/>
      </w:tblGrid>
      <w:tr>
        <w:trPr>
          <w:trHeight w:val="400" w:hRule="auto"/>
        </w:trPr>
        <w:tc>
          <w:p>
            <w:r>
              <w:t xml:space="preserve">Lesion Type</w:t>
            </w:r>
          </w:p>
        </w:tc>
        <w:tc>
          <w:p>
            <w:r>
              <w:t xml:space="preserve">Description</w:t>
            </w:r>
          </w:p>
        </w:tc>
        <w:tc>
          <w:p>
            <w:r>
              <w:t xml:space="preserve">Examples</w:t>
            </w:r>
          </w:p>
        </w:tc>
        <w:tc>
          <w:p>
            <w:r>
              <w:t xml:space="preserve">Size</w:t>
            </w:r>
          </w:p>
        </w:tc>
      </w:tr>
      <w:tr>
        <w:tc>
          <w:p>
            <w:r>
              <w:t xml:space="preserve">Macule</w:t>
            </w:r>
          </w:p>
        </w:tc>
        <w:tc>
          <w:p>
            <w:r>
              <w:t xml:space="preserve">Flat, non-palpable color change</w:t>
            </w:r>
          </w:p>
        </w:tc>
        <w:tc>
          <w:p>
            <w:r>
              <w:t xml:space="preserve">Freckles, vitiligo</w:t>
            </w:r>
          </w:p>
        </w:tc>
        <w:tc>
          <w:p>
            <w:r>
              <w:t xml:space="preserve">&lt;1 cm</w:t>
            </w:r>
          </w:p>
        </w:tc>
      </w:tr>
      <w:tr>
        <w:tc>
          <w:p>
            <w:r>
              <w:t xml:space="preserve">Papule</w:t>
            </w:r>
          </w:p>
        </w:tc>
        <w:tc>
          <w:p>
            <w:r>
              <w:t xml:space="preserve">Solid, raised, palpable</w:t>
            </w:r>
          </w:p>
        </w:tc>
        <w:tc>
          <w:p>
            <w:r>
              <w:t xml:space="preserve">Warts, acne, lichen planus</w:t>
            </w:r>
          </w:p>
        </w:tc>
        <w:tc>
          <w:p>
            <w:r>
              <w:t xml:space="preserve">1-2 cm</w:t>
            </w:r>
          </w:p>
        </w:tc>
      </w:tr>
      <w:tr>
        <w:tc>
          <w:p>
            <w:r>
              <w:t xml:space="preserve">Vesicle</w:t>
            </w:r>
          </w:p>
        </w:tc>
        <w:tc>
          <w:p>
            <w:r>
              <w:t xml:space="preserve">Fluid-filled blister</w:t>
            </w:r>
          </w:p>
        </w:tc>
        <w:tc>
          <w:p>
            <w:r>
              <w:t xml:space="preserve">Herpes simplex, chickenpox</w:t>
            </w:r>
          </w:p>
        </w:tc>
        <w:tc>
          <w:p>
            <w:r>
              <w:t xml:space="preserve">&lt;1 cm</w:t>
            </w:r>
          </w:p>
        </w:tc>
      </w:tr>
      <w:tr>
        <w:tc>
          <w:p>
            <w:r>
              <w:t xml:space="preserve">Bullae</w:t>
            </w:r>
          </w:p>
        </w:tc>
        <w:tc>
          <w:p>
            <w:r>
              <w:t xml:space="preserve">Large fluid-filled blister</w:t>
            </w:r>
          </w:p>
        </w:tc>
        <w:tc>
          <w:p>
            <w:r>
              <w:t xml:space="preserve">Pemphigus, bullous pemphigoid</w:t>
            </w:r>
          </w:p>
        </w:tc>
        <w:tc>
          <w:p>
            <w:r>
              <w:t xml:space="preserve">&gt;1 cm</w:t>
            </w:r>
          </w:p>
        </w:tc>
      </w:tr>
      <w:tr>
        <w:tc>
          <w:p>
            <w:r>
              <w:t xml:space="preserve">Pustule</w:t>
            </w:r>
          </w:p>
        </w:tc>
        <w:tc>
          <w:p>
            <w:r>
              <w:t xml:space="preserve">Pus-filled raised lesion</w:t>
            </w:r>
          </w:p>
        </w:tc>
        <w:tc>
          <w:p>
            <w:r>
              <w:t xml:space="preserve">Acne, impetigo</w:t>
            </w:r>
          </w:p>
        </w:tc>
        <w:tc>
          <w:p>
            <w:r>
              <w:t xml:space="preserve">Variable</w:t>
            </w:r>
          </w:p>
        </w:tc>
      </w:tr>
      <w:tr>
        <w:tc>
          <w:p>
            <w:r>
              <w:t xml:space="preserve">Plaque</w:t>
            </w:r>
          </w:p>
        </w:tc>
        <w:tc>
          <w:p>
            <w:r>
              <w:t xml:space="preserve">Solid raised area</w:t>
            </w:r>
          </w:p>
        </w:tc>
        <w:tc>
          <w:p>
            <w:r>
              <w:t xml:space="preserve">Psoriasis, lichen planus</w:t>
            </w:r>
          </w:p>
        </w:tc>
        <w:tc>
          <w:p>
            <w:r>
              <w:t xml:space="preserve">&gt;2 cm</w:t>
            </w:r>
          </w:p>
        </w:tc>
      </w:tr>
    </w:tbl>
    <w:p>
      <w:pPr>
        <w:spacing w:after="150"/>
      </w:pPr>
    </w:p>
    <w:p>
      <w:pPr>
        <w:pStyle w:val="Heading3"/>
        <w:spacing w:after="100" w:before="100"/>
      </w:pPr>
      <w:r>
        <w:t xml:space="preserve">SECONDARY LESIONS (Result from primary or trauma):</w:t>
      </w:r>
    </w:p>
    <w:p>
      <w:pPr>
        <w:pStyle w:val="List Bullet"/>
        <w:spacing w:after="50"/>
      </w:pPr>
      <w:r>
        <w:t xml:space="preserve">Scale: Flaking skin (psoriasis, seborrheic dermatitis)</w:t>
      </w:r>
    </w:p>
    <w:p>
      <w:pPr>
        <w:pStyle w:val="List Bullet"/>
        <w:spacing w:after="50"/>
      </w:pPr>
      <w:r>
        <w:t xml:space="preserve">Crust: Dried exudate (impetigo, herpes)</w:t>
      </w:r>
    </w:p>
    <w:p>
      <w:pPr>
        <w:pStyle w:val="List Bullet"/>
        <w:spacing w:after="50"/>
      </w:pPr>
      <w:r>
        <w:t xml:space="preserve">Ulcer: Loss of skin and subcutaneous tissue (pressure ulcers, leg ulcers)</w:t>
      </w:r>
    </w:p>
    <w:p>
      <w:pPr>
        <w:pStyle w:val="List Bullet"/>
        <w:spacing w:after="50"/>
      </w:pPr>
      <w:r>
        <w:t xml:space="preserve">Erosion: Loss of epidermis only (pemphigus)</w:t>
      </w:r>
    </w:p>
    <w:p>
      <w:pPr>
        <w:pStyle w:val="List Bullet"/>
        <w:spacing w:after="50"/>
      </w:pPr>
      <w:r>
        <w:t xml:space="preserve">Scar: Fibrosed tissue after healing (post-surgical, acne)</w:t>
      </w:r>
    </w:p>
    <w:p>
      <w:pPr>
        <w:spacing w:after="100"/>
      </w:pPr>
    </w:p>
    <w:p>
      <w:pPr>
        <w:pStyle w:val="Heading3"/>
        <w:spacing w:after="100" w:before="100"/>
      </w:pPr>
      <w:r>
        <w:t xml:space="preserve">ABCDE Rule for Melanoma Detection (CRITICAL):</w:t>
      </w:r>
    </w:p>
    <w:p>
      <w:pPr>
        <w:pStyle w:val="List Bullet"/>
        <w:spacing w:after="50"/>
      </w:pPr>
      <w:r>
        <w:t xml:space="preserve">A = Asymmetry: One half doesn't match the other</w:t>
      </w:r>
    </w:p>
    <w:p>
      <w:pPr>
        <w:pStyle w:val="List Bullet"/>
        <w:spacing w:after="50"/>
      </w:pPr>
      <w:r>
        <w:t xml:space="preserve">B = Border irregularity: Jagged, scalloped, or poorly defined edges</w:t>
      </w:r>
    </w:p>
    <w:p>
      <w:pPr>
        <w:pStyle w:val="List Bullet"/>
        <w:spacing w:after="50"/>
      </w:pPr>
      <w:r>
        <w:t xml:space="preserve">C = Color variation: Multiple colors (brown, black, red, white)</w:t>
      </w:r>
    </w:p>
    <w:p>
      <w:pPr>
        <w:pStyle w:val="List Bullet"/>
        <w:spacing w:after="50"/>
      </w:pPr>
      <w:r>
        <w:t xml:space="preserve">D = Diameter: &gt;6mm (size of pencil eraser or larger)</w:t>
      </w:r>
    </w:p>
    <w:p>
      <w:pPr>
        <w:pStyle w:val="List Bullet"/>
        <w:spacing w:after="50"/>
      </w:pPr>
      <w:r>
        <w:t xml:space="preserve">E = Evolving: Changing size, shape, or color over weeks to months</w:t>
      </w:r>
    </w:p>
    <w:p>
      <w:pPr>
        <w:pStyle w:val="List Bullet"/>
        <w:spacing w:after="50"/>
      </w:pPr>
      <w:r>
        <w:t xml:space="preserve">ANY ABCDE feature → Refer to dermatology ASAP for biopsy</w:t>
      </w:r>
    </w:p>
    <w:p>
      <w:pPr>
        <w:spacing w:after="200"/>
      </w:pPr>
    </w:p>
    <w:p>
      <w:pPr>
        <w:pStyle w:val="Heading3"/>
        <w:spacing w:after="100" w:before="100"/>
      </w:pPr>
      <w:r>
        <w:t xml:space="preserve">Bacterial Infections:</w:t>
      </w:r>
    </w:p>
    <w:p>
      <w:pPr>
        <w:pStyle w:val="List Bullet"/>
        <w:spacing w:after="50"/>
      </w:pPr>
      <w:r>
        <w:t xml:space="preserve">Cellulitis: Non-purulent, poorly demarcated, warm, erythematous, edematous. Streptococcus pyogenes or Staphylococcus aureus. Treat with IV/PO antibiotics (beta-lactams). Risk: spread to deeper tissues, sepsis.</w:t>
      </w:r>
    </w:p>
    <w:p>
      <w:pPr>
        <w:pStyle w:val="List Bullet"/>
        <w:spacing w:after="50"/>
      </w:pPr>
      <w:r>
        <w:t xml:space="preserve">Erysipelas: Sharp, demarcated borders; red, raised, warm. Often face/ears. Strep pyogenes only. Treat with penicillin. Recurrence common.</w:t>
      </w:r>
    </w:p>
    <w:p>
      <w:pPr>
        <w:pStyle w:val="List Bullet"/>
        <w:spacing w:after="50"/>
      </w:pPr>
      <w:r>
        <w:t xml:space="preserve">Impetigo: Superficial, honey-crusted lesions; highly contagious. Staph or Strep. Treat with topical (mupirocin) or systemic antibiotics. Bullous variant more serious.</w:t>
      </w:r>
    </w:p>
    <w:p>
      <w:pPr>
        <w:pStyle w:val="List Bullet"/>
        <w:spacing w:after="50"/>
      </w:pPr>
      <w:r>
        <w:t xml:space="preserve">Abscess: Localized pus collection. Needs incision, drainage, and antibiotics if systemic signs. Culture fluid to identify organism.</w:t>
      </w:r>
    </w:p>
    <w:p>
      <w:pPr>
        <w:spacing w:after="100"/>
      </w:pPr>
    </w:p>
    <w:p>
      <w:pPr>
        <w:pStyle w:val="Heading3"/>
        <w:spacing w:after="100" w:before="100"/>
      </w:pPr>
      <w:r>
        <w:t xml:space="preserve">Parasitic Infestations:</w:t>
      </w:r>
    </w:p>
    <w:p>
      <w:pPr>
        <w:pStyle w:val="List Bullet"/>
        <w:spacing w:after="50"/>
      </w:pPr>
      <w:r>
        <w:t xml:space="preserve">Scabies (Sarcoptes scabiei mite): Intense pruritus, burrows on wrists/webs of fingers. Treat whole body with permethrin 5% cream. Treat close contacts too. Wash all clothing/bedding.</w:t>
      </w:r>
    </w:p>
    <w:p>
      <w:pPr>
        <w:pStyle w:val="List Bullet"/>
        <w:spacing w:after="50"/>
      </w:pPr>
      <w:r>
        <w:t xml:space="preserve">Lice (Head/Body/Pubic): Nits visible on hair/clothing; itching. Treat with permethrin or pyrethrin. Remove nits with nit comb. Repeat treatment in 1 week.</w:t>
      </w:r>
    </w:p>
    <w:p>
      <w:pPr>
        <w:pStyle w:val="List Bullet"/>
        <w:spacing w:after="50"/>
      </w:pPr>
      <w:r>
        <w:t xml:space="preserve">Pediculosis: Similar to lice; body lice transmit disease (typhus, bartonellosis). Improve hygiene and living conditions.</w:t>
      </w:r>
    </w:p>
    <w:p>
      <w:pPr>
        <w:spacing w:after="100"/>
      </w:pPr>
    </w:p>
    <w:p>
      <w:pPr>
        <w:pStyle w:val="Heading3"/>
        <w:spacing w:after="100" w:before="100"/>
      </w:pPr>
      <w:r>
        <w:t xml:space="preserve">Viral Infections:</w:t>
      </w:r>
    </w:p>
    <w:p>
      <w:pPr>
        <w:pStyle w:val="List Bullet"/>
        <w:spacing w:after="50"/>
      </w:pPr>
      <w:r>
        <w:t xml:space="preserve">Herpes Simplex Virus (HSV-1/2): Vesicles, erosions, ulcers; severe pain; prodrome of tingling. Treat with acyclovir (topical, PO, or IV). Recurrent; can suppress with prophylaxis.</w:t>
      </w:r>
    </w:p>
    <w:p>
      <w:pPr>
        <w:pStyle w:val="List Bullet"/>
        <w:spacing w:after="50"/>
      </w:pPr>
      <w:r>
        <w:t xml:space="preserve">Varicella-Zoster Virus (Shingles/Zoster): Dermatomal vesicles, severe pain, erythema. Treat with acyclovir/valacyclovir within 72 hours for best results. Post-herpetic neuralgia is common complication.</w:t>
      </w:r>
    </w:p>
    <w:p>
      <w:pPr>
        <w:pStyle w:val="List Bullet"/>
        <w:spacing w:after="50"/>
      </w:pPr>
      <w:r>
        <w:t xml:space="preserve">Molluscum Contagiosum: Small, umbilicated papules; contagious; common in HIV. Treat with topical tretinoin, imiquimod, or cryotherapy. May resolve spontaneously with immune reconstitution.</w:t>
      </w:r>
    </w:p>
    <w:p>
      <w:pPr>
        <w:spacing w:after="100"/>
      </w:pPr>
    </w:p>
    <w:p>
      <w:pPr>
        <w:pStyle w:val="Heading3"/>
        <w:spacing w:after="100" w:before="100"/>
      </w:pPr>
      <w:r>
        <w:t xml:space="preserve">Fungal Infections:</w:t>
      </w:r>
    </w:p>
    <w:p>
      <w:pPr>
        <w:pStyle w:val="List Bullet"/>
        <w:spacing w:after="50"/>
      </w:pPr>
      <w:r>
        <w:t xml:space="preserve">Tinea (Dermatophyte): Ring-shaped, scaly lesions with central clearing. Treat with topical azoles (clotrimazole, miconazole) or PO griseofulvin/terbinafine. Prevent by keeping area dry.</w:t>
      </w:r>
    </w:p>
    <w:p>
      <w:pPr>
        <w:pStyle w:val="List Bullet"/>
        <w:spacing w:after="50"/>
      </w:pPr>
      <w:r>
        <w:t xml:space="preserve">Candida: Erythematous, satellite lesions, pruritus; common in skin folds and oral cavity. Treat with topical or systemic azoles. Risk: esophagitis if immunocompromised.</w:t>
      </w:r>
    </w:p>
    <w:p>
      <w:pPr>
        <w:pStyle w:val="List Bullet"/>
        <w:spacing w:after="50"/>
      </w:pPr>
      <w:r>
        <w:t xml:space="preserve">Pityriasis Versicolor: Hypo/hyperpigmented patches; selenium sulfide or azole shampoo. Caused by Malassezia.</w:t>
      </w:r>
    </w:p>
    <w:p>
      <w:pPr>
        <w:spacing w:after="200"/>
      </w:pPr>
    </w:p>
    <w:p>
      <w:pPr>
        <w:pStyle w:val="Heading3"/>
        <w:spacing w:after="100" w:before="100"/>
      </w:pPr>
      <w:r>
        <w:t xml:space="preserve">Benign Skin Disorders:</w:t>
      </w:r>
    </w:p>
    <w:p>
      <w:pPr>
        <w:pStyle w:val="List Bullet"/>
        <w:spacing w:after="50"/>
      </w:pPr>
      <w:r>
        <w:t xml:space="preserve">Acne: Comedones (blackheads), papules, pustules, cysts. Treat with retinoids, benzoyl peroxide, antibiotics (topical/systemic), hormonal therapy. Emphasize gentle skin care.</w:t>
      </w:r>
    </w:p>
    <w:p>
      <w:pPr>
        <w:pStyle w:val="List Bullet"/>
        <w:spacing w:after="50"/>
      </w:pPr>
      <w:r>
        <w:t xml:space="preserve">Psoriasis: Silvery scales, well-demarcated plaques; chronic relapsing. Treat with topical steroids, vitamin D analogues, retinoids; systemic therapy for severe disease.</w:t>
      </w:r>
    </w:p>
    <w:p>
      <w:pPr>
        <w:pStyle w:val="List Bullet"/>
        <w:spacing w:after="50"/>
      </w:pPr>
      <w:r>
        <w:t xml:space="preserve">Lichen Planus: Purple, polygonal, pruritic papules/plaques. May have oral involvement. Treat with topical/intralesional steroids or systemic retinoids.</w:t>
      </w:r>
    </w:p>
    <w:p>
      <w:pPr>
        <w:pStyle w:val="List Bullet"/>
        <w:spacing w:after="50"/>
      </w:pPr>
      <w:r>
        <w:t xml:space="preserve">Seborrheic Dermatitis: Erythematous, greasy scales; scalp, face, chest. Treat with selenium sulfide shampoo, topical steroids, antifungals.</w:t>
      </w:r>
    </w:p>
    <w:p>
      <w:pPr>
        <w:spacing w:after="150"/>
      </w:pPr>
    </w:p>
    <w:p>
      <w:pPr>
        <w:pStyle w:val="Heading2"/>
        <w:spacing w:after="100" w:before="100"/>
      </w:pPr>
      <w:r>
        <w:t xml:space="preserve">SKIN CONDITIONS CLINICAL APPLICATION FLASHCARDS (12)</w:t>
      </w:r>
    </w:p>
    <w:p>
      <w:pPr>
        <w:pStyle w:val="Heading4"/>
        <w:spacing w:after="50" w:before="100"/>
      </w:pPr>
      <w:r>
        <w:t xml:space="preserve">FC1: ABCDE Rule Application</w:t>
      </w:r>
    </w:p>
    <w:p>
      <w:pPr>
        <w:pStyle w:val="Intense Emphasis"/>
        <w:spacing w:after="50"/>
      </w:pPr>
      <w:r>
        <w:t xml:space="preserve">QUESTION: Patient presents with a 9mm mole on the back. It has irregular borders, 3 colors (brown, black, red), and the patient says it's grown over the past 6 months. What is your clinical action?</w:t>
      </w:r>
    </w:p>
    <w:p>
      <w:pPr>
        <w:spacing w:after="50"/>
      </w:pPr>
      <w:r>
        <w:t xml:space="preserve">ANSWER: Refer to dermatology for biopsy IMMEDIATELY. This lesion has D (diameter &gt;6mm), B (border irregularity), C (color variation), and E (evolving/growing). Any single ABCDE feature warrants evaluation for melanoma.</w:t>
      </w:r>
    </w:p>
    <w:p>
      <w:pPr>
        <w:pStyle w:val="List Paragraph"/>
        <w:spacing w:after="100"/>
      </w:pPr>
      <w:r>
        <w:t xml:space="preserve">RATIONALE/CLINICAL PEARL: Melanoma mortality increases with Breslow depth. Early detection via ABCDE is life-saving. Teach all patients monthly self-skin exams. Document baseline lesions and photograph suspicious ones. Do not delay referral.</w:t>
      </w:r>
    </w:p>
    <w:p>
      <w:pPr>
        <w:pStyle w:val="Heading4"/>
        <w:spacing w:after="50" w:before="100"/>
      </w:pPr>
      <w:r>
        <w:t xml:space="preserve">FC2: Cellulitis vs. Erysipelas</w:t>
      </w:r>
    </w:p>
    <w:p>
      <w:pPr>
        <w:pStyle w:val="Intense Emphasis"/>
        <w:spacing w:after="50"/>
      </w:pPr>
      <w:r>
        <w:t xml:space="preserve">QUESTION: Two patients with lower leg erythema. Patient A has poorly demarcated borders, Patient B has sharp, well-demarcated borders. How does treatment differ?</w:t>
      </w:r>
    </w:p>
    <w:p>
      <w:pPr>
        <w:spacing w:after="50"/>
      </w:pPr>
      <w:r>
        <w:t xml:space="preserve">ANSWER: Patient A (cellulitis): Start broad-spectrum antibiotics (beta-lactam/cephalosporin) covering Strep and Staph. Patient B (erysipelas): Penicillin is adequate (Strep pyogenes only). Both need elevation and monitoring for spreading edges, warmth, fluctuance.</w:t>
      </w:r>
    </w:p>
    <w:p>
      <w:pPr>
        <w:pStyle w:val="List Paragraph"/>
        <w:spacing w:after="100"/>
      </w:pPr>
      <w:r>
        <w:t xml:space="preserve">RATIONALE/CLINICAL PEARL: Cellulitis can spread rapidly and cause bacteremia; erysipelas less likely to progress but more likely to recur. Erysipelas typically affects face/ears. Mark the border of cellulitis with pen and recheck regularly to assess response to antibiotics.</w:t>
      </w:r>
    </w:p>
    <w:p>
      <w:pPr>
        <w:pStyle w:val="Heading4"/>
        <w:spacing w:after="50" w:before="100"/>
      </w:pPr>
      <w:r>
        <w:t xml:space="preserve">FC3: Impetigo Recognition &amp; Prevention</w:t>
      </w:r>
    </w:p>
    <w:p>
      <w:pPr>
        <w:pStyle w:val="Intense Emphasis"/>
        <w:spacing w:after="50"/>
      </w:pPr>
      <w:r>
        <w:t xml:space="preserve">QUESTION: A 5-year-old attends day care. Diagnosis of impetigo (honey-crusted lesions on face) is made. Nurse directs the parents on treatment. What is the most important prevention measure?</w:t>
      </w:r>
    </w:p>
    <w:p>
      <w:pPr>
        <w:spacing w:after="50"/>
      </w:pPr>
      <w:r>
        <w:t xml:space="preserve">ANSWER: Isolation from day care for 24-48 hours after starting antibiotics. Cover lesions to prevent contact transmission. Teach hand hygiene and avoid sharing towels/equipment. Child can return once lesions are non-oozing and covered. Treat close contacts if symptomatic.</w:t>
      </w:r>
    </w:p>
    <w:p>
      <w:pPr>
        <w:pStyle w:val="List Paragraph"/>
        <w:spacing w:after="100"/>
      </w:pPr>
      <w:r>
        <w:t xml:space="preserve">RATIONALE/CLINICAL PEARL: Impetigo is highly contagious and spreads by touch. Bullous impetigo is more serious (can affect deeper skin layers). Prompt antibiotic therapy (topical mupirocin for localized; systemic for widespread) prevents complications and transmission. Watch for progression to cellulitis.</w:t>
      </w:r>
    </w:p>
    <w:p>
      <w:pPr>
        <w:pStyle w:val="Heading4"/>
        <w:spacing w:after="50" w:before="100"/>
      </w:pPr>
      <w:r>
        <w:t xml:space="preserve">FC4: Scabies Management</w:t>
      </w:r>
    </w:p>
    <w:p>
      <w:pPr>
        <w:pStyle w:val="Intense Emphasis"/>
        <w:spacing w:after="50"/>
      </w:pPr>
      <w:r>
        <w:t xml:space="preserve">QUESTION: Patient diagnosed with scabies. Entire family itching. Nurse prepares permethrin 5% treatment plan. What critical step is often missed?</w:t>
      </w:r>
    </w:p>
    <w:p>
      <w:pPr>
        <w:spacing w:after="50"/>
      </w:pPr>
      <w:r>
        <w:t xml:space="preserve">ANSWER: TREAT ALL HOUSEHOLD/CLOSE CONTACTS simultaneously, even if asymptomatic. Apply permethrin 5% cream head-to-toe (including under nails, between fingers, groin, buttocks). Leave on 8-14 hours. Repeat in 1 week. WASH all bedding, clothing, linens in hot water. Isolate items if can't wash immediately.</w:t>
      </w:r>
    </w:p>
    <w:p>
      <w:pPr>
        <w:pStyle w:val="List Paragraph"/>
        <w:spacing w:after="100"/>
      </w:pPr>
      <w:r>
        <w:t xml:space="preserve">RATIONALE/CLINICAL PEARL: Failure to treat contacts causes reinfection. Burrows (tiny lines on wrists, webs of fingers) are diagnostic. Pruritus may persist for weeks after treatment due to inflammatory response. Do NOT recommend ivermectin for routine scabies (PO option for certain populations like institutionalized). Educate on proper application.</w:t>
      </w:r>
    </w:p>
    <w:p>
      <w:pPr>
        <w:pStyle w:val="Heading4"/>
        <w:spacing w:after="50" w:before="100"/>
      </w:pPr>
      <w:r>
        <w:t xml:space="preserve">FC5: Tinea vs. Candida (Diaper Rash)</w:t>
      </w:r>
    </w:p>
    <w:p>
      <w:pPr>
        <w:pStyle w:val="Intense Emphasis"/>
        <w:spacing w:after="50"/>
      </w:pPr>
      <w:r>
        <w:t xml:space="preserve">QUESTION: Mother reports baby's diaper rash won't resolve with diaper changes and barrier cream. Exam shows satellite lesions and erosion in skin folds. Fungal vs. bacterial?</w:t>
      </w:r>
    </w:p>
    <w:p>
      <w:pPr>
        <w:spacing w:after="50"/>
      </w:pPr>
      <w:r>
        <w:t xml:space="preserve">ANSWER: Candida diaper rash. Satellite lesions (small lesions at margins) are pathognomonic for Candida. Treat with topical antifungal (nystatin, miconazole) applied to clean, dry skin 3-4x daily. Keep diaper area dry; change diapers frequently. May need systemic antifungal (fluconazole) if severe/recurrent.</w:t>
      </w:r>
    </w:p>
    <w:p>
      <w:pPr>
        <w:pStyle w:val="List Paragraph"/>
        <w:spacing w:after="100"/>
      </w:pPr>
      <w:r>
        <w:t xml:space="preserve">RATIONALE/CLINICAL PEARL: Candida thrives in warm, moist environments (diapers). Tinea rash doesn't have satellites and is rare in diapers. If mother using antibiotics, Candida risk increases. Educate on proper diaper care, hand hygiene, and when to seek follow-up if not improving in 3-5 days.</w:t>
      </w:r>
    </w:p>
    <w:p>
      <w:pPr>
        <w:pStyle w:val="Heading4"/>
        <w:spacing w:after="50" w:before="100"/>
      </w:pPr>
      <w:r>
        <w:t xml:space="preserve">FC6: HSV Esophagitis Recognition</w:t>
      </w:r>
    </w:p>
    <w:p>
      <w:pPr>
        <w:pStyle w:val="Intense Emphasis"/>
        <w:spacing w:after="50"/>
      </w:pPr>
      <w:r>
        <w:t xml:space="preserve">QUESTION: Immunocompromised patient with CD4 = 45 develops severe odynophagia and dysphagia. Fever, malaise. Swallow study shows shallow ulcers in esophagus. Diagnosis?</w:t>
      </w:r>
    </w:p>
    <w:p>
      <w:pPr>
        <w:spacing w:after="50"/>
      </w:pPr>
      <w:r>
        <w:t xml:space="preserve">ANSWER: HSV esophagitis. Treat with IV acyclovir (or valacyclovir PO if tolerating). Prognosis depends on immune recovery. High mortality if untreated in severely immunocompromised. May also test for CMV esophagitis (deeper ulcers) and Candida (white plaques).</w:t>
      </w:r>
    </w:p>
    <w:p>
      <w:pPr>
        <w:pStyle w:val="List Paragraph"/>
        <w:spacing w:after="100"/>
      </w:pPr>
      <w:r>
        <w:t xml:space="preserve">RATIONALE/CLINICAL PEARL: Esophagitis severely impacts nutrition and hydration. Consider NPO status and TPN if needed. Monitor for perforation (acute pain, fever, sepsis). HSV esophagitis usually improves once CD4 recovers on ART. Prophylaxis with acyclovir or valacyclovir may be considered for recurrent disease.</w:t>
      </w:r>
    </w:p>
    <w:p>
      <w:pPr>
        <w:pStyle w:val="Heading4"/>
        <w:spacing w:after="50" w:before="100"/>
      </w:pPr>
      <w:r>
        <w:t xml:space="preserve">FC7: Molluscum Contagiosum Management</w:t>
      </w:r>
    </w:p>
    <w:p>
      <w:pPr>
        <w:pStyle w:val="Intense Emphasis"/>
        <w:spacing w:after="50"/>
      </w:pPr>
      <w:r>
        <w:t xml:space="preserve">QUESTION: HIV+ patient (CD4 = 120) has multiple 2-3mm umbilicated papules on arms and torso. Has had them for 2 months. Treatment plan?</w:t>
      </w:r>
    </w:p>
    <w:p>
      <w:pPr>
        <w:spacing w:after="50"/>
      </w:pPr>
      <w:r>
        <w:t xml:space="preserve">ANSWER: Options: (1) Observe—may resolve spontaneously with immune recovery on ART; (2) Topical: tretinoin, imiquimod, cantharidin, salicylic acid; (3) Destructive: cryotherapy, curettage, laser. Given low CD4, prioritize starting/optimizing ART. Lesions may worsen before improving as CD4 recovers (IRIS-like phenomenon).</w:t>
      </w:r>
    </w:p>
    <w:p>
      <w:pPr>
        <w:pStyle w:val="List Paragraph"/>
        <w:spacing w:after="100"/>
      </w:pPr>
      <w:r>
        <w:t xml:space="preserve">RATIONALE/CLINICAL PEARL: Molluscum is self-limited in immunocompetent but can become widespread at CD4 &lt;100. Avoid picking lesions (spreads virus). Educate patient on CD4-dependent resolution. Monitor for secondary bacterial infection from trauma/scratching. Lesions may take weeks to months to resolve even with treatment.</w:t>
      </w:r>
    </w:p>
    <w:p>
      <w:pPr>
        <w:pStyle w:val="Heading4"/>
        <w:spacing w:after="50" w:before="100"/>
      </w:pPr>
      <w:r>
        <w:t xml:space="preserve">FC8: Melanoma Staging &amp; Prognosis</w:t>
      </w:r>
    </w:p>
    <w:p>
      <w:pPr>
        <w:pStyle w:val="Intense Emphasis"/>
        <w:spacing w:after="50"/>
      </w:pPr>
      <w:r>
        <w:t xml:space="preserve">QUESTION: Histology shows melanoma, Breslow depth 2.5mm, lymph node biopsy positive. What stage and prognosis?</w:t>
      </w:r>
    </w:p>
    <w:p>
      <w:pPr>
        <w:spacing w:after="50"/>
      </w:pPr>
      <w:r>
        <w:t xml:space="preserve">ANSWER: Stage IIIB (regional node involvement). Prognosis: 5-year survival approximately 60-70% depending on number of nodes involved. Treatment: wide surgical excision (margins per Breslow depth), sentinel lymph node biopsy if not already done, consider adjuvant therapy (immunotherapy, targeted therapy based on BRAF mutation).</w:t>
      </w:r>
    </w:p>
    <w:p>
      <w:pPr>
        <w:pStyle w:val="List Paragraph"/>
        <w:spacing w:after="100"/>
      </w:pPr>
      <w:r>
        <w:t xml:space="preserve">RATIONALE/CLINICAL PEARL: Breslow depth is strongest prognostic factor. &lt;1mm: Stage I (excellent prognosis ~95%). 1-2mm: Stage II. &gt;4mm or node involvement: Stage III/IV. Ulceration worsens prognosis. Teach patient sun protection, monthly skin self-exams, follow-up every 3-6 months initially.</w:t>
      </w:r>
    </w:p>
    <w:p>
      <w:pPr>
        <w:pStyle w:val="Heading4"/>
        <w:spacing w:after="50" w:before="100"/>
      </w:pPr>
      <w:r>
        <w:t xml:space="preserve">FC9: Acne Management &amp; Patient Education</w:t>
      </w:r>
    </w:p>
    <w:p>
      <w:pPr>
        <w:pStyle w:val="Intense Emphasis"/>
        <w:spacing w:after="50"/>
      </w:pPr>
      <w:r>
        <w:t xml:space="preserve">QUESTION: 16-year-old with moderate acne on face/chest/back. Tried OTC benzoyl peroxide for 2 weeks without improvement. Requests accutane. Nurse education?</w:t>
      </w:r>
    </w:p>
    <w:p>
      <w:pPr>
        <w:spacing w:after="50"/>
      </w:pPr>
      <w:r>
        <w:t xml:space="preserve">ANSWER: Accutane (isotretinoin) is teratogenic—reserved for severe cystic acne unresponsive to other treatments, risks permanent scarring, or causes psychological distress. Current presentation suggests needs systemic therapy: oral antibiotics (doxycycline, minocycline) + topical retinoid (tretinoin, adapalene) + benzoyl peroxide. May add hormonal therapy if female.</w:t>
      </w:r>
    </w:p>
    <w:p>
      <w:pPr>
        <w:pStyle w:val="List Paragraph"/>
        <w:spacing w:after="100"/>
      </w:pPr>
      <w:r>
        <w:t xml:space="preserve">RATIONALE/CLINICAL PEARL: Timeline: Expect 6-8 weeks for improvement. Emphasize gentle skin care (twice daily), noncomedogenic products, sunscreen (retinoids are photosensitizing), and avoiding picking (causes scarring). Monitor for depression/mood changes on isotretinoin if ever indicated. Refer dermatology if severe cystic acne.</w:t>
      </w:r>
    </w:p>
    <w:p>
      <w:pPr>
        <w:pStyle w:val="Heading4"/>
        <w:spacing w:after="50" w:before="100"/>
      </w:pPr>
      <w:r>
        <w:t xml:space="preserve">FC10: Psoriasis vs. Lichen Planus</w:t>
      </w:r>
    </w:p>
    <w:p>
      <w:pPr>
        <w:pStyle w:val="Intense Emphasis"/>
        <w:spacing w:after="50"/>
      </w:pPr>
      <w:r>
        <w:t xml:space="preserve">QUESTION: Patient presents with multiple papules and plaques. Lesions are purple, polygonal, and severely pruritic. Oral involvement with white lacy pattern noted. Diagnosis?</w:t>
      </w:r>
    </w:p>
    <w:p>
      <w:pPr>
        <w:spacing w:after="50"/>
      </w:pPr>
      <w:r>
        <w:t xml:space="preserve">ANSWER: Lichen planus. Key differences from psoriasis: (1) Purple color (vs. red in psoriasis); (2) Polygonal shape; (3) Oral involvement common; (4) Wickham's striae (white lacy pattern) pathognomonic. Pruritus often severe. Treat with topical/intralesional steroids or systemic retinoids.</w:t>
      </w:r>
    </w:p>
    <w:p>
      <w:pPr>
        <w:pStyle w:val="List Paragraph"/>
        <w:spacing w:after="100"/>
      </w:pPr>
      <w:r>
        <w:t xml:space="preserve">RATIONALE/CLINICAL PEARL: Lichen planus lesions may take months to resolve even with treatment. Psychological impact significant due to pruritus. Monitor for malignant transformation in oral LP (1-2% risk). Psoriasis plaques are larger, well-demarcated, silver-scaled; nail involvement common. Both chronic but manage differently.</w:t>
      </w:r>
    </w:p>
    <w:p>
      <w:pPr>
        <w:pStyle w:val="Heading4"/>
        <w:spacing w:after="50" w:before="100"/>
      </w:pPr>
      <w:r>
        <w:t xml:space="preserve">FC11: Seborrheic Dermatitis Triggers &amp; Treatment</w:t>
      </w:r>
    </w:p>
    <w:p>
      <w:pPr>
        <w:pStyle w:val="Intense Emphasis"/>
        <w:spacing w:after="50"/>
      </w:pPr>
      <w:r>
        <w:t xml:space="preserve">QUESTION: Patient with chronic scalp dermatitis (erythema, greasy yellow scales) non-responsive to topical steroids alone. What maintenance therapy?</w:t>
      </w:r>
    </w:p>
    <w:p>
      <w:pPr>
        <w:spacing w:after="50"/>
      </w:pPr>
      <w:r>
        <w:t xml:space="preserve">ANSWER: Add selenium sulfide 2.5% shampoo twice weekly OR zinc pyrithione shampoo. These have antifungal properties (Malassezia is implicated). Use topical steroid as needed for flares. May also use coal tar shampoo or ketoconazole shampoo. Reduce frequency once controlled.</w:t>
      </w:r>
    </w:p>
    <w:p>
      <w:pPr>
        <w:pStyle w:val="List Paragraph"/>
        <w:spacing w:after="100"/>
      </w:pPr>
      <w:r>
        <w:t xml:space="preserve">RATIONALE/CLINICAL PEARL: Seborrheic dermatitis is chronic relapsing. Triggers: stress, winter, poor hygiene, immunosuppression (HIV, cancer). Educate patient on regular shampooing and seborrheic dermatitis management plan. Involvement of face/chest suggests systemic inflammation—consider if condition severe or involving multiple body areas.</w:t>
      </w:r>
    </w:p>
    <w:p>
      <w:pPr>
        <w:pStyle w:val="Heading4"/>
        <w:spacing w:after="50" w:before="100"/>
      </w:pPr>
      <w:r>
        <w:t xml:space="preserve">FC12: Wound Care in Infected Lesions</w:t>
      </w:r>
    </w:p>
    <w:p>
      <w:pPr>
        <w:pStyle w:val="Intense Emphasis"/>
        <w:spacing w:after="50"/>
      </w:pPr>
      <w:r>
        <w:t xml:space="preserve">QUESTION: Patient with impetigo on leg with oozing honey-crusted lesions. Nurse providing wound care. What is appropriate cleansing approach?</w:t>
      </w:r>
    </w:p>
    <w:p>
      <w:pPr>
        <w:spacing w:after="50"/>
      </w:pPr>
      <w:r>
        <w:t xml:space="preserve">ANSWER: Gently cleanse with saline or mild soap and water to remove crusts (reveals true extent of infection). Do NOT aggressive scrubbing (spreads infection). Pat dry. Apply topical antibiotic (mupirocin) or systemic antibiotics depending on extent. Cover lesions to prevent transmission. Change dressing daily or when soiled.</w:t>
      </w:r>
    </w:p>
    <w:p>
      <w:pPr>
        <w:pStyle w:val="List Paragraph"/>
        <w:spacing w:after="100"/>
      </w:pPr>
      <w:r>
        <w:t xml:space="preserve">RATIONALE/CLINICAL PEARL: Impetigo requires infection control: isolate if possible, cover lesions, no sharing of items, hand hygiene. Crusts harbor bacteria and must be removed for topical antibiotics to work. Systemic therapy indicated if extensive (&gt;5 lesions) or facial involvement. Monitor for spreading borders, fever, lymphadenopathy.</w:t>
      </w:r>
    </w:p>
    <w:p>
      <w:pPr>
        <w:spacing w:after="400"/>
      </w:pPr>
    </w:p>
    <w:p>
      <w:pPr>
        <w:pageBreakBefore/>
      </w:pPr>
    </w:p>
    <w:p>
      <w:pPr>
        <w:pStyle w:val="Heading1"/>
        <w:spacing w:after="200" w:before="200"/>
      </w:pPr>
      <w:r>
        <w:t xml:space="preserve">SECTION 4: WOUND MANAGEMENT &amp; BURNS</w:t>
      </w:r>
    </w:p>
    <w:p>
      <w:pPr>
        <w:pStyle w:val="Heading2"/>
        <w:spacing w:after="100" w:before="100"/>
      </w:pPr>
      <w:r>
        <w:t xml:space="preserve">Wound Healing Phases (Foundation for Nursing Care)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240"/>
      </w:tblGrid>
      <w:tr>
        <w:trPr>
          <w:trHeight w:val="400" w:hRule="auto"/>
        </w:trPr>
        <w:tc>
          <w:p>
            <w:r>
              <w:t xml:space="preserve">Phase</w:t>
            </w:r>
          </w:p>
        </w:tc>
        <w:tc>
          <w:p>
            <w:r>
              <w:t xml:space="preserve">Timeline</w:t>
            </w:r>
          </w:p>
        </w:tc>
        <w:tc>
          <w:p>
            <w:r>
              <w:t xml:space="preserve">Key Processes</w:t>
            </w:r>
          </w:p>
        </w:tc>
        <w:tc>
          <w:p>
            <w:r>
              <w:t xml:space="preserve">Nursing Focus</w:t>
            </w:r>
          </w:p>
        </w:tc>
      </w:tr>
      <w:tr>
        <w:tc>
          <w:p>
            <w:r>
              <w:t xml:space="preserve">Hemostasis</w:t>
            </w:r>
          </w:p>
        </w:tc>
        <w:tc>
          <w:p>
            <w:r>
              <w:t xml:space="preserve">Minutes to hours</w:t>
            </w:r>
          </w:p>
        </w:tc>
        <w:tc>
          <w:p>
            <w:r>
              <w:t xml:space="preserve">Platelet plug formation; clotting cascade</w:t>
            </w:r>
          </w:p>
        </w:tc>
        <w:tc>
          <w:p>
            <w:r>
              <w:t xml:space="preserve">Hemorrhage control; dressing</w:t>
            </w:r>
          </w:p>
        </w:tc>
      </w:tr>
      <w:tr>
        <w:tc>
          <w:p>
            <w:r>
              <w:t xml:space="preserve">Inflammation</w:t>
            </w:r>
          </w:p>
        </w:tc>
        <w:tc>
          <w:p>
            <w:r>
              <w:t xml:space="preserve">0-3 days</w:t>
            </w:r>
          </w:p>
        </w:tc>
        <w:tc>
          <w:p>
            <w:r>
              <w:t xml:space="preserve">Vasodilation, edema, WBC infiltration; removes debris</w:t>
            </w:r>
          </w:p>
        </w:tc>
        <w:tc>
          <w:p>
            <w:r>
              <w:t xml:space="preserve">Expected redness, warmth; monitor for infection</w:t>
            </w:r>
          </w:p>
        </w:tc>
      </w:tr>
      <w:tr>
        <w:tc>
          <w:p>
            <w:r>
              <w:t xml:space="preserve">Proliferation</w:t>
            </w:r>
          </w:p>
        </w:tc>
        <w:tc>
          <w:p>
            <w:r>
              <w:t xml:space="preserve">3-21 days</w:t>
            </w:r>
          </w:p>
        </w:tc>
        <w:tc>
          <w:p>
            <w:r>
              <w:t xml:space="preserve">Collagen synthesis; angiogenesis; epithelialization</w:t>
            </w:r>
          </w:p>
        </w:tc>
        <w:tc>
          <w:p>
            <w:r>
              <w:t xml:space="preserve">Moist wound care; promote granulation tissue</w:t>
            </w:r>
          </w:p>
        </w:tc>
      </w:tr>
      <w:tr>
        <w:tc>
          <w:p>
            <w:r>
              <w:t xml:space="preserve">Remodeling/Maturation</w:t>
            </w:r>
          </w:p>
        </w:tc>
        <w:tc>
          <w:p>
            <w:r>
              <w:t xml:space="preserve">3 weeks to 2+ years</w:t>
            </w:r>
          </w:p>
        </w:tc>
        <w:tc>
          <w:p>
            <w:r>
              <w:t xml:space="preserve">Collagen reorganization; increased strength</w:t>
            </w:r>
          </w:p>
        </w:tc>
        <w:tc>
          <w:p>
            <w:r>
              <w:t xml:space="preserve">Scar management; protection from trauma</w:t>
            </w:r>
          </w:p>
        </w:tc>
      </w:tr>
    </w:tbl>
    <w:p>
      <w:pPr>
        <w:spacing w:after="150"/>
      </w:pPr>
    </w:p>
    <w:p>
      <w:pPr>
        <w:pStyle w:val="Heading3"/>
        <w:spacing w:after="100" w:before="100"/>
      </w:pPr>
      <w:r>
        <w:t xml:space="preserve">Signs of Normal Healing vs. Infection: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70"/>
        <w:gridCol w:w="2870"/>
      </w:tblGrid>
      <w:tr>
        <w:trPr>
          <w:trHeight w:val="400" w:hRule="auto"/>
        </w:trPr>
        <w:tc>
          <w:p>
            <w:r>
              <w:t xml:space="preserve">Finding</w:t>
            </w:r>
          </w:p>
        </w:tc>
        <w:tc>
          <w:p>
            <w:r>
              <w:t xml:space="preserve">Normal Healing</w:t>
            </w:r>
          </w:p>
        </w:tc>
        <w:tc>
          <w:p>
            <w:r>
              <w:t xml:space="preserve">Infection Red Flags</w:t>
            </w:r>
          </w:p>
        </w:tc>
      </w:tr>
      <w:tr>
        <w:tc>
          <w:p>
            <w:r>
              <w:t xml:space="preserve">Exudate</w:t>
            </w:r>
          </w:p>
        </w:tc>
        <w:tc>
          <w:p>
            <w:r>
              <w:t xml:space="preserve">Clear/serosanguinous; minimal</w:t>
            </w:r>
          </w:p>
        </w:tc>
        <w:tc>
          <w:p>
            <w:r>
              <w:t xml:space="preserve">Purulent; copious; foul-smelling</w:t>
            </w:r>
          </w:p>
        </w:tc>
      </w:tr>
      <w:tr>
        <w:tc>
          <w:p>
            <w:r>
              <w:t xml:space="preserve">Odor</w:t>
            </w:r>
          </w:p>
        </w:tc>
        <w:tc>
          <w:p>
            <w:r>
              <w:t xml:space="preserve">Minimal or none</w:t>
            </w:r>
          </w:p>
        </w:tc>
        <w:tc>
          <w:p>
            <w:r>
              <w:t xml:space="preserve">Foul (indicates anaerobes)</w:t>
            </w:r>
          </w:p>
        </w:tc>
      </w:tr>
      <w:tr>
        <w:tc>
          <w:p>
            <w:r>
              <w:t xml:space="preserve">Surrounding Skin</w:t>
            </w:r>
          </w:p>
        </w:tc>
        <w:tc>
          <w:p>
            <w:r>
              <w:t xml:space="preserve">Pink, warm (first few days expected)</w:t>
            </w:r>
          </w:p>
        </w:tc>
        <w:tc>
          <w:p>
            <w:r>
              <w:t xml:space="preserve">Red, hot, edematous, spreading borders</w:t>
            </w:r>
          </w:p>
        </w:tc>
      </w:tr>
      <w:tr>
        <w:tc>
          <w:p>
            <w:r>
              <w:t xml:space="preserve">Tissue</w:t>
            </w:r>
          </w:p>
        </w:tc>
        <w:tc>
          <w:p>
            <w:r>
              <w:t xml:space="preserve">Red granulation tissue; fills wound</w:t>
            </w:r>
          </w:p>
        </w:tc>
        <w:tc>
          <w:p>
            <w:r>
              <w:t xml:space="preserve">Friable, dark, necrotic; undermining</w:t>
            </w:r>
          </w:p>
        </w:tc>
      </w:tr>
      <w:tr>
        <w:tc>
          <w:p>
            <w:r>
              <w:t xml:space="preserve">Systemic Signs</w:t>
            </w:r>
          </w:p>
        </w:tc>
        <w:tc>
          <w:p>
            <w:r>
              <w:t xml:space="preserve">Absent</w:t>
            </w:r>
          </w:p>
        </w:tc>
        <w:tc>
          <w:p>
            <w:r>
              <w:t xml:space="preserve">Fever, chills, elevated WBC, malaise</w:t>
            </w:r>
          </w:p>
        </w:tc>
      </w:tr>
    </w:tbl>
    <w:p>
      <w:pPr>
        <w:spacing w:after="150"/>
      </w:pPr>
    </w:p>
    <w:p>
      <w:pPr>
        <w:pStyle w:val="Heading2"/>
        <w:spacing w:after="100" w:before="100"/>
      </w:pPr>
      <w:r>
        <w:t xml:space="preserve">Burn Classification &amp; Management:</w:t>
      </w:r>
    </w:p>
    <w:p>
      <w:pPr>
        <w:pStyle w:val="Heading3"/>
        <w:spacing w:after="100" w:before="100"/>
      </w:pPr>
      <w:r>
        <w:t xml:space="preserve">Burn Depth:</w:t>
      </w:r>
    </w:p>
    <w:p>
      <w:pPr>
        <w:pStyle w:val="List Bullet"/>
        <w:spacing w:after="50"/>
      </w:pPr>
      <w:r>
        <w:t xml:space="preserve">Superficial (1st degree): Erythema, no blistering, pain, blanches. Full recovery, no scarring.</w:t>
      </w:r>
    </w:p>
    <w:p>
      <w:pPr>
        <w:pStyle w:val="List Bullet"/>
        <w:spacing w:after="50"/>
      </w:pPr>
      <w:r>
        <w:t xml:space="preserve">Superficial Partial Thickness (2nd degree, superficial): Blistering, wet appearance, pink, painful, blanches. Painful sensation present (indicator of viable skin). Heals in 1-2 weeks with minimal scarring.</w:t>
      </w:r>
    </w:p>
    <w:p>
      <w:pPr>
        <w:pStyle w:val="List Bullet"/>
        <w:spacing w:after="50"/>
      </w:pPr>
      <w:r>
        <w:t xml:space="preserve">Deep Partial Thickness (2nd degree, deep): Mottled appearance (white and pink), blistering, painful to pressure but not touch. May progress to full thickness. Heals slowly (3+ weeks) with significant scarring; may need grafting.</w:t>
      </w:r>
    </w:p>
    <w:p>
      <w:pPr>
        <w:pStyle w:val="List Bullet"/>
        <w:spacing w:after="50"/>
      </w:pPr>
      <w:r>
        <w:t xml:space="preserve">Full Thickness (3rd degree): White, tan, or charred; leathery texture; painless (sensory nerves destroyed); does NOT blanch. Requires grafting; high scarring/contracture risk.</w:t>
      </w:r>
    </w:p>
    <w:p>
      <w:pPr>
        <w:spacing w:after="100"/>
      </w:pPr>
    </w:p>
    <w:p>
      <w:pPr>
        <w:pStyle w:val="Heading3"/>
        <w:spacing w:after="100" w:before="100"/>
      </w:pPr>
      <w:r>
        <w:t xml:space="preserve">Rule of 9s (TBSA - Total Body Surface Area):</w:t>
      </w:r>
    </w:p>
    <w:p>
      <w:pPr>
        <w:pStyle w:val="List Bullet"/>
        <w:spacing w:after="50"/>
      </w:pPr>
      <w:r>
        <w:t xml:space="preserve">Head: 9%</w:t>
      </w:r>
    </w:p>
    <w:p>
      <w:pPr>
        <w:pStyle w:val="List Bullet"/>
        <w:spacing w:after="50"/>
      </w:pPr>
      <w:r>
        <w:t xml:space="preserve">Each arm: 9%</w:t>
      </w:r>
    </w:p>
    <w:p>
      <w:pPr>
        <w:pStyle w:val="List Bullet"/>
        <w:spacing w:after="50"/>
      </w:pPr>
      <w:r>
        <w:t xml:space="preserve">Anterior trunk: 18%</w:t>
      </w:r>
    </w:p>
    <w:p>
      <w:pPr>
        <w:pStyle w:val="List Bullet"/>
        <w:spacing w:after="50"/>
      </w:pPr>
      <w:r>
        <w:t xml:space="preserve">Posterior trunk: 18%</w:t>
      </w:r>
    </w:p>
    <w:p>
      <w:pPr>
        <w:pStyle w:val="List Bullet"/>
        <w:spacing w:after="50"/>
      </w:pPr>
      <w:r>
        <w:t xml:space="preserve">Each leg: 18%</w:t>
      </w:r>
    </w:p>
    <w:p>
      <w:pPr>
        <w:pStyle w:val="List Bullet"/>
        <w:spacing w:after="50"/>
      </w:pPr>
      <w:r>
        <w:t xml:space="preserve">Genitalia: 1%</w:t>
      </w:r>
    </w:p>
    <w:p>
      <w:pPr>
        <w:pStyle w:val="List Bullet"/>
        <w:spacing w:after="50"/>
      </w:pPr>
      <w:r>
        <w:t xml:space="preserve">&gt;20% TBSA = Major burn requiring fluid resuscitation &amp; transfer to burn center</w:t>
      </w:r>
    </w:p>
    <w:p>
      <w:pPr>
        <w:spacing w:after="100"/>
      </w:pPr>
    </w:p>
    <w:p>
      <w:pPr>
        <w:pStyle w:val="Heading3"/>
        <w:spacing w:after="100" w:before="100"/>
      </w:pPr>
      <w:r>
        <w:t xml:space="preserve">Burn Fluid Resuscitation (Parkland Formula):</w:t>
      </w:r>
    </w:p>
    <w:p>
      <w:pPr>
        <w:pStyle w:val="List Bullet"/>
        <w:spacing w:after="50"/>
      </w:pPr>
      <w:r>
        <w:t xml:space="preserve">Formula: 4 mL × %TBSA × body weight (kg) = total fluid needed in first 24 hours</w:t>
      </w:r>
    </w:p>
    <w:p>
      <w:pPr>
        <w:pStyle w:val="List Bullet"/>
        <w:spacing w:after="50"/>
      </w:pPr>
      <w:r>
        <w:t xml:space="preserve">Give HALF in first 8 hours, HALF over next 16 hours (from time of injury, not admission)</w:t>
      </w:r>
    </w:p>
    <w:p>
      <w:pPr>
        <w:pStyle w:val="List Bullet"/>
        <w:spacing w:after="50"/>
      </w:pPr>
      <w:r>
        <w:t xml:space="preserve">Use Lactated Ringer's (crystalloid; contains potassium, mimics plasma)</w:t>
      </w:r>
    </w:p>
    <w:p>
      <w:pPr>
        <w:pStyle w:val="List Bullet"/>
        <w:spacing w:after="50"/>
      </w:pPr>
      <w:r>
        <w:t xml:space="preserve">Goal: Urine output 0.5 mL/kg/hour (1 mL/kg for electrical burns with myoglobinuria)</w:t>
      </w:r>
    </w:p>
    <w:p>
      <w:pPr>
        <w:pStyle w:val="List Bullet"/>
        <w:spacing w:after="50"/>
      </w:pPr>
      <w:r>
        <w:t xml:space="preserve">Monitor hourly: IV rate, urine output, vital signs, electrolytes, acid-base status</w:t>
      </w:r>
    </w:p>
    <w:p>
      <w:pPr>
        <w:spacing w:after="200"/>
      </w:pPr>
    </w:p>
    <w:p>
      <w:pPr>
        <w:pStyle w:val="Heading3"/>
        <w:spacing w:after="100" w:before="100"/>
      </w:pPr>
      <w:r>
        <w:t xml:space="preserve">Surgical Wound Management:</w:t>
      </w:r>
    </w:p>
    <w:p>
      <w:pPr>
        <w:pStyle w:val="List Bullet"/>
        <w:spacing w:after="50"/>
      </w:pPr>
      <w:r>
        <w:t xml:space="preserve">Acute Post-operative Phase (0-7 days): Monitor for infection, bleeding, dehiscence. Immobilize. Vital signs q4h.</w:t>
      </w:r>
    </w:p>
    <w:p>
      <w:pPr>
        <w:pStyle w:val="List Bullet"/>
        <w:spacing w:after="50"/>
      </w:pPr>
      <w:r>
        <w:t xml:space="preserve">Suture Removal: 7-10 days (face), 10-14 days (trunk/extremities). Check for signs of infection before removal.</w:t>
      </w:r>
    </w:p>
    <w:p>
      <w:pPr>
        <w:pStyle w:val="List Bullet"/>
        <w:spacing w:after="50"/>
      </w:pPr>
      <w:r>
        <w:t xml:space="preserve">Scar Management: Pressure garments, silicone gel, massage, laser therapy in remodeling phase. Scars darken then fade over months.</w:t>
      </w:r>
    </w:p>
    <w:p>
      <w:pPr>
        <w:pStyle w:val="List Bullet"/>
        <w:spacing w:after="50"/>
      </w:pPr>
      <w:r>
        <w:t xml:space="preserve">Infection Prevention: Sterile technique, clean dressings, antibiotic ointments PRN, monitor for cellulitis/abscess.</w:t>
      </w:r>
    </w:p>
    <w:p>
      <w:pPr>
        <w:spacing w:after="200"/>
      </w:pPr>
    </w:p>
    <w:p>
      <w:pPr>
        <w:pStyle w:val="Heading2"/>
        <w:spacing w:after="100" w:before="100"/>
      </w:pPr>
      <w:r>
        <w:t xml:space="preserve">WOUND &amp; BURN CLINICAL APPLICATION FLASHCARDS (12)</w:t>
      </w:r>
    </w:p>
    <w:p>
      <w:pPr>
        <w:pStyle w:val="Heading4"/>
        <w:spacing w:after="50" w:before="100"/>
      </w:pPr>
      <w:r>
        <w:t xml:space="preserve">FC1: Infection vs. Normal Inflammation (Day 2)</w:t>
      </w:r>
    </w:p>
    <w:p>
      <w:pPr>
        <w:pStyle w:val="Intense Emphasis"/>
        <w:spacing w:after="50"/>
      </w:pPr>
      <w:r>
        <w:t xml:space="preserve">QUESTION: Post-surgical patient (abdominal incision, Day 2). Incision edges red, warm, slight serosanguinous drainage. Pt afebrile, WBC normal, alert. Normal or concerning?</w:t>
      </w:r>
    </w:p>
    <w:p>
      <w:pPr>
        <w:spacing w:after="50"/>
      </w:pPr>
      <w:r>
        <w:t xml:space="preserve">ANSWER: NORMAL. Inflammation phase (0-3 days) is expected. Redness and warmth indicate vasodilation/WBC infiltration—necessary for healing. Serosanguinous drainage is normal early. Afebrile status and normal WBC reassuring. Continue routine post-op care; monitor edges for spreading borders.</w:t>
      </w:r>
    </w:p>
    <w:p>
      <w:pPr>
        <w:pStyle w:val="List Paragraph"/>
        <w:spacing w:after="100"/>
      </w:pPr>
      <w:r>
        <w:t xml:space="preserve">RATIONALE/CLINICAL PEARL: Do NOT mistake normal inflammation for infection. Infection red flags: purulent drainage, foul odor, expanding erythema beyond incision, fever, elevated WBC, dehiscence. Daily assessment and documentation of wound appearance crucial. Pt education: incision may look red/warm initially but infection has specific signs.</w:t>
      </w:r>
    </w:p>
    <w:p>
      <w:pPr>
        <w:pStyle w:val="Heading4"/>
        <w:spacing w:after="50" w:before="100"/>
      </w:pPr>
      <w:r>
        <w:t xml:space="preserve">FC2: Dehiscence Recognition &amp; Intervention</w:t>
      </w:r>
    </w:p>
    <w:p>
      <w:pPr>
        <w:pStyle w:val="Intense Emphasis"/>
        <w:spacing w:after="50"/>
      </w:pPr>
      <w:r>
        <w:t xml:space="preserve">QUESTION: Post-op Day 8, patient coughs hard. Reports feeling "something gave way" in surgical incision. Exam: wound edges separated, serosanguinous drainage visible. No fever or systemic signs. Intervention?</w:t>
      </w:r>
    </w:p>
    <w:p>
      <w:pPr>
        <w:spacing w:after="50"/>
      </w:pPr>
      <w:r>
        <w:t xml:space="preserve">ANSWER: Partial dehiscence. STOP all activities. Keep patient NPO and in bed. Place sterile dressing over wound (do NOT push edges together). Notify surgeon STAT. Patient likely needs return to OR for reclosure/reinforcement. Monitor for evisceration (protrusion of organs—life-threatening). IV fluids, antibiotics pending surgeon orders.</w:t>
      </w:r>
    </w:p>
    <w:p>
      <w:pPr>
        <w:pStyle w:val="List Paragraph"/>
        <w:spacing w:after="100"/>
      </w:pPr>
      <w:r>
        <w:t xml:space="preserve">RATIONALE/CLINICAL PEARL: Dehiscence risk factors: obesity, malnutrition, infection, smoking, coughing, excessive activity. Wound healing already fragile in proliferation phase; re-injury catastrophic. Complete dehiscence with organ protrusion = emergency—cover with sterile dressing, NPO, Trendelenburg, call surgeon/OR stat. Educate on activity restrictions.</w:t>
      </w:r>
    </w:p>
    <w:p>
      <w:pPr>
        <w:pStyle w:val="Heading4"/>
        <w:spacing w:after="50" w:before="100"/>
      </w:pPr>
      <w:r>
        <w:t xml:space="preserve">FC3: Culture Indications &amp; Timing</w:t>
      </w:r>
    </w:p>
    <w:p>
      <w:pPr>
        <w:pStyle w:val="Intense Emphasis"/>
        <w:spacing w:after="50"/>
      </w:pPr>
      <w:r>
        <w:t xml:space="preserve">QUESTION: Chronic leg ulcer showing signs of possible infection (increased drainage, color change). Wound culture needed. What is proper technique?</w:t>
      </w:r>
    </w:p>
    <w:p>
      <w:pPr>
        <w:spacing w:after="50"/>
      </w:pPr>
      <w:r>
        <w:t xml:space="preserve">ANSWER: Clean wound thoroughly with saline. Remove surface debris/biofilm. Culture DEEP tissue or purulent drainage (not surface swab). Use sterile swab or needle for collection. Send to lab with patient/wound ID. Results guide antibiotic selection. Do NOT culture prophylactically; only if infection suspected.</w:t>
      </w:r>
    </w:p>
    <w:p>
      <w:pPr>
        <w:pStyle w:val="List Paragraph"/>
        <w:spacing w:after="100"/>
      </w:pPr>
      <w:r>
        <w:t xml:space="preserve">RATIONALE/CLINICAL PEARL: Surface cultures non-representative; deep tissue culture more reliable. Timing: Culture before starting antibiotics if possible (increases organism yield). Multiple organisms common in chronic wounds. Follow-up culture if inadequate response to antibiotics after 48-72 hours. Not all colonized wounds are infected—systemic signs and/or increased drainage are indicators.</w:t>
      </w:r>
    </w:p>
    <w:p>
      <w:pPr>
        <w:pStyle w:val="Heading4"/>
        <w:spacing w:after="50" w:before="100"/>
      </w:pPr>
      <w:r>
        <w:t xml:space="preserve">FC4: Diabetic Foot Ulcer Prevention</w:t>
      </w:r>
    </w:p>
    <w:p>
      <w:pPr>
        <w:pStyle w:val="Intense Emphasis"/>
        <w:spacing w:after="50"/>
      </w:pPr>
      <w:r>
        <w:t xml:space="preserve">QUESTION: Type 2 DM patient with neuropathy. During foot exam, you notice callosus over metatarsal heads and a small area of skin breakdown. Prevention plan?</w:t>
      </w:r>
    </w:p>
    <w:p>
      <w:pPr>
        <w:spacing w:after="50"/>
      </w:pPr>
      <w:r>
        <w:t xml:space="preserve">ANSWER: Patient education: Daily foot inspection (use mirror to check soles), proper footwear (offload pressure), nail care, avoid walking barefoot, report changes immediately. Remove callouses professionally (NOT self-trimming). Monitor blood sugar (hyperglycemia impairs healing). Ensure adequate nutrition (protein, vitamin C, zinc).</w:t>
      </w:r>
    </w:p>
    <w:p>
      <w:pPr>
        <w:pStyle w:val="List Paragraph"/>
        <w:spacing w:after="100"/>
      </w:pPr>
      <w:r>
        <w:t xml:space="preserve">RATIONALE/CLINICAL PEARL: Diabetic neuropathy prevents sensory feedback—patient doesn't feel pressure/injury. Metatarsal callouses precede ulceration. Aggressive prevention can avoid amputation. Annual comprehensive foot exams. Consider orthotics, pressure-relieving shoes. Infection risk high in DM (impaired immunity)—even small ulcers can escalate to gangrene requiring amputation.</w:t>
      </w:r>
    </w:p>
    <w:p>
      <w:pPr>
        <w:pStyle w:val="Heading4"/>
        <w:spacing w:after="50" w:before="100"/>
      </w:pPr>
      <w:r>
        <w:t xml:space="preserve">FC5: Burn Depth Differentiation in Clinical Exam</w:t>
      </w:r>
    </w:p>
    <w:p>
      <w:pPr>
        <w:pStyle w:val="Intense Emphasis"/>
        <w:spacing w:after="50"/>
      </w:pPr>
      <w:r>
        <w:t xml:space="preserve">QUESTION: Three burn victims from house fire. Patient A: pink, blistered, painful to touch. Patient B: white/tan, leathery, no sensation to pinprick. Patient C: red, non-blistered, blanches. Classify each depth.</w:t>
      </w:r>
    </w:p>
    <w:p>
      <w:pPr>
        <w:spacing w:after="50"/>
      </w:pPr>
      <w:r>
        <w:t xml:space="preserve">ANSWER: Patient A: Deep partial thickness (2nd degree, deep) or superficial partial thickness (wet, pink, blistered, painful). B: Full thickness (3rd degree) - white/tan, leathery, painless. C: Superficial (1st degree). A &amp; B likely need grafting; C will heal without scarring.</w:t>
      </w:r>
    </w:p>
    <w:p>
      <w:pPr>
        <w:pStyle w:val="List Paragraph"/>
        <w:spacing w:after="100"/>
      </w:pPr>
      <w:r>
        <w:t xml:space="preserve">RATIONALE/CLINICAL PEARL: Burn depth determines prognosis and treatment. Partial thickness burns can convert to full thickness if infection occurs or inadequate fluid resuscitation. Test sensation carefully—absent sensation indicates nerve destruction (full thickness). Always reassess as edema evolves over first 24-48 hours.</w:t>
      </w:r>
    </w:p>
    <w:p>
      <w:pPr>
        <w:pStyle w:val="Heading4"/>
        <w:spacing w:after="50" w:before="100"/>
      </w:pPr>
      <w:r>
        <w:t xml:space="preserve">FC6: Parkland Formula Application &amp; Urine Output Monitoring</w:t>
      </w:r>
    </w:p>
    <w:p>
      <w:pPr>
        <w:pStyle w:val="Intense Emphasis"/>
        <w:spacing w:after="50"/>
      </w:pPr>
      <w:r>
        <w:t xml:space="preserve">QUESTION: 60 kg adult with 30% TBSA burn (partial thickness). Calculate fluid needs. What is target urine output?</w:t>
      </w:r>
    </w:p>
    <w:p>
      <w:pPr>
        <w:spacing w:after="50"/>
      </w:pPr>
      <w:r>
        <w:t xml:space="preserve">ANSWER: Parkland: 4 mL × 30 × 60 = 7200 mL total in 24h. Give 3600 mL in first 8h, 3600 mL in next 16h (from injury time). Use LR. Target: 0.5 mL/kg/hr = 30 mL/hr urine output. Monitor vital signs hourly; adjust IV rate based on urine output (main indicator of adequate perfusion). If output falls, increase fluids; if exceeds goal, decrease slightly.</w:t>
      </w:r>
    </w:p>
    <w:p>
      <w:pPr>
        <w:pStyle w:val="List Paragraph"/>
        <w:spacing w:after="100"/>
      </w:pPr>
      <w:r>
        <w:t xml:space="preserve">RATIONALE/CLINICAL PEARL: Parkland is STARTING point—individualize based on urine output (gold standard). Under-resuscitation → shock, organ failure. Over-resuscitation → pulmonary edema, compartment syndrome ("fluid creep"). Reassess q1-2 hours. Electrolyte imbalances common—monitor Na, K, Cl, HCO3. Document burn time, calculate fluids from that moment.</w:t>
      </w:r>
    </w:p>
    <w:p>
      <w:pPr>
        <w:pStyle w:val="Heading4"/>
        <w:spacing w:after="50" w:before="100"/>
      </w:pPr>
      <w:r>
        <w:t xml:space="preserve">FC7: Inhalation Injury Recognition</w:t>
      </w:r>
    </w:p>
    <w:p>
      <w:pPr>
        <w:pStyle w:val="Intense Emphasis"/>
        <w:spacing w:after="50"/>
      </w:pPr>
      <w:r>
        <w:t xml:space="preserve">QUESTION: Burn patient from enclosed fire. Singed nasal hairs, sooty sputum, hoarseness, mild stridor. SpO2 95% on RA. Concerns?</w:t>
      </w:r>
    </w:p>
    <w:p>
      <w:pPr>
        <w:spacing w:after="50"/>
      </w:pPr>
      <w:r>
        <w:t xml:space="preserve">ANSWER: Inhalation injury present. Singed nasal hairs and sooty sputum are pathognomonic. Monitor closely for progressive airway edema/obstruction. May develop stridor/difficulty breathing within hours. Consider early intubation BEFORE airway becomes impossible. Fluid resuscitation may worsen pulmonary edema—use conservative volumes.</w:t>
      </w:r>
    </w:p>
    <w:p>
      <w:pPr>
        <w:pStyle w:val="List Paragraph"/>
        <w:spacing w:after="100"/>
      </w:pPr>
      <w:r>
        <w:t xml:space="preserve">RATIONALE/CLINICAL PEARL: Inhalation injury dramatically increases mortality. Carbon monoxide (carboxyhemoglobin levels), cyanide, thermal injury to lower airway all present. SpO2 may falsely reassure (pulse ox cannot detect CO). Check carboxyhemoglobin levels. Aggressive pulmonary toilet, pain control, antibiotics to prevent inhalation pneumonia. Risk of ARDS, sepsis.</w:t>
      </w:r>
    </w:p>
    <w:p>
      <w:pPr>
        <w:pStyle w:val="Heading4"/>
        <w:spacing w:after="50" w:before="100"/>
      </w:pPr>
      <w:r>
        <w:t xml:space="preserve">FC8: Escharotomy Indication &amp; Procedure</w:t>
      </w:r>
    </w:p>
    <w:p>
      <w:pPr>
        <w:pStyle w:val="Intense Emphasis"/>
        <w:spacing w:after="50"/>
      </w:pPr>
      <w:r>
        <w:t xml:space="preserve">QUESTION: Deep full-thickness burn to anterior chest and circumferentially around leg. Patient: increasing dyspnea, inability to flex hip. Pulses diminished in burned leg. Diagnosis?</w:t>
      </w:r>
    </w:p>
    <w:p>
      <w:pPr>
        <w:spacing w:after="50"/>
      </w:pPr>
      <w:r>
        <w:t xml:space="preserve">ANSWER: Compartment syndrome from burn edema. Eschar (burned, inelastic tissue) constricts like a tourniquet. ESCHAROTOMY needed urgently: surgical incision through eschar (not into muscle) to relieve tension. Chest escharotomy if respiratory compromise. Extremity escharotomy if distal pulses lost or compartment pressure rises.</w:t>
      </w:r>
    </w:p>
    <w:p>
      <w:pPr>
        <w:pStyle w:val="List Paragraph"/>
        <w:spacing w:after="100"/>
      </w:pPr>
      <w:r>
        <w:t xml:space="preserve">RATIONALE/CLINICAL PEARL: Escharotomy is surgical procedure—notify surgeon STAT. Procedure done at bedside without anesthesia (burned tissue is insensate). Restores circulation; prevents tissue necrosis. Fasciotomy (deeper incision) if compartment pressures remain elevated after escharotomy. Monitor pedal pulses post-procedure.</w:t>
      </w:r>
    </w:p>
    <w:p>
      <w:pPr>
        <w:pStyle w:val="Heading4"/>
        <w:spacing w:after="50" w:before="100"/>
      </w:pPr>
      <w:r>
        <w:t xml:space="preserve">FC9: Burn Dressing &amp; Topical Therapy</w:t>
      </w:r>
    </w:p>
    <w:p>
      <w:pPr>
        <w:pStyle w:val="Intense Emphasis"/>
        <w:spacing w:after="50"/>
      </w:pPr>
      <w:r>
        <w:t xml:space="preserve">QUESTION: Partial-thickness burn on arm. Explain to pt the dressing change process and what to expect with silver sulfadiazine application.</w:t>
      </w:r>
    </w:p>
    <w:p>
      <w:pPr>
        <w:spacing w:after="50"/>
      </w:pPr>
      <w:r>
        <w:t xml:space="preserve">ANSWER: Dressing changes daily (or BID if heavily exudative). Soak dressing in warm water to soften, gently remove (often painful—pre-medicate). Cleanse wound with mild soap/saline. Apply silver sulfadiazine (broad-spectrum topical antibiotic) in thin layer with sterile applicator. Dress with non-adherent gauze. Pt education: may turn skin black (silver sulfadiazine reacting, normal); monitor for white/cream exudate (fungal); report foul odor.</w:t>
      </w:r>
    </w:p>
    <w:p>
      <w:pPr>
        <w:pStyle w:val="List Paragraph"/>
        <w:spacing w:after="100"/>
      </w:pPr>
      <w:r>
        <w:t xml:space="preserve">RATIONALE/CLINICAL PEARL: Silver sulfadiazine prevents infection but slows epithelialization slightly (still preferred). Alternatives: Mafenide, bacitracin, iodoform gauze. Dressing changes painful—pain management essential (opioids). Monitor wound for infection (change in color, increased drainage, fever). Partial thickness should show granulation tissue by 5-7 days; if not, consider deeper injury or infection.</w:t>
      </w:r>
    </w:p>
    <w:p>
      <w:pPr>
        <w:pStyle w:val="Heading4"/>
        <w:spacing w:after="50" w:before="100"/>
      </w:pPr>
      <w:r>
        <w:t xml:space="preserve">FC10: Graft Site Care Post-operative</w:t>
      </w:r>
    </w:p>
    <w:p>
      <w:pPr>
        <w:pStyle w:val="Intense Emphasis"/>
        <w:spacing w:after="50"/>
      </w:pPr>
      <w:r>
        <w:t xml:space="preserve">QUESTION: Post-operative Day 1 after skin graft to leg burn. Graft site covered with bulky dressing and splinted. Pt asking when bandage comes off. Care plan?</w:t>
      </w:r>
    </w:p>
    <w:p>
      <w:pPr>
        <w:spacing w:after="50"/>
      </w:pPr>
      <w:r>
        <w:t xml:space="preserve">ANSWER: Graft immobilization critical for graft "take" (engraftment/vascularization). First dressing change per surgeon protocol (often Day 3-5). Do NOT disturb graft site. Splint to prevent movement/tension on graft. Elevate extremity. Monitor for graft failure (areas of necrosis, separation from bed, fluid accumulation). If failure occurs, may need re-grafting.</w:t>
      </w:r>
    </w:p>
    <w:p>
      <w:pPr>
        <w:pStyle w:val="List Paragraph"/>
        <w:spacing w:after="100"/>
      </w:pPr>
      <w:r>
        <w:t xml:space="preserve">RATIONALE/CLINICAL PEARL: Graft survival depends on immobilization and adequate blood supply to recipient bed. Meshed grafts (expanded to cover larger areas) have interstices that must epithelialize. Care of donor site equally important (will be partial-thickness wound, painful, at risk for infection). Pain control, nutrition, infection prevention essential for successful graft outcome.</w:t>
      </w:r>
    </w:p>
    <w:p>
      <w:pPr>
        <w:pStyle w:val="Heading4"/>
        <w:spacing w:after="50" w:before="100"/>
      </w:pPr>
      <w:r>
        <w:t xml:space="preserve">FC11: Hypertrophic Scar Prevention &amp; Management</w:t>
      </w:r>
    </w:p>
    <w:p>
      <w:pPr>
        <w:pStyle w:val="Intense Emphasis"/>
        <w:spacing w:after="50"/>
      </w:pPr>
      <w:r>
        <w:t xml:space="preserve">QUESTION: Burn survivor with healing partial-thickness wound on chest. Anticipate scar formation and tissue contracture. What prevention measures?</w:t>
      </w:r>
    </w:p>
    <w:p>
      <w:pPr>
        <w:spacing w:after="50"/>
      </w:pPr>
      <w:r>
        <w:t xml:space="preserve">ANSWER: Apply pressure garments (custom-fitted compression) as soon as wound re-epithelializes (usually 2-3 weeks post-injury). Wear 23 hours/day for 12+ months (remodeling phase extends 2+ years). Use positioning/splinting to prevent contractures (keep joints extended). Silicone gel patches may reduce scar thickness. Massage scar tissue during maturation.</w:t>
      </w:r>
    </w:p>
    <w:p>
      <w:pPr>
        <w:pStyle w:val="List Paragraph"/>
        <w:spacing w:after="100"/>
      </w:pPr>
      <w:r>
        <w:t xml:space="preserve">RATIONALE/CLINICAL PEARL: Hypertrophic scars and contractures are main complications of deep burns. Pressure garments work by reducing collagen deposition and improving collagen organization. Surgical release of contractures needed if restricts ROM. Multiple treatments often needed (laser, topical agents, injections). Psychological impact of scarring significant—support groups, counseling important.</w:t>
      </w:r>
    </w:p>
    <w:p>
      <w:pPr>
        <w:pStyle w:val="Heading4"/>
        <w:spacing w:after="50" w:before="100"/>
      </w:pPr>
      <w:r>
        <w:t xml:space="preserve">FC12: Sepsis Recognition in Burned Patients</w:t>
      </w:r>
    </w:p>
    <w:p>
      <w:pPr>
        <w:pStyle w:val="Intense Emphasis"/>
        <w:spacing w:after="50"/>
      </w:pPr>
      <w:r>
        <w:t xml:space="preserve">QUESTION: Post-burn Day 5. Patient previously stable now has sudden fever (104°F), tachycardia 120, tachypnea 28, confusion. Blood culture pending. Wound appearance worsening with increased drainage. Immediate interventions?</w:t>
      </w:r>
    </w:p>
    <w:p>
      <w:pPr>
        <w:spacing w:after="50"/>
      </w:pPr>
      <w:r>
        <w:t xml:space="preserve">ANSWER: Suspect burn wound sepsis or bloodstream infection. STAT interventions: (1) IV broad-spectrum antibiotics per protocol (cover gram-negative, Pseudomonas); (2) Draw blood cultures before antibiotics; (3) Aggressive wound care—may need debridement; (4) Increase fluid resuscitation; (5) Monitor vitals q1h; (6) Consider ICU admission; (7) Lactate level.</w:t>
      </w:r>
    </w:p>
    <w:p>
      <w:pPr>
        <w:pStyle w:val="List Paragraph"/>
        <w:spacing w:after="100"/>
      </w:pPr>
      <w:r>
        <w:t xml:space="preserve">RATIONALE/CLINICAL PEARL: Burn sepsis has high mortality—early recognition critical. Burned tissue is avascular and prone to infection; bacteria thrive in eschar. Systemic inflammatory response to thermal injury can mimic sepsis; blood cultures differentiate. Prophylactic antibiotics NOT recommended (resistance); use cultures to guide therapy. Source control (excise necrotic tissue) essential.</w:t>
      </w:r>
    </w:p>
    <w:p>
      <w:pPr>
        <w:spacing w:after="400"/>
      </w:pPr>
    </w:p>
    <w:p>
      <w:pPr>
        <w:pageBreakBefore/>
      </w:pPr>
    </w:p>
    <w:p>
      <w:pPr>
        <w:pStyle w:val="Heading1"/>
        <w:spacing w:after="200" w:before="200"/>
      </w:pPr>
      <w:r>
        <w:t xml:space="preserve">SECTION 5: BIG PICTURE OVERVIEW - HIGHLY TESTABLE MATERIAL</w:t>
      </w:r>
    </w:p>
    <w:p>
      <w:pPr>
        <w:pStyle w:val="Heading2"/>
        <w:spacing w:after="100" w:before="100"/>
      </w:pPr>
      <w:r>
        <w:t xml:space="preserve">What the NCLEX Expects You to Know:</w:t>
      </w:r>
    </w:p>
    <w:p>
      <w:pPr>
        <w:pStyle w:val="Heading3"/>
        <w:spacing w:after="100" w:before="100"/>
      </w:pPr>
      <w:r>
        <w:t xml:space="preserve">1. HIV Clinical Judgment:</w:t>
      </w:r>
    </w:p>
    <w:p>
      <w:pPr>
        <w:pStyle w:val="List Bullet"/>
        <w:spacing w:after="50"/>
      </w:pPr>
      <w:r>
        <w:t xml:space="preserve">CD4 count is your GUIDE for patient risk. Know thresholds: 200 (AIDS diagnosis, PCP prophylaxis), 100 (toxo, candida), 50 (CMV, MAC, cryptococcal meningitis).</w:t>
      </w:r>
    </w:p>
    <w:p>
      <w:pPr>
        <w:pStyle w:val="List Bullet"/>
        <w:spacing w:after="50"/>
      </w:pPr>
      <w:r>
        <w:t xml:space="preserve">Recognize opportunistic infections by presentation (clinical judgment, not just recall). PCP = cough + dyspnea. Toxo = focal neurologic deficits. CMV = vision changes.</w:t>
      </w:r>
    </w:p>
    <w:p>
      <w:pPr>
        <w:pStyle w:val="List Bullet"/>
        <w:spacing w:after="50"/>
      </w:pPr>
      <w:r>
        <w:t xml:space="preserve">ART is the foundation of management—improve CD4, reduce viral load, reduce OI risk. IRIS is a complication of ART initiation with very low baseline CD4.</w:t>
      </w:r>
    </w:p>
    <w:p>
      <w:pPr>
        <w:pStyle w:val="List Bullet"/>
        <w:spacing w:after="50"/>
      </w:pPr>
      <w:r>
        <w:t xml:space="preserve">Prophylaxis thresholds are not optional. Adherence is patient education priority #1.</w:t>
      </w:r>
    </w:p>
    <w:p>
      <w:pPr>
        <w:spacing w:after="150"/>
      </w:pPr>
    </w:p>
    <w:p>
      <w:pPr>
        <w:pStyle w:val="Heading3"/>
        <w:spacing w:after="100" w:before="100"/>
      </w:pPr>
      <w:r>
        <w:t xml:space="preserve">2. Skin Lesion Recognition:</w:t>
      </w:r>
    </w:p>
    <w:p>
      <w:pPr>
        <w:pStyle w:val="List Bullet"/>
        <w:spacing w:after="50"/>
      </w:pPr>
      <w:r>
        <w:t xml:space="preserve">ABCDE for melanoma is NON-NEGOTIABLE. One feature = referral. Photograph lesions.</w:t>
      </w:r>
    </w:p>
    <w:p>
      <w:pPr>
        <w:pStyle w:val="List Bullet"/>
        <w:spacing w:after="50"/>
      </w:pPr>
      <w:r>
        <w:t xml:space="preserve">Distinguish infection types by morphology: candida (white plaques, blanch), HSV (vesicles, shallow ulcers), cellulitis (non-demarcated, spread), erysipelas (sharp borders).</w:t>
      </w:r>
    </w:p>
    <w:p>
      <w:pPr>
        <w:pStyle w:val="List Bullet"/>
        <w:spacing w:after="50"/>
      </w:pPr>
      <w:r>
        <w:t xml:space="preserve">Satellite lesions = Candida (diagnostic sign). Burrows with pruritus = Scabies. Honey-crusted = Impetigo.</w:t>
      </w:r>
    </w:p>
    <w:p>
      <w:pPr>
        <w:pStyle w:val="List Bullet"/>
        <w:spacing w:after="50"/>
      </w:pPr>
      <w:r>
        <w:t xml:space="preserve">Dark/friable/foul-smelling ulcers = infection. Pink/filled with granulation = normal healing.</w:t>
      </w:r>
    </w:p>
    <w:p>
      <w:pPr>
        <w:spacing w:after="150"/>
      </w:pPr>
    </w:p>
    <w:p>
      <w:pPr>
        <w:pStyle w:val="Heading3"/>
        <w:spacing w:after="100" w:before="100"/>
      </w:pPr>
      <w:r>
        <w:t xml:space="preserve">3. Wound Healing Phases:</w:t>
      </w:r>
    </w:p>
    <w:p>
      <w:pPr>
        <w:pStyle w:val="List Bullet"/>
        <w:spacing w:after="50"/>
      </w:pPr>
      <w:r>
        <w:t xml:space="preserve">Hemostasis (minutes) → Inflammation (0-3d) → Proliferation (3-21d) → Remodeling (3wk-2yr). Each phase has specific goals.</w:t>
      </w:r>
    </w:p>
    <w:p>
      <w:pPr>
        <w:pStyle w:val="List Bullet"/>
        <w:spacing w:after="50"/>
      </w:pPr>
      <w:r>
        <w:t xml:space="preserve">Normal inflammation (Days 0-3): Expected erythema, warmth, minimal exudate. Do NOT assume infection.</w:t>
      </w:r>
    </w:p>
    <w:p>
      <w:pPr>
        <w:pStyle w:val="List Bullet"/>
        <w:spacing w:after="50"/>
      </w:pPr>
      <w:r>
        <w:t xml:space="preserve">Proliferation (Days 3+): Granulation tissue (beefy red), epithelialization (pink perimeter). Moist wound care is KEY.</w:t>
      </w:r>
    </w:p>
    <w:p>
      <w:pPr>
        <w:pStyle w:val="List Bullet"/>
        <w:spacing w:after="50"/>
      </w:pPr>
      <w:r>
        <w:t xml:space="preserve">Infection indicators: Purulent drainage, foul odor, spreading erythema, FEVER, elevated WBC, dehiscence. Culture if concerned.</w:t>
      </w:r>
    </w:p>
    <w:p>
      <w:pPr>
        <w:spacing w:after="150"/>
      </w:pPr>
    </w:p>
    <w:p>
      <w:pPr>
        <w:pStyle w:val="Heading3"/>
        <w:spacing w:after="100" w:before="100"/>
      </w:pPr>
      <w:r>
        <w:t xml:space="preserve">4. Burn Management Essentials:</w:t>
      </w:r>
    </w:p>
    <w:p>
      <w:pPr>
        <w:pStyle w:val="List Bullet"/>
        <w:spacing w:after="50"/>
      </w:pPr>
      <w:r>
        <w:t xml:space="preserve">Burn depth determines treatment: Superficial (heals alone), Partial-thickness (needs grafting if deep), Full-thickness (grafting required).</w:t>
      </w:r>
    </w:p>
    <w:p>
      <w:pPr>
        <w:pStyle w:val="List Bullet"/>
        <w:spacing w:after="50"/>
      </w:pPr>
      <w:r>
        <w:t xml:space="preserve">Rule of 9s + %TBSA calculation → Fluid resuscitation calculation. &gt;20% TBSA = major burn, transfer to burn center.</w:t>
      </w:r>
    </w:p>
    <w:p>
      <w:pPr>
        <w:pStyle w:val="List Bullet"/>
        <w:spacing w:after="50"/>
      </w:pPr>
      <w:r>
        <w:t xml:space="preserve">Parkland Formula: 4 mL × %TBSA × weight. Give HALF in first 8h. Urine output (0.5 mL/kg/hr) is gold standard for adequacy.</w:t>
      </w:r>
    </w:p>
    <w:p>
      <w:pPr>
        <w:pStyle w:val="List Bullet"/>
        <w:spacing w:after="50"/>
      </w:pPr>
      <w:r>
        <w:t xml:space="preserve">Inhalation injury (singed nasal hairs, sooty sputum) = intubate early. Escharotomy for circumferential burns with compartment syndrome. Sepsis risk high—aggressive wound care.</w:t>
      </w:r>
    </w:p>
    <w:p>
      <w:pPr>
        <w:pStyle w:val="List Bullet"/>
        <w:spacing w:after="50"/>
      </w:pPr>
      <w:r>
        <w:t xml:space="preserve">Hypertrophic scars and contractures common—pressure garments for 12+ months, positioning, rehab.</w:t>
      </w:r>
    </w:p>
    <w:p>
      <w:pPr>
        <w:spacing w:after="200"/>
      </w:pPr>
    </w:p>
    <w:p>
      <w:pPr>
        <w:pStyle w:val="Heading2"/>
        <w:spacing w:after="100" w:before="100"/>
      </w:pPr>
      <w:r>
        <w:t xml:space="preserve">FINAL SUMMARY: The NCLEX expects you to think clinically about PRIORITY and TIMELINE.</w:t>
      </w:r>
    </w:p>
    <w:p>
      <w:pPr>
        <w:pStyle w:val="List Bullet"/>
        <w:spacing w:after="50"/>
      </w:pPr>
      <w:r>
        <w:t xml:space="preserve">Know your CD4 thresholds for HIV complications—they are your patient's lifelines</w:t>
      </w:r>
    </w:p>
    <w:p>
      <w:pPr>
        <w:pStyle w:val="List Bullet"/>
        <w:spacing w:after="50"/>
      </w:pPr>
      <w:r>
        <w:t xml:space="preserve">Use ABCDE religiously for skin lesions; photographic documentation is evidence</w:t>
      </w:r>
    </w:p>
    <w:p>
      <w:pPr>
        <w:pStyle w:val="List Bullet"/>
        <w:spacing w:after="50"/>
      </w:pPr>
      <w:r>
        <w:t xml:space="preserve">Calculate %TBSA and fluid resuscitation; urine output is your guide</w:t>
      </w:r>
    </w:p>
    <w:p>
      <w:pPr>
        <w:pStyle w:val="List Bullet"/>
        <w:spacing w:after="50"/>
      </w:pPr>
      <w:r>
        <w:t xml:space="preserve">Distinguish normal healing timeline from infection timeline</w:t>
      </w:r>
    </w:p>
    <w:p>
      <w:pPr>
        <w:pStyle w:val="List Bullet"/>
        <w:spacing w:after="50"/>
      </w:pPr>
      <w:r>
        <w:t xml:space="preserve">Never sacrifice ART adherence or prophylaxis thresholds for short-term comfort</w:t>
      </w:r>
    </w:p>
    <w:p>
      <w:pPr>
        <w:pStyle w:val="List Bullet"/>
        <w:spacing w:after="50"/>
      </w:pPr>
      <w:r>
        <w:t xml:space="preserve">When in doubt about wound status, culture and cover—better safe than sorry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2026-09-20T22:54:02.033Z</dcterms:created>
  <dcterms:modified xsi:type="dcterms:W3CDTF">2026-09-20T22:54:02.045Z</dcterms:modified>
</cp:coreProperties>
</file>

<file path=docProps/custom.xml><?xml version="1.0" encoding="utf-8"?>
<Properties xmlns="http://schemas.openxmlformats.org/officeDocument/2006/custom-properties" xmlns:vt="http://schemas.openxmlformats.org/officeDocument/2006/docPropsVTypes"/>
</file>