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35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Нурсултан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моделью конкуренции двух фирм для двух случаев (без учета и с учетом социально-психологического фактора) и их построение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1 (без учета социально-психологического фактора).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2 (с учетом социально-психологического фактора).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Система уравнений для первого случая (без учета социально-психологического фактора):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t xml:space="preserve">Система уравнений для второго случая (с учетом социально-психологического фактора) принимает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0.00053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Начальные условия для обеих задач принимают следующий вид: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5.4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r</m:t>
          </m:r>
          <m:r>
            <m:rPr>
              <m:sty m:val="p"/>
            </m:rPr>
            <m:t>=</m:t>
          </m:r>
          <m:r>
            <m:t>35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30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18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13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7.7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8.3</m:t>
          </m:r>
        </m:oMath>
      </m:oMathPara>
    </w:p>
    <w:p>
      <w:pPr>
        <w:pStyle w:val="FirstParagraph"/>
      </w:pPr>
      <w:r>
        <w:t xml:space="preserve">N - число потребителей производимого продукта</w:t>
      </w:r>
      <w:r>
        <w:br/>
      </w: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  <w:r>
        <w:br/>
      </w:r>
      <w:r>
        <w:t xml:space="preserve">p</w:t>
      </w:r>
      <w:r>
        <w:rPr>
          <w:vertAlign w:val="subscript"/>
        </w:rPr>
        <w:t xml:space="preserve">cr</w:t>
      </w:r>
      <w:r>
        <w:t xml:space="preserve"> </w:t>
      </w:r>
      <w:r>
        <w:t xml:space="preserve">- критическая стоимость продукта</w:t>
      </w:r>
      <w:r>
        <w:br/>
      </w:r>
      <w:r>
        <w:t xml:space="preserve">p - себестоимость продукта</w:t>
      </w:r>
      <w:r>
        <w:br/>
      </w:r>
      <w:r>
        <w:t xml:space="preserve">q - максимальная потребность одного человека в продукте в единицу времени</w:t>
      </w:r>
      <w:r>
        <w:br/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время.</w:t>
      </w:r>
    </w:p>
    <w:p>
      <w:pPr>
        <w:pStyle w:val="BodyText"/>
      </w:pPr>
      <w:r>
        <w:t xml:space="preserve">Тогда с учетом вышеприведенных условий код программы будет выглядить следующим образом (рис 1)</w:t>
      </w:r>
    </w:p>
    <w:p>
      <w:pPr>
        <w:pStyle w:val="CaptionedFigure"/>
      </w:pPr>
      <w:bookmarkStart w:id="23" w:name="fig:001"/>
      <w:r>
        <w:drawing>
          <wp:inline>
            <wp:extent cx="5334000" cy="2855912"/>
            <wp:effectExtent b="0" l="0" r="0" t="0"/>
            <wp:docPr descr="Figure 1: 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NursultanGazdhiev/blob/master/lab8/image/%D0%BA%D0%BE%D0%B4%20%D0%BF%D1%80%D0%BE%D0%B3%D1%80%D0%B0%D0%BC%D0%BC%D1%8B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Код программы для решения задачи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графики изменения оборотных средств фирмы 1 и фирмы 2 для случая 1 (без учета социально-психологического фактора) (рис 2)</w:t>
      </w:r>
    </w:p>
    <w:p>
      <w:pPr>
        <w:pStyle w:val="FirstParagraph"/>
      </w:pPr>
      <w:r>
        <w:t xml:space="preserve">Система уравнений для этого случая выглядит следующим образом: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aptionedFigure"/>
      </w:pPr>
      <w:bookmarkStart w:id="25" w:name="fig:002"/>
      <w:r>
        <w:drawing>
          <wp:inline>
            <wp:extent cx="5334000" cy="2864246"/>
            <wp:effectExtent b="0" l="0" r="0" t="0"/>
            <wp:docPr descr="Figure 2: График распространения рекла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NursultanGazdhiev/blob/master/lab8/image/1%20%D0%B3%D1%80%D0%B0%D1%84%D0%B8%D0%BA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распространения рекламы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графики изменения оборотных средств фирмы 1 и фирмы 2 для случая 2 (с учетом социально-психологического фактора) (рис 3)</w:t>
      </w:r>
    </w:p>
    <w:p>
      <w:pPr>
        <w:pStyle w:val="FirstParagraph"/>
      </w:pPr>
      <w:r>
        <w:t xml:space="preserve">Система уравнений для этого случая выглядит следующим образом: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0.00053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aptionedFigure"/>
      </w:pPr>
      <w:bookmarkStart w:id="27" w:name="fig:003"/>
      <w:r>
        <w:drawing>
          <wp:inline>
            <wp:extent cx="5334000" cy="2861468"/>
            <wp:effectExtent b="0" l="0" r="0" t="0"/>
            <wp:docPr descr="Figure 3: График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NursultanGazdhiev/blob/master/lab8/image/2%20%D0%B3%D1%80%D0%B0%D1%84%D0%B8%D0%BA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График распространения рекламы для второго случая</w:t>
      </w:r>
    </w:p>
    <w:bookmarkEnd w:id="28"/>
    <w:bookmarkStart w:id="29" w:name="код-программы"/>
    <w:p>
      <w:pPr>
        <w:pStyle w:val="Heading1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nurslan8</w:t>
      </w:r>
      <w:r>
        <w:br/>
      </w:r>
      <w:r>
        <w:rPr>
          <w:rStyle w:val="VerbatimChar"/>
        </w:rPr>
        <w:t xml:space="preserve">parameter Real p_cr= 35;//критическая стоимость продукта</w:t>
      </w:r>
      <w:r>
        <w:br/>
      </w:r>
      <w:r>
        <w:rPr>
          <w:rStyle w:val="VerbatimChar"/>
        </w:rPr>
        <w:t xml:space="preserve">parameter Real tau1 = 18 ; //длительность производственного цикла фирмы 1</w:t>
      </w:r>
      <w:r>
        <w:br/>
      </w:r>
      <w:r>
        <w:rPr>
          <w:rStyle w:val="VerbatimChar"/>
        </w:rPr>
        <w:t xml:space="preserve">parameter Real p1 = 7.7; //себестоимость продукта у фирмы 1</w:t>
      </w:r>
      <w:r>
        <w:br/>
      </w:r>
      <w:r>
        <w:rPr>
          <w:rStyle w:val="VerbatimChar"/>
        </w:rPr>
        <w:t xml:space="preserve">parameter Real tau2 = 13; //длительность производственного цикла фирмы 2</w:t>
      </w:r>
      <w:r>
        <w:br/>
      </w:r>
      <w:r>
        <w:rPr>
          <w:rStyle w:val="VerbatimChar"/>
        </w:rPr>
        <w:t xml:space="preserve">parameter Real p2 = 8.9; //себестоимость продукта у фирмы 2</w:t>
      </w:r>
      <w:r>
        <w:br/>
      </w:r>
      <w:r>
        <w:rPr>
          <w:rStyle w:val="VerbatimChar"/>
        </w:rPr>
        <w:t xml:space="preserve">parameter Real N = 30; //число потребителей производимого продукта</w:t>
      </w:r>
      <w:r>
        <w:br/>
      </w:r>
      <w:r>
        <w:rPr>
          <w:rStyle w:val="VerbatimChar"/>
        </w:rPr>
        <w:t xml:space="preserve">parameter Real q = 1; //максимальная потребность одного человека в продукте в единицу времен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p_cr/(tau1*tau1*tau2*tau2*p1*p1*p2*p2*N*q);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parameter Real M0_1=5.4;</w:t>
      </w:r>
      <w:r>
        <w:br/>
      </w:r>
      <w:r>
        <w:rPr>
          <w:rStyle w:val="VerbatimChar"/>
        </w:rPr>
        <w:t xml:space="preserve">parameter Real M0_2=4.1;</w:t>
      </w:r>
      <w:r>
        <w:br/>
      </w:r>
      <w:r>
        <w:rPr>
          <w:rStyle w:val="VerbatimChar"/>
        </w:rPr>
        <w:t xml:space="preserve">Real M1(start=M0_1);</w:t>
      </w:r>
      <w:r>
        <w:br/>
      </w:r>
      <w:r>
        <w:rPr>
          <w:rStyle w:val="VerbatimChar"/>
        </w:rPr>
        <w:t xml:space="preserve">Real M2(start=M0_2);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//для первого случая </w:t>
      </w:r>
      <w:r>
        <w:br/>
      </w:r>
      <w:r>
        <w:rPr>
          <w:rStyle w:val="VerbatimChar"/>
        </w:rPr>
        <w:t xml:space="preserve">//der (M1)=M1 - (b/c1)*M1*M2 - (a1/c1)*M1*M1;</w:t>
      </w:r>
      <w:r>
        <w:br/>
      </w:r>
      <w:r>
        <w:rPr>
          <w:rStyle w:val="VerbatimChar"/>
        </w:rPr>
        <w:t xml:space="preserve">//der (M2) = (c2/c1)*M2 - (b/c1)*M1*M2 - (a2/c1)*M2*M2;</w:t>
      </w:r>
      <w:r>
        <w:br/>
      </w:r>
      <w:r>
        <w:br/>
      </w:r>
      <w:r>
        <w:rPr>
          <w:rStyle w:val="VerbatimChar"/>
        </w:rPr>
        <w:t xml:space="preserve">//для второго случая</w:t>
      </w:r>
      <w:r>
        <w:br/>
      </w:r>
      <w:r>
        <w:rPr>
          <w:rStyle w:val="VerbatimChar"/>
        </w:rPr>
        <w:t xml:space="preserve">der (M1)=M1 - (b/c1)*M1*M2 - (a1/c1)*M1*M1;</w:t>
      </w:r>
      <w:r>
        <w:br/>
      </w:r>
      <w:r>
        <w:rPr>
          <w:rStyle w:val="VerbatimChar"/>
        </w:rPr>
        <w:t xml:space="preserve">der (M2) = (c2/c1)*M2 - (b/c1+0.00053)*M1*M2 - (a2/c1)*M2*M2;</w:t>
      </w:r>
      <w:r>
        <w:br/>
      </w:r>
      <w:r>
        <w:br/>
      </w:r>
      <w:r>
        <w:br/>
      </w:r>
      <w:r>
        <w:rPr>
          <w:rStyle w:val="VerbatimChar"/>
        </w:rPr>
        <w:t xml:space="preserve">end nurslan8;</w:t>
      </w:r>
    </w:p>
    <w:p>
      <w:pPr>
        <w:pStyle w:val="FirstParagraph"/>
      </w:pPr>
      <w:r>
        <w:t xml:space="preserve">Ниже приведен скриншот кода программы, реализованный на языке программирования Modelica (рис. 3)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моделью конкуренции двух фирм для двух случаев (без учета и с учетом социально-психологического фактора). Построил соответствующие графики.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Гаджиев Нурсултан НПИ-01-18</dc:creator>
  <dc:language>ru-RU</dc:language>
  <cp:keywords/>
  <dcterms:created xsi:type="dcterms:W3CDTF">2021-04-03T10:03:30Z</dcterms:created>
  <dcterms:modified xsi:type="dcterms:W3CDTF">2021-04-03T10:03:30Z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Модель конкуренции двух фирм - вариант 35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</Properties>
</file>