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drawing>
          <wp:anchor behindDoc="0" distT="0" distB="0" distL="0" distR="0" simplePos="0" locked="0" layoutInCell="0" allowOverlap="1" relativeHeight="2">
            <wp:simplePos x="0" y="0"/>
            <wp:positionH relativeFrom="column">
              <wp:posOffset>945515</wp:posOffset>
            </wp:positionH>
            <wp:positionV relativeFrom="paragraph">
              <wp:posOffset>305435</wp:posOffset>
            </wp:positionV>
            <wp:extent cx="4536440" cy="177165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5932" t="13472" r="6016" b="8386"/>
                    <a:stretch>
                      <a:fillRect/>
                    </a:stretch>
                  </pic:blipFill>
                  <pic:spPr bwMode="auto">
                    <a:xfrm>
                      <a:off x="0" y="0"/>
                      <a:ext cx="4536440" cy="177165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Biotecnika Info Labs</w:t>
      </w:r>
    </w:p>
    <w:p>
      <w:pPr>
        <w:pStyle w:val="Normal"/>
        <w:bidi w:val="0"/>
        <w:jc w:val="start"/>
        <w:rPr/>
      </w:pPr>
      <w:r>
        <w:rPr/>
        <w:t>Department of Bioinformatics</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Project Title: In Silico Identification of Neoantigens for Personalised Immunotherapy in Glioblastoma</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By</w:t>
      </w:r>
    </w:p>
    <w:p>
      <w:pPr>
        <w:pStyle w:val="Normal"/>
        <w:bidi w:val="0"/>
        <w:jc w:val="start"/>
        <w:rPr/>
      </w:pPr>
      <w:r>
        <w:rPr/>
        <w:t>Nurulamin Shaikh,</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A Report Submitted of the Summer Internship Program in Bioinformatics, organised by Biotecnika</w:t>
      </w:r>
    </w:p>
    <w:p>
      <w:pPr>
        <w:pStyle w:val="Normal"/>
        <w:bidi w:val="0"/>
        <w:jc w:val="start"/>
        <w:rPr/>
      </w:pPr>
      <w:r>
        <w:rPr/>
      </w:r>
    </w:p>
    <w:p>
      <w:pPr>
        <w:pStyle w:val="Normal"/>
        <w:bidi w:val="0"/>
        <w:jc w:val="start"/>
        <w:rPr/>
      </w:pPr>
      <w:r>
        <w:rPr/>
      </w:r>
    </w:p>
    <w:p>
      <w:pPr>
        <w:pStyle w:val="Normal"/>
        <w:bidi w:val="0"/>
        <w:jc w:val="start"/>
        <w:rPr/>
      </w:pPr>
      <w:r>
        <w:rPr/>
        <w:t>Supervised by</w:t>
      </w:r>
    </w:p>
    <w:p>
      <w:pPr>
        <w:pStyle w:val="Normal"/>
        <w:bidi w:val="0"/>
        <w:jc w:val="start"/>
        <w:rPr/>
      </w:pPr>
      <w:r>
        <w:rPr/>
        <w:t>Dr. Elamathi Natarajan</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Feb 2026</w:t>
      </w:r>
    </w:p>
    <w:p>
      <w:pPr>
        <w:pStyle w:val="Normal"/>
        <w:bidi w:val="0"/>
        <w:jc w:val="start"/>
        <w:rPr/>
      </w:pPr>
      <w:r>
        <w:rPr/>
      </w:r>
    </w:p>
    <w:p>
      <w:pPr>
        <w:pStyle w:val="Normal"/>
        <w:bidi w:val="0"/>
        <w:jc w:val="start"/>
        <w:rPr/>
      </w:pPr>
      <w:r>
        <w:rPr/>
        <w:t>ABSTRACT</w:t>
      </w:r>
    </w:p>
    <w:p>
      <w:pPr>
        <w:pStyle w:val="Normal"/>
        <w:bidi w:val="0"/>
        <w:jc w:val="start"/>
        <w:rPr/>
      </w:pPr>
      <w:r>
        <w:rPr/>
      </w:r>
    </w:p>
    <w:p>
      <w:pPr>
        <w:pStyle w:val="Normal"/>
        <w:bidi w:val="0"/>
        <w:jc w:val="start"/>
        <w:rPr/>
      </w:pPr>
      <w:r>
        <w:rPr/>
        <w:t>Background:</w:t>
      </w:r>
    </w:p>
    <w:p>
      <w:pPr>
        <w:pStyle w:val="Normal"/>
        <w:bidi w:val="0"/>
        <w:jc w:val="start"/>
        <w:rPr/>
      </w:pPr>
      <w:r>
        <w:rPr/>
      </w:r>
    </w:p>
    <w:p>
      <w:pPr>
        <w:pStyle w:val="Normal"/>
        <w:bidi w:val="0"/>
        <w:jc w:val="start"/>
        <w:rPr/>
      </w:pPr>
      <w:r>
        <w:rPr/>
        <w:t>Glioblastoma Multiforme (GBM) is an aggressive primary brain tumor associated with a poor clinical prognosis. Immunotherapy, that is peptide vaccines based on tumor-specific neoantigens, offers a promising avenue for personalized therapy. Neoantigens are new peptides that formed in somatic mutations, which can induce strong T-cell immune response when presented by Major Histocompatibility Complex (MHC). This study applies an in silico immunoinformatics approach to discriminate and rank high-affinity neoantigen candidates from GBM RNA-seq data.</w:t>
      </w:r>
    </w:p>
    <w:p>
      <w:pPr>
        <w:pStyle w:val="Normal"/>
        <w:bidi w:val="0"/>
        <w:jc w:val="start"/>
        <w:rPr/>
      </w:pPr>
      <w:r>
        <w:rPr/>
      </w:r>
    </w:p>
    <w:p>
      <w:pPr>
        <w:pStyle w:val="Normal"/>
        <w:bidi w:val="0"/>
        <w:jc w:val="start"/>
        <w:rPr/>
      </w:pPr>
      <w:r>
        <w:rPr/>
        <w:t>Methodology:</w:t>
      </w:r>
    </w:p>
    <w:p>
      <w:pPr>
        <w:pStyle w:val="Normal"/>
        <w:bidi w:val="0"/>
        <w:jc w:val="start"/>
        <w:rPr/>
      </w:pPr>
      <w:r>
        <w:rPr/>
        <w:t>The raw RNA-sequencing data for the samples (SRR30677899) and (SRR30677902) were obtained from the SRA. The pipeline performed a quality control course with FastQC and Trim Galore followed by genomic alignment to GRCh38 (Chromosome 1) using STAR Aligner. In preparing for variant calling, we repaired the reads using BBMap to fix paired-end mismatches. The somatic mutations were identified using GATK (SplitNCigarReads and HaplotypeCaller) Best Practices. Annotation was done with Ensembl VEP. HLA typing was done the use of OptiType. Eventually, we successfully developed a customized Python pipeline to extract missense variants, generate 9-mer peptides, and predict MHC Class I binding affinities using MHCflurry.</w:t>
      </w:r>
    </w:p>
    <w:p>
      <w:pPr>
        <w:pStyle w:val="Normal"/>
        <w:bidi w:val="0"/>
        <w:jc w:val="start"/>
        <w:rPr/>
      </w:pPr>
      <w:r>
        <w:rPr/>
      </w:r>
    </w:p>
    <w:p>
      <w:pPr>
        <w:pStyle w:val="Normal"/>
        <w:bidi w:val="0"/>
        <w:jc w:val="start"/>
        <w:rPr/>
      </w:pPr>
      <w:r>
        <w:rPr/>
      </w:r>
    </w:p>
    <w:p>
      <w:pPr>
        <w:pStyle w:val="Normal"/>
        <w:bidi w:val="0"/>
        <w:jc w:val="start"/>
        <w:rPr/>
      </w:pPr>
      <w:r>
        <w:rPr/>
        <w:t>Results:</w:t>
      </w:r>
    </w:p>
    <w:p>
      <w:pPr>
        <w:pStyle w:val="Normal"/>
        <w:bidi w:val="0"/>
        <w:jc w:val="start"/>
        <w:rPr/>
      </w:pPr>
      <w:r>
        <w:rPr/>
        <w:t>HLA typing identified that SRR30677899 has HLA-A*02:06 while SRR30677902 has HLA-A*02:01. The pipeline successfully identified numerous strong binders displaying affinity scores of less than 50 nM. The top candidate for SRR30677899 was sourced from ENSG00000117114 (Mutation V324A) with an affinity of 10.72 nM. The candidate with the highest rank for SRR30677902 came from ENSG00000143702 (Mutation D583H) and has the affinity of 10.65 nM. The mutation I292V in ENSG00000067208 was found to be a high-affinity target in both samples.</w:t>
      </w:r>
    </w:p>
    <w:p>
      <w:pPr>
        <w:pStyle w:val="Normal"/>
        <w:bidi w:val="0"/>
        <w:jc w:val="start"/>
        <w:rPr/>
      </w:pPr>
      <w:r>
        <w:rPr/>
      </w:r>
    </w:p>
    <w:p>
      <w:pPr>
        <w:pStyle w:val="Normal"/>
        <w:bidi w:val="0"/>
        <w:jc w:val="start"/>
        <w:rPr/>
      </w:pPr>
      <w:r>
        <w:rPr/>
      </w:r>
    </w:p>
    <w:p>
      <w:pPr>
        <w:pStyle w:val="Normal"/>
        <w:bidi w:val="0"/>
        <w:jc w:val="start"/>
        <w:rPr/>
      </w:pPr>
      <w:r>
        <w:rPr/>
        <w:t>Conclusion:</w:t>
      </w:r>
    </w:p>
    <w:p>
      <w:pPr>
        <w:pStyle w:val="Normal"/>
        <w:bidi w:val="0"/>
        <w:jc w:val="start"/>
        <w:rPr/>
      </w:pPr>
      <w:r>
        <w:rPr/>
        <w:t>This study shows the effectiveness of a comprehensive bioinformatics workflow to identify personalized vaccine targets for Glioblastoma. The peptides identified are predicted to strongly bind to the patient-specific HLA alleles and may thus function as immunogenic neoantigens for vaccine development.</w:t>
      </w:r>
    </w:p>
    <w:p>
      <w:pPr>
        <w:pStyle w:val="Normal"/>
        <w:bidi w:val="0"/>
        <w:jc w:val="start"/>
        <w:rPr/>
      </w:pPr>
      <w:r>
        <w:rPr/>
      </w:r>
    </w:p>
    <w:p>
      <w:pPr>
        <w:pStyle w:val="Normal"/>
        <w:bidi w:val="0"/>
        <w:jc w:val="start"/>
        <w:rPr/>
      </w:pPr>
      <w:r>
        <w:rPr/>
      </w:r>
    </w:p>
    <w:p>
      <w:pPr>
        <w:pStyle w:val="Heading3"/>
        <w:bidi w:val="0"/>
        <w:jc w:val="start"/>
        <w:rPr/>
      </w:pPr>
      <w:r>
        <w:rPr>
          <w:b/>
        </w:rPr>
        <w:t>KEYWORDS</w:t>
      </w:r>
    </w:p>
    <w:p>
      <w:pPr>
        <w:pStyle w:val="BodyText"/>
        <w:bidi w:val="0"/>
        <w:jc w:val="start"/>
        <w:rPr/>
      </w:pPr>
      <w:r>
        <w:rPr>
          <w:b/>
        </w:rPr>
        <w:t>Glioblastoma Multiforme (GBM)</w:t>
      </w:r>
      <w:r>
        <w:rPr/>
        <w:t xml:space="preserve">, </w:t>
      </w:r>
      <w:r>
        <w:rPr>
          <w:b/>
        </w:rPr>
        <w:t>Neoantigens</w:t>
      </w:r>
      <w:r>
        <w:rPr/>
        <w:t xml:space="preserve">, </w:t>
      </w:r>
      <w:r>
        <w:rPr>
          <w:b/>
        </w:rPr>
        <w:t>Immunoinformatics</w:t>
      </w:r>
      <w:r>
        <w:rPr/>
        <w:t xml:space="preserve">, </w:t>
      </w:r>
      <w:r>
        <w:rPr>
          <w:b/>
        </w:rPr>
        <w:t>Personalized Immunotherapy</w:t>
      </w:r>
      <w:r>
        <w:rPr/>
        <w:t xml:space="preserve">, </w:t>
      </w:r>
      <w:r>
        <w:rPr>
          <w:b/>
        </w:rPr>
        <w:t>HLA Typing (OptiType)</w:t>
      </w:r>
      <w:r>
        <w:rPr/>
        <w:t xml:space="preserve">, </w:t>
      </w:r>
      <w:r>
        <w:rPr>
          <w:b/>
        </w:rPr>
        <w:t>Peptide-MHC Binding Affinity</w:t>
      </w:r>
      <w:r>
        <w:rPr/>
        <w:t xml:space="preserve">, </w:t>
      </w:r>
      <w:r>
        <w:rPr>
          <w:b/>
        </w:rPr>
        <w:t>MHCflurry</w:t>
      </w:r>
      <w:r>
        <w:rPr/>
        <w:t xml:space="preserve">, </w:t>
      </w:r>
      <w:r>
        <w:rPr>
          <w:b/>
        </w:rPr>
        <w:t>Somatic Mutation</w:t>
      </w:r>
      <w:r>
        <w:rPr/>
        <w:t xml:space="preserve">, </w:t>
      </w:r>
      <w:r>
        <w:rPr>
          <w:b/>
        </w:rPr>
        <w:t>Next-Generation Sequencing (NGS)</w:t>
      </w:r>
      <w:r>
        <w:rPr/>
        <w:t xml:space="preserve">, </w:t>
      </w:r>
      <w:r>
        <w:rPr>
          <w:b/>
        </w:rPr>
        <w:t>Vaccine Design</w:t>
      </w:r>
      <w:r>
        <w:rPr/>
        <w:t>.</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Heading3"/>
        <w:bidi w:val="0"/>
        <w:jc w:val="start"/>
        <w:rPr>
          <w:b/>
        </w:rPr>
      </w:pPr>
      <w:r>
        <w:rPr>
          <w:b/>
        </w:rPr>
        <w:t>INTRODUCTION</w:t>
      </w:r>
    </w:p>
    <w:p>
      <w:pPr>
        <w:pStyle w:val="BodyText"/>
        <w:bidi w:val="0"/>
        <w:jc w:val="start"/>
        <w:rPr/>
      </w:pPr>
      <w:r>
        <w:rPr/>
        <w:t xml:space="preserve">GBM has highly complex molecular make-up and strong immunosuppression, thus almost all available therapies are ineffective. Latest developments in cancer immunotherapy demonstrated to examine neoantigens which are tumor-specific non-synonymous somatic mutations.  Neoantigens are tumor specific and therefore not present on normal tissue cells like tumor-associated antigens (TAAs). Such a property favours lower chances of autoimmunity. </w:t>
      </w:r>
    </w:p>
    <w:p>
      <w:pPr>
        <w:pStyle w:val="BodyText"/>
        <w:bidi w:val="0"/>
        <w:jc w:val="start"/>
        <w:rPr/>
      </w:pPr>
      <w:r>
        <w:rPr/>
        <w:t>Cytotoxic T-Lymphocytes recognize neoantigens based on the patient’s HLA class I molecule binding instead of binding affinity.  Consequently, the identification of somatic mutations and prediction of peptide-MHC binding must be very precise for the personalized vaccine design.</w:t>
      </w:r>
    </w:p>
    <w:p>
      <w:pPr>
        <w:pStyle w:val="BodyText"/>
        <w:bidi w:val="0"/>
        <w:jc w:val="start"/>
        <w:rPr/>
      </w:pPr>
      <w:r>
        <w:rPr/>
        <w:t>The main objective of the project was to develop a robust “Gene-to-Vaccine” computational pipeline. This report provides details.</w:t>
      </w:r>
    </w:p>
    <w:p>
      <w:pPr>
        <w:pStyle w:val="BodyText"/>
        <w:bidi w:val="0"/>
        <w:jc w:val="start"/>
        <w:rPr/>
      </w:pPr>
      <w:r>
        <w:rPr/>
        <w:t>1. Retrieval and quality control analysis of GBM RNA-seq datasets (SRR30677899 and SRR30677902).</w:t>
      </w:r>
    </w:p>
    <w:p>
      <w:pPr>
        <w:pStyle w:val="BodyText"/>
        <w:bidi w:val="0"/>
        <w:jc w:val="start"/>
        <w:rPr/>
      </w:pPr>
      <w:r>
        <w:rPr/>
        <w:t>2. Recognition of somatic single nucleotide variants (SNVs) using the Genome Analysis Toolkit (GATK)</w:t>
      </w:r>
    </w:p>
    <w:p>
      <w:pPr>
        <w:pStyle w:val="BodyText"/>
        <w:bidi w:val="0"/>
        <w:jc w:val="start"/>
        <w:rPr/>
      </w:pPr>
      <w:r>
        <w:rPr/>
        <w:t>3. Resolution of patients' HLA alleles for personalized predictions.</w:t>
      </w:r>
    </w:p>
    <w:p>
      <w:pPr>
        <w:pStyle w:val="BodyText"/>
        <w:bidi w:val="0"/>
        <w:jc w:val="start"/>
        <w:rPr/>
      </w:pPr>
      <w:r>
        <w:rPr/>
        <w:t>4. Creating custom Python workflow to filter variants, create peptides and rank candidates according to binding affinity using MHCflurry.</w:t>
      </w:r>
    </w:p>
    <w:p>
      <w:pPr>
        <w:pStyle w:val="Heading3"/>
        <w:bidi w:val="0"/>
        <w:jc w:val="start"/>
        <w:rPr>
          <w:b/>
        </w:rPr>
      </w:pPr>
      <w:r>
        <w:rPr>
          <w:b/>
        </w:rPr>
      </w:r>
    </w:p>
    <w:p>
      <w:pPr>
        <w:pStyle w:val="Heading3"/>
        <w:bidi w:val="0"/>
        <w:jc w:val="start"/>
        <w:rPr>
          <w:b/>
        </w:rPr>
      </w:pPr>
      <w:r>
        <w:rPr>
          <w:b/>
        </w:rPr>
        <w:t>METHODOLOGY</w:t>
      </w:r>
    </w:p>
    <w:p>
      <w:pPr>
        <w:pStyle w:val="BodyText"/>
        <w:bidi w:val="0"/>
        <w:jc w:val="start"/>
        <w:rPr/>
      </w:pPr>
      <w:r>
        <w:rPr/>
        <w:t>Both standard bioinformatics command line tools and custom Python scripts were used to execute the data processing workflow.</w:t>
      </w:r>
    </w:p>
    <w:p>
      <w:pPr>
        <w:pStyle w:val="BodyText"/>
        <w:bidi w:val="0"/>
        <w:jc w:val="start"/>
        <w:rPr/>
      </w:pPr>
      <w:r>
        <w:rPr/>
        <w:t>1. Fresh RNA-seq paired-end reads were downloaded by method of the SRA Toolkit (prefetch and fastq-dump).</w:t>
      </w:r>
    </w:p>
    <w:p>
      <w:pPr>
        <w:pStyle w:val="BodyText"/>
        <w:bidi w:val="0"/>
        <w:jc w:val="start"/>
        <w:rPr/>
      </w:pPr>
      <w:r>
        <w:rPr/>
        <w:t xml:space="preserve">• </w:t>
      </w:r>
      <w:r>
        <w:rPr/>
        <w:t>I used FastQC to assess the quality of the raw reads for low-quality bases and adapter contamination.</w:t>
      </w:r>
    </w:p>
    <w:p>
      <w:pPr>
        <w:pStyle w:val="BodyText"/>
        <w:bidi w:val="0"/>
        <w:jc w:val="start"/>
        <w:rPr/>
      </w:pPr>
      <w:r>
        <w:rPr/>
        <w:t xml:space="preserve">• </w:t>
      </w:r>
      <w:r>
        <w:rPr/>
        <w:t>We employed Trim Galore to trim away adapter sequences and remove low-quality bases (Phred lesser than 20). This step ensured that low confidence reads were excluded from analysis.</w:t>
      </w:r>
    </w:p>
    <w:p>
      <w:pPr>
        <w:pStyle w:val="BodyText"/>
        <w:bidi w:val="0"/>
        <w:jc w:val="start"/>
        <w:rPr/>
      </w:pPr>
      <w:r>
        <w:rPr/>
        <w:t>2. The trimmed reads were aligned to the Human Reference Genome (GRCh38, Chromosome 1) using the STAR Aligner.</w:t>
      </w:r>
    </w:p>
    <w:p>
      <w:pPr>
        <w:pStyle w:val="BodyText"/>
        <w:bidi w:val="0"/>
        <w:jc w:val="start"/>
        <w:rPr/>
      </w:pPr>
      <w:r>
        <w:rPr/>
        <w:t xml:space="preserve">• </w:t>
      </w:r>
      <w:r>
        <w:rPr/>
        <w:t>While aligning the reads, the paired-end reads were found no more aligned. These were fixed with BBMap (repair.sh), so the forward and reverse reads could be re-synced and prevent any downstream issues.</w:t>
      </w:r>
    </w:p>
    <w:p>
      <w:pPr>
        <w:pStyle w:val="BodyText"/>
        <w:bidi w:val="0"/>
        <w:jc w:val="start"/>
        <w:rPr/>
      </w:pPr>
      <w:r>
        <w:rPr/>
        <w:t xml:space="preserve">• </w:t>
      </w:r>
      <w:r>
        <w:rPr/>
        <w:t>Indexing of the reference genome and aligned BAM files were done by samtools.</w:t>
      </w:r>
    </w:p>
    <w:p>
      <w:pPr>
        <w:pStyle w:val="BodyText"/>
        <w:bidi w:val="0"/>
        <w:jc w:val="start"/>
        <w:rPr/>
      </w:pPr>
      <w:r>
        <w:rPr/>
        <w:t>3. Based on GATK Best Practices for RNA-seq, Somatic mutations were detected.</w:t>
      </w:r>
    </w:p>
    <w:p>
      <w:pPr>
        <w:pStyle w:val="BodyText"/>
        <w:bidi w:val="0"/>
        <w:jc w:val="start"/>
        <w:rPr/>
      </w:pPr>
      <w:r>
        <w:rPr/>
        <w:t xml:space="preserve">• </w:t>
      </w:r>
      <w:r>
        <w:rPr/>
        <w:t>For the preprocessing step, Picard was used in order to add or replace read groups with a markduplicates command to fix PCR bias.</w:t>
      </w:r>
    </w:p>
    <w:p>
      <w:pPr>
        <w:pStyle w:val="BodyText"/>
        <w:bidi w:val="0"/>
        <w:jc w:val="start"/>
        <w:rPr/>
      </w:pPr>
      <w:r>
        <w:rPr/>
        <w:t xml:space="preserve">• </w:t>
      </w:r>
      <w:r>
        <w:rPr/>
        <w:t>The GATK SplitNCigarReads tool was used to split reads that span introns.  This is often done for RNA-seq data to avoid false positives near splice junctions.</w:t>
      </w:r>
    </w:p>
    <w:p>
      <w:pPr>
        <w:pStyle w:val="BodyText"/>
        <w:bidi w:val="0"/>
        <w:jc w:val="start"/>
        <w:rPr/>
      </w:pPr>
      <w:r>
        <w:rPr/>
        <w:t xml:space="preserve">• </w:t>
      </w:r>
      <w:r>
        <w:rPr/>
        <w:t xml:space="preserve">Variants were discovered employing GATK HaplotypeCaller. </w:t>
      </w:r>
    </w:p>
    <w:p>
      <w:pPr>
        <w:pStyle w:val="BodyText"/>
        <w:bidi w:val="0"/>
        <w:jc w:val="start"/>
        <w:rPr/>
      </w:pPr>
      <w:r>
        <w:rPr/>
        <w:t xml:space="preserve">• </w:t>
      </w:r>
      <w:r>
        <w:rPr/>
        <w:t>The resulting VCF files were filtered using VariantFiltration to retain high-quality variants retaining Phred Score 30 and above.</w:t>
      </w:r>
    </w:p>
    <w:p>
      <w:pPr>
        <w:pStyle w:val="BodyText"/>
        <w:bidi w:val="0"/>
        <w:jc w:val="start"/>
        <w:rPr/>
      </w:pPr>
      <w:r>
        <w:rPr/>
      </w:r>
    </w:p>
    <w:p>
      <w:pPr>
        <w:pStyle w:val="BodyText"/>
        <w:bidi w:val="0"/>
        <w:jc w:val="start"/>
        <w:rPr/>
      </w:pPr>
      <w:r>
        <w:rPr/>
        <w:t>4. Identification and Annotation of HLA.</w:t>
      </w:r>
    </w:p>
    <w:p>
      <w:pPr>
        <w:pStyle w:val="BodyText"/>
        <w:bidi w:val="0"/>
        <w:jc w:val="start"/>
        <w:rPr/>
      </w:pPr>
      <w:r>
        <w:rPr/>
        <w:t xml:space="preserve">• </w:t>
      </w:r>
      <w:r>
        <w:rPr/>
        <w:t>The process of determining the Class I HLA alleles of each subject with a resolution of four digits was carried out using the OptiType tool on the FASTQ files.</w:t>
      </w:r>
    </w:p>
    <w:p>
      <w:pPr>
        <w:pStyle w:val="BodyText"/>
        <w:bidi w:val="0"/>
        <w:jc w:val="start"/>
        <w:rPr/>
      </w:pPr>
      <w:r>
        <w:rPr/>
        <w:t xml:space="preserve">• </w:t>
      </w:r>
      <w:r>
        <w:rPr/>
        <w:t>The filtered VCF files were submitted to the Ensembl Variant Effect Predictor (VEP) for annotation of the functional effects of the mutations (missense, synonymous).</w:t>
      </w:r>
    </w:p>
    <w:p>
      <w:pPr>
        <w:pStyle w:val="BodyText"/>
        <w:bidi w:val="0"/>
        <w:jc w:val="start"/>
        <w:rPr/>
      </w:pPr>
      <w:r>
        <w:rPr/>
        <w:t>5. A Python pipeline was developed in three stages to automate candidate selection.</w:t>
      </w:r>
    </w:p>
    <w:p>
      <w:pPr>
        <w:pStyle w:val="BodyText"/>
        <w:bidi w:val="0"/>
        <w:jc w:val="start"/>
        <w:rPr/>
      </w:pPr>
      <w:r>
        <w:rPr/>
        <w:t xml:space="preserve">• </w:t>
      </w:r>
      <w:r>
        <w:rPr/>
        <w:t xml:space="preserve">The scripts parsing the VEP-annotated text files were realized in python for step 1 processing. Only missense variants are considered so the scripts 1_Filter_candidates.py filters and only keep the positions of missense variants keeping aside synonymous changes and metadata headers. </w:t>
      </w:r>
    </w:p>
    <w:p>
      <w:pPr>
        <w:pStyle w:val="BodyText"/>
        <w:bidi w:val="0"/>
        <w:jc w:val="start"/>
        <w:rPr/>
      </w:pPr>
      <w:r>
        <w:rPr/>
        <w:t xml:space="preserve">• </w:t>
      </w:r>
      <w:r>
        <w:rPr/>
        <w:t>Following the above step, to retrieve the wild-type peptide sequences of the mutated genes, we used the ensembl REST API by using the python script 2_peptide_seq.py.  The process then produced 9-mer peptides around the mutation site (which created the mutant peptide sequence).</w:t>
      </w:r>
    </w:p>
    <w:p>
      <w:pPr>
        <w:pStyle w:val="BodyText"/>
        <w:bidi w:val="0"/>
        <w:jc w:val="start"/>
        <w:rPr/>
      </w:pPr>
      <w:r>
        <w:rPr/>
        <w:t xml:space="preserve">• </w:t>
      </w:r>
      <w:r>
        <w:rPr/>
        <w:t>Step 3 Affinity Ranking (3_rank_candidates.py): Input the generated peptides in MHCflurry. The binding affinities (IC50) of the shortlisted candidates against the HLA alleles identified in Step 4 were predicted. The candidates were ranked; those with an IC50 affinity of less than 500 nM were classified as binders and those with less than 50 nM were classified as strong binders.</w:t>
      </w:r>
    </w:p>
    <w:p>
      <w:pPr>
        <w:pStyle w:val="BodyText"/>
        <w:bidi w:val="0"/>
        <w:jc w:val="start"/>
        <w:rPr/>
      </w:pPr>
      <w:r>
        <w:rPr/>
      </w:r>
    </w:p>
    <w:p>
      <w:pPr>
        <w:pStyle w:val="Heading3"/>
        <w:bidi w:val="0"/>
        <w:jc w:val="start"/>
        <w:rPr>
          <w:b/>
        </w:rPr>
      </w:pPr>
      <w:r>
        <w:rPr>
          <w:b/>
        </w:rPr>
        <w:t>RESULTS</w:t>
      </w:r>
    </w:p>
    <w:p>
      <w:pPr>
        <w:pStyle w:val="BodyText"/>
        <w:bidi w:val="0"/>
        <w:jc w:val="start"/>
        <w:rPr/>
      </w:pPr>
      <w:r>
        <w:rPr/>
        <w:t>1. The following alleles identified by the HLA typing via OptiType were used in the affinity prediction models: HLA allele identification.</w:t>
      </w:r>
    </w:p>
    <w:p>
      <w:pPr>
        <w:pStyle w:val="BodyText"/>
        <w:bidi w:val="0"/>
        <w:jc w:val="start"/>
        <w:rPr/>
      </w:pPr>
      <w:r>
        <w:rPr/>
        <w:t xml:space="preserve">• </w:t>
      </w:r>
      <w:r>
        <w:rPr/>
        <w:t>SRR30677899: HLA-A*02:06</w:t>
      </w:r>
    </w:p>
    <w:p>
      <w:pPr>
        <w:pStyle w:val="BodyText"/>
        <w:bidi w:val="0"/>
        <w:jc w:val="start"/>
        <w:rPr/>
      </w:pPr>
      <w:r>
        <w:rPr/>
        <w:t xml:space="preserve">• </w:t>
      </w:r>
      <w:r>
        <w:rPr/>
        <w:t>SRR30677902 HLA-A*02:01</w:t>
      </w:r>
    </w:p>
    <w:p>
      <w:pPr>
        <w:pStyle w:val="BodyText"/>
        <w:bidi w:val="0"/>
        <w:jc w:val="start"/>
        <w:rPr/>
      </w:pPr>
      <w:r>
        <w:rPr/>
      </w:r>
    </w:p>
    <w:p>
      <w:pPr>
        <w:pStyle w:val="BodyText"/>
        <w:bidi w:val="0"/>
        <w:jc w:val="start"/>
        <w:rPr/>
      </w:pPr>
      <w:r>
        <w:rPr/>
        <w:t>2. The custom pipeline identified several high-affinity neoantigens to the HLA-A*02:06 allele. Presented below are the best candidates, ranked according to binding affinity (lower nM, stronger binding).</w:t>
      </w:r>
    </w:p>
    <w:p>
      <w:pPr>
        <w:pStyle w:val="BodyText"/>
        <w:bidi w:val="0"/>
        <w:jc w:val="start"/>
        <w:rPr/>
      </w:pPr>
      <w:r>
        <w:rPr/>
        <w:t xml:space="preserve">• </w:t>
      </w:r>
      <w:r>
        <w:rPr/>
        <w:t>Gene reference is ENSG00000117114.</w:t>
      </w:r>
    </w:p>
    <w:p>
      <w:pPr>
        <w:pStyle w:val="BodyText"/>
        <w:bidi w:val="0"/>
        <w:jc w:val="start"/>
        <w:rPr/>
      </w:pPr>
      <w:r>
        <w:rPr/>
        <w:t>V324A Mutation.</w:t>
      </w:r>
    </w:p>
    <w:p>
      <w:pPr>
        <w:pStyle w:val="BodyText"/>
        <w:bidi w:val="0"/>
        <w:jc w:val="start"/>
        <w:rPr/>
      </w:pPr>
      <w:r>
        <w:rPr/>
        <w:t>FMICAVLYV peptide.</w:t>
      </w:r>
    </w:p>
    <w:p>
      <w:pPr>
        <w:pStyle w:val="BodyText"/>
        <w:bidi w:val="0"/>
        <w:jc w:val="start"/>
        <w:rPr/>
      </w:pPr>
      <w:r>
        <w:rPr/>
        <w:t>Affinity of high strength binder with the target; 10.72 nM.</w:t>
      </w:r>
    </w:p>
    <w:p>
      <w:pPr>
        <w:pStyle w:val="BodyText"/>
        <w:bidi w:val="0"/>
        <w:jc w:val="start"/>
        <w:rPr/>
      </w:pPr>
      <w:r>
        <w:rPr/>
        <w:t xml:space="preserve">• </w:t>
      </w:r>
      <w:r>
        <w:rPr/>
        <w:t>Gene identifies ENSG00000134184.</w:t>
      </w:r>
    </w:p>
    <w:p>
      <w:pPr>
        <w:pStyle w:val="BodyText"/>
        <w:bidi w:val="0"/>
        <w:jc w:val="start"/>
        <w:rPr/>
      </w:pPr>
      <w:r>
        <w:rPr/>
        <w:t>- The mutation is N85S.</w:t>
      </w:r>
    </w:p>
    <w:p>
      <w:pPr>
        <w:pStyle w:val="BodyText"/>
        <w:bidi w:val="0"/>
        <w:jc w:val="start"/>
        <w:rPr/>
      </w:pPr>
      <w:r>
        <w:rPr/>
        <w:t>YLIDSAHKI</w:t>
      </w:r>
    </w:p>
    <w:p>
      <w:pPr>
        <w:pStyle w:val="BodyText"/>
        <w:bidi w:val="0"/>
        <w:jc w:val="start"/>
        <w:rPr/>
      </w:pPr>
      <w:r>
        <w:rPr/>
        <w:t>Affinity is 11.14 nM which means it is a strong binder.</w:t>
      </w:r>
    </w:p>
    <w:p>
      <w:pPr>
        <w:pStyle w:val="BodyText"/>
        <w:bidi w:val="0"/>
        <w:jc w:val="start"/>
        <w:rPr/>
      </w:pPr>
      <w:r>
        <w:rPr/>
        <w:t xml:space="preserve">• </w:t>
      </w:r>
      <w:r>
        <w:rPr/>
        <w:t>Gene ENSG00000067208</w:t>
      </w:r>
    </w:p>
    <w:p>
      <w:pPr>
        <w:pStyle w:val="BodyText"/>
        <w:bidi w:val="0"/>
        <w:jc w:val="start"/>
        <w:rPr/>
      </w:pPr>
      <w:r>
        <w:rPr/>
        <w:t>I292V mutation.</w:t>
      </w:r>
    </w:p>
    <w:p>
      <w:pPr>
        <w:pStyle w:val="BodyText"/>
        <w:bidi w:val="0"/>
        <w:jc w:val="start"/>
        <w:rPr/>
      </w:pPr>
      <w:r>
        <w:rPr/>
        <w:t>Peptide: FLTTFPLPV</w:t>
      </w:r>
    </w:p>
    <w:p>
      <w:pPr>
        <w:pStyle w:val="BodyText"/>
        <w:bidi w:val="0"/>
        <w:jc w:val="start"/>
        <w:rPr/>
      </w:pPr>
      <w:r>
        <w:rPr/>
        <w:t>Affinity of 1181 nM means a strong binder.</w:t>
      </w:r>
    </w:p>
    <w:p>
      <w:pPr>
        <w:pStyle w:val="BodyText"/>
        <w:bidi w:val="0"/>
        <w:jc w:val="start"/>
        <w:rPr/>
      </w:pPr>
      <w:r>
        <w:rPr/>
        <w:t>3. Candidates were predicted against HLA-A*02:01 for the second sample. What the top results included:.</w:t>
      </w:r>
    </w:p>
    <w:p>
      <w:pPr>
        <w:pStyle w:val="BodyText"/>
        <w:bidi w:val="0"/>
        <w:jc w:val="start"/>
        <w:rPr/>
      </w:pPr>
      <w:r>
        <w:rPr/>
        <w:t xml:space="preserve">• </w:t>
      </w:r>
      <w:r>
        <w:rPr/>
        <w:t>Gene Reference No.</w:t>
      </w:r>
    </w:p>
    <w:p>
      <w:pPr>
        <w:pStyle w:val="BodyText"/>
        <w:bidi w:val="0"/>
        <w:jc w:val="start"/>
        <w:rPr/>
      </w:pPr>
      <w:r>
        <w:rPr/>
        <w:t>D583H A Mutation</w:t>
      </w:r>
    </w:p>
    <w:p>
      <w:pPr>
        <w:pStyle w:val="BodyText"/>
        <w:bidi w:val="0"/>
        <w:jc w:val="start"/>
        <w:rPr/>
      </w:pPr>
      <w:r>
        <w:rPr/>
        <w:t>The peptide KMIHKVFGV.</w:t>
      </w:r>
    </w:p>
    <w:p>
      <w:pPr>
        <w:pStyle w:val="BodyText"/>
        <w:bidi w:val="0"/>
        <w:jc w:val="start"/>
        <w:rPr/>
      </w:pPr>
      <w:r>
        <w:rPr/>
        <w:t>Affinity is 10.65 nM (strong binder)</w:t>
      </w:r>
    </w:p>
    <w:p>
      <w:pPr>
        <w:pStyle w:val="BodyText"/>
        <w:bidi w:val="0"/>
        <w:jc w:val="start"/>
        <w:rPr/>
      </w:pPr>
      <w:r>
        <w:rPr/>
        <w:t xml:space="preserve">• </w:t>
      </w:r>
      <w:r>
        <w:rPr/>
        <w:t>Gene ENSG00000131236</w:t>
      </w:r>
    </w:p>
    <w:p>
      <w:pPr>
        <w:pStyle w:val="BodyText"/>
        <w:bidi w:val="0"/>
        <w:jc w:val="start"/>
        <w:rPr/>
      </w:pPr>
      <w:r>
        <w:rPr/>
        <w:t>I133S Mutation</w:t>
      </w:r>
    </w:p>
    <w:p>
      <w:pPr>
        <w:pStyle w:val="BodyText"/>
        <w:bidi w:val="0"/>
        <w:jc w:val="start"/>
        <w:rPr/>
      </w:pPr>
      <w:r>
        <w:rPr/>
        <w:t>The peptide is (3 words): KLFNHLSSV.</w:t>
      </w:r>
    </w:p>
    <w:p>
      <w:pPr>
        <w:pStyle w:val="BodyText"/>
        <w:bidi w:val="0"/>
        <w:jc w:val="start"/>
        <w:rPr/>
      </w:pPr>
      <w:r>
        <w:rPr/>
        <w:t>10.86 nM Affinity (Strong Binder).</w:t>
      </w:r>
    </w:p>
    <w:p>
      <w:pPr>
        <w:pStyle w:val="BodyText"/>
        <w:bidi w:val="0"/>
        <w:jc w:val="start"/>
        <w:rPr/>
      </w:pPr>
      <w:r>
        <w:rPr/>
        <w:t xml:space="preserve">• </w:t>
      </w:r>
      <w:r>
        <w:rPr/>
        <w:t xml:space="preserve">The gene's symbol is ENG0000067208. </w:t>
      </w:r>
    </w:p>
    <w:p>
      <w:pPr>
        <w:pStyle w:val="BodyText"/>
        <w:bidi w:val="0"/>
        <w:jc w:val="start"/>
        <w:rPr/>
      </w:pPr>
      <w:r>
        <w:rPr/>
        <w:t>I292V change.</w:t>
      </w:r>
    </w:p>
    <w:p>
      <w:pPr>
        <w:pStyle w:val="BodyText"/>
        <w:bidi w:val="0"/>
        <w:jc w:val="start"/>
        <w:rPr/>
      </w:pPr>
      <w:r>
        <w:rPr/>
        <w:t>Peptide is FLTTFPLPV.</w:t>
      </w:r>
    </w:p>
    <w:p>
      <w:pPr>
        <w:pStyle w:val="BodyText"/>
        <w:bidi w:val="0"/>
        <w:jc w:val="start"/>
        <w:rPr/>
      </w:pPr>
      <w:r>
        <w:rPr/>
        <w:t>Affinity: 10.90 nM (Strong Binder).</w:t>
      </w:r>
    </w:p>
    <w:p>
      <w:pPr>
        <w:pStyle w:val="BodyText"/>
        <w:bidi w:val="0"/>
        <w:jc w:val="start"/>
        <w:rPr/>
      </w:pPr>
      <w:r>
        <w:rPr/>
        <w:t>4. The mutation I292V in ENSG00000067208 resulted in the peptide FLTTFPLPV which bound with strong affinities (11.81 nM and 10.90 nM) to HLA-A02:06 and HLA-A02:01, respectively. The above indicated that this specific neoantigen could be a target in patients of all HLA-A2 supertype subtypes.</w:t>
      </w:r>
    </w:p>
    <w:p>
      <w:pPr>
        <w:pStyle w:val="BodyText"/>
        <w:bidi w:val="0"/>
        <w:jc w:val="start"/>
        <w:rPr>
          <w:b/>
        </w:rPr>
      </w:pPr>
      <w:r>
        <w:rPr>
          <w:b/>
        </w:rPr>
      </w:r>
    </w:p>
    <w:p>
      <w:pPr>
        <w:pStyle w:val="Heading3"/>
        <w:bidi w:val="0"/>
        <w:jc w:val="start"/>
        <w:rPr>
          <w:b/>
        </w:rPr>
      </w:pPr>
      <w:r>
        <w:rPr>
          <w:b/>
        </w:rPr>
      </w:r>
    </w:p>
    <w:p>
      <w:pPr>
        <w:pStyle w:val="Heading3"/>
        <w:bidi w:val="0"/>
        <w:jc w:val="start"/>
        <w:rPr>
          <w:b/>
        </w:rPr>
      </w:pPr>
      <w:r>
        <w:rPr>
          <w:b/>
        </w:rPr>
        <w:t>CONCLUSION</w:t>
      </w:r>
    </w:p>
    <w:p>
      <w:pPr>
        <w:pStyle w:val="BodyText"/>
        <w:bidi w:val="0"/>
        <w:jc w:val="start"/>
        <w:rPr>
          <w:i/>
        </w:rPr>
      </w:pPr>
      <w:r>
        <w:rPr>
          <w:i/>
        </w:rPr>
        <w:t>The construction of a complete immunoinformatics workflow for Glioblastoma from raw RNA-seq data to ranked vaccine candidates was successful. Through the use of STAR for alignment, GATK for variant calling and MHCflurry for deep-learning-based affinity prediction, thousands of variants were filtered down to a select few high-probability variants.</w:t>
      </w:r>
    </w:p>
    <w:p>
      <w:pPr>
        <w:pStyle w:val="BodyText"/>
        <w:bidi w:val="0"/>
        <w:jc w:val="start"/>
        <w:rPr>
          <w:i/>
        </w:rPr>
      </w:pPr>
      <w:r>
        <w:rPr>
          <w:i/>
        </w:rPr>
        <w:t>Peptides with binding affinities close to 10 nM (which is significantly lower than the threshold of 50 nM for strong binders) are unlikely to be removed from the surface of the tumor cells. Also, a shared high-affinity peptide (e.g. ENSG00000067208) across multiple HLA alleles could make it plausible to design an “off-the-shelf” vaccine covering multiple patient subgroups. Future research should concentrate on experimental validation of these peptides by means of T-cell activation assays to confirm their in vitro Immunogenicity.</w:t>
      </w:r>
    </w:p>
    <w:p>
      <w:pPr>
        <w:pStyle w:val="BodyText"/>
        <w:bidi w:val="0"/>
        <w:jc w:val="start"/>
        <w:rPr>
          <w:i/>
        </w:rPr>
      </w:pPr>
      <w:r>
        <w:rPr>
          <w:i/>
        </w:rPr>
      </w:r>
    </w:p>
    <w:p>
      <w:pPr>
        <w:pStyle w:val="Heading3"/>
        <w:keepNext w:val="true"/>
        <w:widowControl/>
        <w:suppressAutoHyphens w:val="true"/>
        <w:bidi w:val="0"/>
        <w:jc w:val="start"/>
        <w:rPr>
          <w:color w:val="auto"/>
          <w:kern w:val="2"/>
          <w:lang w:val="en-US" w:eastAsia="zh-CN" w:bidi="hi-IN"/>
        </w:rPr>
      </w:pPr>
      <w:r>
        <w:rPr>
          <w:color w:val="auto"/>
          <w:kern w:val="2"/>
          <w:lang w:val="en-US" w:eastAsia="zh-CN" w:bidi="hi-IN"/>
        </w:rPr>
        <w:t>BIBLIOGRAPHY.</w:t>
      </w:r>
    </w:p>
    <w:p>
      <w:pPr>
        <w:pStyle w:val="BodyText"/>
        <w:bidi w:val="0"/>
        <w:jc w:val="start"/>
        <w:rPr>
          <w:i/>
        </w:rPr>
      </w:pPr>
      <w:r>
        <w:rPr>
          <w:i/>
        </w:rPr>
        <w:t>1. Glioblastoma and Immunotherapy.</w:t>
      </w:r>
    </w:p>
    <w:p>
      <w:pPr>
        <w:pStyle w:val="BodyText"/>
        <w:bidi w:val="0"/>
        <w:jc w:val="start"/>
        <w:rPr>
          <w:i/>
        </w:rPr>
      </w:pPr>
      <w:r>
        <w:rPr>
          <w:i/>
        </w:rPr>
        <w:t>Agosti and others (2023). The glioblastoma immunotherapy is a systematic review on current strategies and future prospects.  Inteligent Molecule Science , 24, 20 (15037). 2025.  Singh, D.D. &amp; others. "Advancing vaccine-based immunotherapy in glioblastoma. Neuro-Oncology Advances, 7(1)".</w:t>
      </w:r>
    </w:p>
    <w:p>
      <w:pPr>
        <w:pStyle w:val="BodyText"/>
        <w:bidi w:val="0"/>
        <w:jc w:val="start"/>
        <w:rPr>
          <w:i/>
        </w:rPr>
      </w:pPr>
      <w:r>
        <w:rPr>
          <w:i/>
        </w:rPr>
        <w:t>2. HLA Typing Using OptiType</w:t>
      </w:r>
    </w:p>
    <w:p>
      <w:pPr>
        <w:pStyle w:val="BodyText"/>
        <w:bidi w:val="0"/>
        <w:jc w:val="start"/>
        <w:rPr>
          <w:i/>
        </w:rPr>
      </w:pPr>
      <w:r>
        <w:rPr>
          <w:i/>
        </w:rPr>
        <w:t>Szolek, A., Schubert, B. et al. (2014)  “OptiType: precise HLA typing from next-generation sequencing data.” Bioinformatics, 30(23): 3310-3316.</w:t>
      </w:r>
    </w:p>
    <w:p>
      <w:pPr>
        <w:pStyle w:val="BodyText"/>
        <w:bidi w:val="0"/>
        <w:jc w:val="start"/>
        <w:rPr>
          <w:i/>
        </w:rPr>
      </w:pPr>
      <w:r>
        <w:rPr>
          <w:i/>
        </w:rPr>
        <w:t>3. Variant Identification (GATK)</w:t>
      </w:r>
    </w:p>
    <w:p>
      <w:pPr>
        <w:pStyle w:val="BodyText"/>
        <w:bidi w:val="0"/>
        <w:jc w:val="start"/>
        <w:rPr>
          <w:i/>
        </w:rPr>
      </w:pPr>
      <w:r>
        <w:rPr>
          <w:i/>
        </w:rPr>
        <w:t>Van der Auwera, G.A., et al. (2013) “From FastQ data to high confidence variant calls: the Genome Analysis Toolkit best practices pipeline.”  Current Protocols in Bioinformatics, 43(11.10), 1-33.</w:t>
      </w:r>
    </w:p>
    <w:p>
      <w:pPr>
        <w:pStyle w:val="BodyText"/>
        <w:bidi w:val="0"/>
        <w:jc w:val="start"/>
        <w:rPr/>
      </w:pPr>
      <w:r>
        <w:rPr>
          <w:i/>
        </w:rPr>
        <w:t>GATK Best Practices for Short Variant Discovery Including SNPs and Indels Large Institute Online Access at: https://gatk.broadinstitute.org/.</w:t>
      </w:r>
      <w:r>
        <w:rPr/>
        <w:t>.</w:t>
      </w:r>
    </w:p>
    <w:p>
      <w:pPr>
        <w:pStyle w:val="Normal"/>
        <w:bidi w:val="0"/>
        <w:jc w:val="start"/>
        <w:rPr/>
      </w:pPr>
      <w:r>
        <w:rPr/>
      </w:r>
    </w:p>
    <w:p>
      <w:pPr>
        <w:pStyle w:val="Heading3"/>
        <w:bidi w:val="0"/>
        <w:jc w:val="start"/>
        <w:rPr>
          <w:b/>
        </w:rPr>
      </w:pPr>
      <w:r>
        <w:rPr/>
      </w:r>
    </w:p>
    <w:p>
      <w:pPr>
        <w:pStyle w:val="BodyText"/>
        <w:numPr>
          <w:ilvl w:val="0"/>
          <w:numId w:val="1"/>
        </w:numPr>
        <w:tabs>
          <w:tab w:val="left" w:pos="709" w:leader="none"/>
        </w:tabs>
        <w:bidi w:val="0"/>
        <w:ind w:hanging="283" w:start="709"/>
        <w:jc w:val="start"/>
        <w:rPr>
          <w:b/>
        </w:rPr>
      </w:pPr>
      <w:r>
        <w:rPr>
          <w:b/>
        </w:rPr>
        <w:t>Binding Affinity Prediction (MHCflurry):</w:t>
      </w:r>
    </w:p>
    <w:p>
      <w:pPr>
        <w:pStyle w:val="BodyText"/>
        <w:numPr>
          <w:ilvl w:val="1"/>
          <w:numId w:val="1"/>
        </w:numPr>
        <w:tabs>
          <w:tab w:val="clear" w:pos="709"/>
          <w:tab w:val="left" w:pos="1418" w:leader="none"/>
        </w:tabs>
        <w:bidi w:val="0"/>
        <w:ind w:hanging="283" w:start="1418"/>
        <w:jc w:val="start"/>
        <w:rPr/>
      </w:pPr>
      <w:r>
        <w:rPr/>
        <w:t xml:space="preserve">O'Donnell, T.J., et al. (2018). "MHCflurry: Open-Source Class I MHC Binding Affinity Prediction." </w:t>
      </w:r>
      <w:r>
        <w:rPr>
          <w:i/>
        </w:rPr>
        <w:t>Cell Systems</w:t>
      </w:r>
      <w:r>
        <w:rPr/>
        <w:t>, 7(1), 129-132.</w:t>
      </w:r>
    </w:p>
    <w:p>
      <w:pPr>
        <w:pStyle w:val="BodyText"/>
        <w:numPr>
          <w:ilvl w:val="1"/>
          <w:numId w:val="1"/>
        </w:numPr>
        <w:tabs>
          <w:tab w:val="clear" w:pos="709"/>
          <w:tab w:val="left" w:pos="1418" w:leader="none"/>
        </w:tabs>
        <w:bidi w:val="0"/>
        <w:ind w:hanging="283" w:start="1418"/>
        <w:jc w:val="start"/>
        <w:rPr/>
      </w:pPr>
      <w:r>
        <w:rPr/>
        <w:t xml:space="preserve">O'Donnell, T.J., et al. (2020). "MHCflurry 2.0: Improved pan-allele prediction of MHC I-presented peptides by incorporating antigen processing." </w:t>
      </w:r>
      <w:r>
        <w:rPr>
          <w:i/>
        </w:rPr>
        <w:t>Cell Systems</w:t>
      </w:r>
      <w:r>
        <w:rPr/>
        <w:t>, 11(1), 42-48.</w:t>
      </w:r>
    </w:p>
    <w:p>
      <w:pPr>
        <w:pStyle w:val="BodyText"/>
        <w:numPr>
          <w:ilvl w:val="0"/>
          <w:numId w:val="1"/>
        </w:numPr>
        <w:tabs>
          <w:tab w:val="left" w:pos="709" w:leader="none"/>
        </w:tabs>
        <w:bidi w:val="0"/>
        <w:ind w:hanging="283" w:start="709"/>
        <w:jc w:val="start"/>
        <w:rPr>
          <w:b/>
        </w:rPr>
      </w:pPr>
      <w:r>
        <w:rPr>
          <w:b/>
        </w:rPr>
        <w:t>Alignment &amp; Tools:</w:t>
      </w:r>
    </w:p>
    <w:p>
      <w:pPr>
        <w:pStyle w:val="BodyText"/>
        <w:numPr>
          <w:ilvl w:val="1"/>
          <w:numId w:val="1"/>
        </w:numPr>
        <w:tabs>
          <w:tab w:val="clear" w:pos="709"/>
          <w:tab w:val="left" w:pos="1418" w:leader="none"/>
        </w:tabs>
        <w:bidi w:val="0"/>
        <w:ind w:hanging="283" w:start="1418"/>
        <w:jc w:val="start"/>
        <w:rPr/>
      </w:pPr>
      <w:r>
        <w:rPr/>
        <w:t xml:space="preserve">Dobin, A., et al. (2013). "STAR: ultrafast universal RNA-seq aligner." </w:t>
      </w:r>
      <w:r>
        <w:rPr>
          <w:i/>
        </w:rPr>
        <w:t>Bioinformatics</w:t>
      </w:r>
      <w:r>
        <w:rPr/>
        <w:t>, 29(1), 15-21.</w:t>
      </w:r>
    </w:p>
    <w:p>
      <w:pPr>
        <w:pStyle w:val="BodyText"/>
        <w:numPr>
          <w:ilvl w:val="1"/>
          <w:numId w:val="1"/>
        </w:numPr>
        <w:tabs>
          <w:tab w:val="clear" w:pos="709"/>
          <w:tab w:val="left" w:pos="1418" w:leader="none"/>
        </w:tabs>
        <w:bidi w:val="0"/>
        <w:spacing w:before="0" w:after="140"/>
        <w:ind w:hanging="283" w:start="1418"/>
        <w:jc w:val="start"/>
        <w:rPr/>
      </w:pPr>
      <w:r>
        <w:rPr/>
        <w:t xml:space="preserve">Andrews, S. (2010). "FastQC: a quality control tool for high throughput sequence data." </w:t>
      </w:r>
      <w:r>
        <w:rPr>
          <w:i/>
        </w:rPr>
        <w:t>Babraham Bioinformatics</w:t>
      </w:r>
      <w:r>
        <w:rPr/>
        <w:t>.</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NumberingSymbols">
    <w:name w:val="Numbering Symbols"/>
    <w:qFormat/>
    <w:rPr/>
  </w:style>
  <w:style w:type="character" w:styleId="SourceText">
    <w:name w:val="Source Text"/>
    <w:qFormat/>
    <w:rPr>
      <w:rFonts w:ascii="Liberation Mono" w:hAnsi="Liberation Mono" w:eastAsia="Noto Sans Mono CJK SC" w:cs="Liberation Mono"/>
    </w:rPr>
  </w:style>
  <w:style w:type="character" w:styleId="Bulletsuser">
    <w:name w:val="Bullets (user)"/>
    <w:qFormat/>
    <w:rPr>
      <w:rFonts w:ascii="OpenSymbol" w:hAnsi="OpenSymbol" w:eastAsia="OpenSymbol" w:cs="OpenSymbol"/>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1282</TotalTime>
  <Application>LibreOffice/25.8.4.2$Linux_X86_64 LibreOffice_project/0366609b1de41a39e1896ae41e33c673f2a73802</Application>
  <AppVersion>15.0000</AppVersion>
  <Pages>7</Pages>
  <Words>1522</Words>
  <Characters>9174</Characters>
  <CharactersWithSpaces>10605</CharactersWithSpaces>
  <Paragraphs>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2026-02-16T12:55:35Z</dcterms:created>
  <dc:creator/>
  <dc:description/>
  <dc:language>en-US</dc:language>
  <cp:lastModifiedBy/>
  <dcterms:modified xsi:type="dcterms:W3CDTF">2026-02-17T15:04:30Z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