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Discovery workspace</w:t>
      </w:r>
    </w:p>
    <w:p>
      <w:r>
        <w:rPr>
          <w:i/>
        </w:rPr>
        <w:t>How this folder works. Keep it short and up to date: it is the first thing a new team member reads.</w:t>
      </w:r>
    </w:p>
    <w:p>
      <w:pPr>
        <w:pStyle w:val="Heading2"/>
      </w:pPr>
      <w:r>
        <w:t>Folders</w:t>
      </w:r>
    </w:p>
    <w:p>
      <w:pPr>
        <w:pStyle w:val="ListBullet"/>
      </w:pPr>
      <w:r>
        <w:t>01 Discovery Management: plan, communication plan, access checklist, RAID log, decision log</w:t>
      </w:r>
    </w:p>
    <w:p>
      <w:pPr>
        <w:pStyle w:val="ListBullet"/>
      </w:pPr>
      <w:r>
        <w:t>02 Client Inputs: the client's original materials, as received</w:t>
      </w:r>
    </w:p>
    <w:p>
      <w:pPr>
        <w:pStyle w:val="ListBullet"/>
      </w:pPr>
      <w:r>
        <w:t>03 Meetings: transcripts and the running log of meeting summaries</w:t>
      </w:r>
    </w:p>
    <w:p>
      <w:pPr>
        <w:pStyle w:val="ListBullet"/>
      </w:pPr>
      <w:r>
        <w:t>04 Stakeholders: who is who, influence and interest</w:t>
      </w:r>
    </w:p>
    <w:p>
      <w:pPr>
        <w:pStyle w:val="ListBullet"/>
      </w:pPr>
      <w:r>
        <w:t>05 Context: project context canvas, AS-IS context, glossary</w:t>
      </w:r>
    </w:p>
    <w:p>
      <w:pPr>
        <w:pStyle w:val="ListBullet"/>
      </w:pPr>
      <w:r>
        <w:t>06 Requirements: requirements register, open questions, constraints</w:t>
      </w:r>
    </w:p>
    <w:p>
      <w:pPr>
        <w:pStyle w:val="ListBullet"/>
      </w:pPr>
      <w:r>
        <w:t>_agent: records the BA Discovery Agent uses; don't edit by hand</w:t>
      </w:r>
    </w:p>
    <w:p>
      <w:pPr>
        <w:pStyle w:val="Heading2"/>
      </w:pPr>
      <w:r>
        <w:t>Naming files</w:t>
      </w:r>
    </w:p>
    <w:p>
      <w:r>
        <w:rPr>
          <w:i/>
        </w:rPr>
        <w:t>Start file names with the date, YYYY-MM-DD, for example 2026-10-24 Kick-off transcript.</w:t>
      </w:r>
    </w:p>
    <w:p>
      <w:pPr>
        <w:pStyle w:val="Heading2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