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BodyText"/>
        <w:rPr>
          <w:lang w:val="en-US"/>
        </w:rPr>
      </w:pPr>
      <w:r>
        <w:rPr>
          <w:sz w:val="12"/>
          <w:szCs w:val="12"/>
          <w:lang w:val="en-US"/>
        </w:rPr>
        <w:t>{police_kaz}</w:t>
      </w:r>
    </w:p>
    <w:p>
      <w:pPr>
        <w:pStyle w:val="BodyText"/>
        <w:rPr>
          <w:lang w:val="en-US"/>
        </w:rPr>
      </w:pPr>
      <w:r>
        <w:rPr>
          <w:color w:val="000000"/>
          <w:sz w:val="12"/>
          <w:szCs w:val="12"/>
          <w:lang w:val="en-US"/>
        </w:rPr>
        <w:t>{police_rus}</w:t>
      </w:r>
    </w:p>
    <w:tbl>
      <w:tblPr>
        <w:tblStyle w:val="a3"/>
        <w:tblW w:w="95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76"/>
      </w:tblGrid>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en-US" w:eastAsia="en-US" w:bidi="ar-SA"/>
              </w:rPr>
              <w:t>{ContractDay}</w:t>
            </w:r>
            <w:r>
              <w:rPr>
                <w:rFonts w:eastAsia="Times New Roman" w:cs="Times New Roman" w:ascii="Times New Roman" w:hAnsi="Times New Roman"/>
                <w:b/>
                <w:bCs/>
                <w:kern w:val="0"/>
                <w:sz w:val="20"/>
                <w:szCs w:val="20"/>
                <w:highlight w:val="yellow"/>
                <w:lang w:val="ru-RU" w:eastAsia="ru-RU" w:bidi="ar-SA"/>
              </w:rPr>
              <w:t xml:space="preserve">» </w:t>
            </w:r>
            <w:r>
              <w:rPr>
                <w:rFonts w:eastAsia="Times New Roman" w:cs="Times New Roman" w:ascii="Times New Roman" w:hAnsi="Times New Roman"/>
                <w:b/>
                <w:bCs/>
                <w:kern w:val="0"/>
                <w:sz w:val="20"/>
                <w:szCs w:val="20"/>
                <w:highlight w:val="yellow"/>
                <w:lang w:val="en-US" w:eastAsia="ru-RU" w:bidi="ar-SA"/>
              </w:rPr>
              <w:t>{ContractMonthRUS}</w:t>
            </w:r>
            <w:r>
              <w:rPr>
                <w:rFonts w:eastAsia="Times New Roman" w:cs="Times New Roman" w:ascii="Times New Roman" w:hAnsi="Times New Roman"/>
                <w:b/>
                <w:bCs/>
                <w:kern w:val="0"/>
                <w:sz w:val="20"/>
                <w:szCs w:val="20"/>
                <w:highlight w:val="yellow"/>
                <w:lang w:val="ru-RU" w:eastAsia="ru-RU" w:bidi="ar-SA"/>
              </w:rPr>
              <w:t xml:space="preserve"> 2025 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Товарищество с ограниченной ответственностью «</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(ТАМОС ЭДЬЮКЕЙШН)</w:t>
            </w:r>
            <w:r>
              <w:rPr>
                <w:rFonts w:eastAsia="Times New Roman" w:cs="Times New Roman" w:ascii="Times New Roman" w:hAnsi="Times New Roman"/>
                <w:kern w:val="0"/>
                <w:sz w:val="20"/>
                <w:szCs w:val="20"/>
                <w:lang w:val="ru-RU" w:eastAsia="ru-RU" w:bidi="ar-SA"/>
              </w:rPr>
              <w:t>,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Calibri" w:cs="Times New Roman" w:ascii="Times New Roman" w:hAnsi="Times New Roman"/>
                <w:kern w:val="0"/>
                <w:sz w:val="20"/>
                <w:szCs w:val="20"/>
                <w:lang w:val="ru-RU" w:eastAsia="en-US" w:bidi="ar-SA"/>
              </w:rPr>
              <w:t xml:space="preserve">KZ27LAA00032986 </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en-US"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highlight w:val="yellow"/>
                <w:lang w:val="ru-RU" w:eastAsia="ru-RU" w:bidi="ar-SA"/>
              </w:rPr>
              <w:t>в 2025-2026</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Style w:val="ListLabel82"/>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rStyle w:val="ListLabel82"/>
                <w:sz w:val="20"/>
                <w:spacing w:val="2"/>
                <w:kern w:val="0"/>
                <w:szCs w:val="20"/>
                <w:rFonts w:eastAsia="Times New Roman" w:cs="Times New Roman" w:ascii="Times New Roman" w:hAnsi="Times New Roman"/>
                <w:lang w:val="ru-RU" w:eastAsia="ru-RU" w:bidi="ar-SA"/>
              </w:rPr>
              <w:fldChar w:fldCharType="separate"/>
            </w:r>
            <w:r>
              <w:rPr>
                <w:rStyle w:val="ListLabel82"/>
                <w:rFonts w:eastAsia="Times New Roman" w:cs="Times New Roman" w:ascii="Times New Roman" w:hAnsi="Times New Roman"/>
                <w:spacing w:val="2"/>
                <w:kern w:val="0"/>
                <w:sz w:val="20"/>
                <w:szCs w:val="20"/>
                <w:lang w:val="ru-RU" w:eastAsia="ru-RU" w:bidi="ar-SA"/>
              </w:rPr>
              <w:t>Закона</w:t>
            </w:r>
            <w:r>
              <w:rPr>
                <w:rStyle w:val="ListLabel82"/>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25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26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w:t>
            </w:r>
            <w:r>
              <w:rPr>
                <w:rFonts w:eastAsia="Times New Roman" w:cs="Times New Roman" w:ascii="Times New Roman" w:hAnsi="Times New Roman"/>
                <w:kern w:val="0"/>
                <w:sz w:val="20"/>
                <w:szCs w:val="20"/>
                <w:highlight w:val="yellow"/>
                <w:lang w:val="ru-RU" w:eastAsia="ru-RU" w:bidi="ar-SA"/>
              </w:rPr>
              <w:t>за 2025-2026</w:t>
            </w:r>
            <w:r>
              <w:rPr>
                <w:rFonts w:eastAsia="Times New Roman" w:cs="Times New Roman" w:ascii="Times New Roman" w:hAnsi="Times New Roman"/>
                <w:kern w:val="0"/>
                <w:sz w:val="20"/>
                <w:szCs w:val="20"/>
                <w:lang w:val="ru-RU" w:eastAsia="ru-RU" w:bidi="ar-SA"/>
              </w:rPr>
              <w:t xml:space="preserve">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eastAsia="ru-RU"/>
              </w:rPr>
              <w:t xml:space="preserve">({ContractAmountWithDiscountWords}) </w:t>
            </w:r>
            <w:r>
              <w:rPr>
                <w:rFonts w:eastAsia="Times New Roman" w:cs="Times New Roman" w:ascii="Times New Roman" w:hAnsi="Times New Roman"/>
                <w:i w:val="false"/>
                <w:iCs w:val="false"/>
                <w:sz w:val="20"/>
                <w:szCs w:val="20"/>
                <w:lang w:eastAsia="ru-RU"/>
              </w:rPr>
              <w:t>тенге.</w:t>
            </w:r>
          </w:p>
          <w:p>
            <w:pPr>
              <w:pStyle w:val="Normal"/>
              <w:widowControl/>
              <w:numPr>
                <w:ilvl w:val="1"/>
                <w:numId w:val="2"/>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highlight w:val="yellow"/>
                <w:lang w:val="ru-RU" w:eastAsia="ru-RU" w:bidi="ar-SA"/>
              </w:rPr>
              <w:t>2025-2026</w:t>
            </w:r>
            <w:r>
              <w:rPr>
                <w:rFonts w:eastAsia="Times New Roman" w:cs="Times New Roman" w:ascii="Times New Roman" w:hAnsi="Times New Roman"/>
                <w:kern w:val="0"/>
                <w:sz w:val="20"/>
                <w:szCs w:val="20"/>
                <w:lang w:val="ru-RU" w:eastAsia="ru-RU" w:bidi="ar-SA"/>
              </w:rPr>
              <w:t xml:space="preserve"> год обучения, стоимость обучения изменению не подлежит.</w:t>
            </w:r>
          </w:p>
          <w:p>
            <w:pPr>
              <w:pStyle w:val="Normal"/>
              <w:widowControl/>
              <w:numPr>
                <w:ilvl w:val="1"/>
                <w:numId w:val="2"/>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3.5.</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июня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w:t>
            </w:r>
            <w:r>
              <w:rPr>
                <w:rFonts w:eastAsia="Times New Roman" w:cs="Times New Roman" w:ascii="Times New Roman" w:hAnsi="Times New Roman"/>
                <w:kern w:val="0"/>
                <w:sz w:val="20"/>
                <w:szCs w:val="20"/>
                <w:lang w:val="ru-RU" w:eastAsia="ru-RU" w:bidi="ar-SA"/>
              </w:rPr>
              <w:t xml:space="preserve"> учебный год в срок </w:t>
            </w:r>
            <w:r>
              <w:rPr>
                <w:rFonts w:eastAsia="Times New Roman" w:cs="Times New Roman" w:ascii="Times New Roman" w:hAnsi="Times New Roman"/>
                <w:kern w:val="0"/>
                <w:sz w:val="20"/>
                <w:szCs w:val="20"/>
                <w:highlight w:val="yellow"/>
                <w:lang w:val="ru-RU" w:eastAsia="ru-RU" w:bidi="ar-SA"/>
              </w:rPr>
              <w:t>до 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numPr>
                <w:ilvl w:val="1"/>
                <w:numId w:val="1"/>
              </w:numPr>
              <w:suppressAutoHyphens w:val="true"/>
              <w:spacing w:lineRule="auto" w:line="240" w:before="0" w:after="0"/>
              <w:ind w:hanging="0" w:left="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7"/>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sz w:val="20"/>
                <w:szCs w:val="20"/>
                <w:u w:val="single"/>
                <w:lang w:eastAsia="ru-RU"/>
              </w:rPr>
              <w:t>{ParentPassport}</w:t>
            </w:r>
          </w:p>
          <w:p>
            <w:pPr>
              <w:pStyle w:val="Normal"/>
              <w:widowControl w:val="false"/>
              <w:suppressAutoHyphens w:val="true"/>
              <w:spacing w:lineRule="auto" w:line="240" w:before="0" w:after="0"/>
              <w:jc w:val="left"/>
              <w:rPr>
                <w:kern w:val="0"/>
                <w:lang w:val="ru-RU" w:bidi="ar-SA"/>
              </w:rPr>
            </w:pPr>
            <w:r>
              <w:rPr>
                <w:kern w:val="0"/>
                <w:lang w:val="ru-RU" w:bidi="ar-SA"/>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tc>
        <w:tc>
          <w:tcPr>
            <w:tcW w:w="477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en-US"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en-US" w:eastAsia="ru-RU" w:bidi="ar-SA"/>
              </w:rPr>
              <w:t>{</w:t>
            </w:r>
            <w:r>
              <w:rPr>
                <w:rFonts w:eastAsia="Times New Roman" w:cs="Times New Roman" w:ascii="Times New Roman" w:hAnsi="Times New Roman"/>
                <w:b/>
                <w:bCs/>
                <w:kern w:val="0"/>
                <w:sz w:val="20"/>
                <w:szCs w:val="20"/>
                <w:u w:val="single"/>
                <w:lang w:val="en-US" w:eastAsia="en-US" w:bidi="ar-SA"/>
              </w:rPr>
              <w:t>ContractMonthKAZ</w:t>
            </w:r>
            <w:r>
              <w:rPr>
                <w:rFonts w:eastAsia="Times New Roman" w:cs="Times New Roman" w:ascii="Times New Roman" w:hAnsi="Times New Roman"/>
                <w:b/>
                <w:bCs/>
                <w:kern w:val="0"/>
                <w:sz w:val="20"/>
                <w:szCs w:val="20"/>
                <w:lang w:val="en-US"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ru-RU" w:bidi="ar-SA"/>
              </w:rPr>
              <w:t>«</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xml:space="preserve">» (ТАМОС ЭДЬЮКЕЙШН) </w:t>
            </w:r>
            <w:r>
              <w:rPr>
                <w:rFonts w:eastAsia="Times New Roman" w:cs="Times New Roman" w:ascii="Times New Roman" w:hAnsi="Times New Roman"/>
                <w:kern w:val="0"/>
                <w:sz w:val="20"/>
                <w:szCs w:val="20"/>
                <w:lang w:val="ru-RU" w:eastAsia="en-US" w:bidi="ar-SA"/>
              </w:rPr>
              <w:t>Жауапкерш</w:t>
            </w:r>
            <w:r>
              <w:rPr>
                <w:rFonts w:eastAsia="Times New Roman" w:cs="Times New Roman" w:ascii="Times New Roman" w:hAnsi="Times New Roman"/>
                <w:kern w:val="0"/>
                <w:sz w:val="20"/>
                <w:szCs w:val="20"/>
                <w:lang w:val="kk-KZ" w:eastAsia="en-US" w:bidi="ar-SA"/>
              </w:rPr>
              <w:t xml:space="preserve">ілігі </w:t>
            </w:r>
            <w:r>
              <w:rPr>
                <w:rFonts w:eastAsia="Times New Roman" w:cs="Times New Roman" w:ascii="Times New Roman" w:hAnsi="Times New Roman"/>
                <w:kern w:val="0"/>
                <w:sz w:val="20"/>
                <w:szCs w:val="20"/>
                <w:lang w:val="ru-RU" w:eastAsia="en-US" w:bidi="ar-SA"/>
              </w:rPr>
              <w:t>ш</w:t>
            </w:r>
            <w:r>
              <w:rPr>
                <w:rFonts w:eastAsia="Times New Roman" w:cs="Times New Roman" w:ascii="Times New Roman" w:hAnsi="Times New Roman"/>
                <w:kern w:val="0"/>
                <w:sz w:val="20"/>
                <w:szCs w:val="20"/>
                <w:lang w:val="kk-KZ" w:eastAsia="en-US" w:bidi="ar-SA"/>
              </w:rPr>
              <w:t xml:space="preserve">ектеулі </w:t>
            </w:r>
            <w:r>
              <w:rPr>
                <w:rFonts w:eastAsia="Times New Roman" w:cs="Times New Roman" w:ascii="Times New Roman" w:hAnsi="Times New Roman"/>
                <w:kern w:val="0"/>
                <w:sz w:val="20"/>
                <w:szCs w:val="20"/>
                <w:lang w:val="ru-RU" w:eastAsia="en-US" w:bidi="ar-SA"/>
              </w:rPr>
              <w:t>с</w:t>
            </w:r>
            <w:r>
              <w:rPr>
                <w:rFonts w:eastAsia="Times New Roman" w:cs="Times New Roman" w:ascii="Times New Roman" w:hAnsi="Times New Roman"/>
                <w:kern w:val="0"/>
                <w:sz w:val="20"/>
                <w:szCs w:val="20"/>
                <w:lang w:val="kk-KZ" w:eastAsia="en-US" w:bidi="ar-SA"/>
              </w:rPr>
              <w:t>еріктестік</w:t>
            </w:r>
            <w:r>
              <w:rPr>
                <w:rFonts w:eastAsia="Times New Roman" w:cs="Times New Roman" w:ascii="Times New Roman" w:hAnsi="Times New Roman"/>
                <w:kern w:val="0"/>
                <w:sz w:val="20"/>
                <w:szCs w:val="20"/>
                <w:lang w:val="ru-RU" w:eastAsia="en-US" w:bidi="ar-SA"/>
              </w:rPr>
              <w:t xml:space="preserve">, білім беру қызметімен айналысу құқығына </w:t>
            </w:r>
            <w:r>
              <w:rPr>
                <w:rFonts w:eastAsia="Times New Roman" w:cs="Times New Roman" w:ascii="Times New Roman" w:hAnsi="Times New Roman"/>
                <w:kern w:val="0"/>
                <w:sz w:val="20"/>
                <w:szCs w:val="20"/>
                <w:lang w:val="ru-RU" w:eastAsia="ru-RU" w:bidi="ar-SA"/>
              </w:rPr>
              <w:t xml:space="preserve">20.12.2022 </w:t>
            </w:r>
            <w:r>
              <w:rPr>
                <w:rFonts w:eastAsia="Times New Roman" w:cs="Times New Roman" w:ascii="Times New Roman" w:hAnsi="Times New Roman"/>
                <w:kern w:val="0"/>
                <w:sz w:val="20"/>
                <w:szCs w:val="20"/>
                <w:lang w:val="ru-RU" w:eastAsia="en-US" w:bidi="ar-SA"/>
              </w:rPr>
              <w:t>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w:t>
            </w:r>
            <w:r>
              <w:rPr>
                <w:rFonts w:eastAsia="Calibri" w:cs="Times New Roman" w:ascii="Times New Roman" w:hAnsi="Times New Roman"/>
                <w:kern w:val="0"/>
                <w:sz w:val="20"/>
                <w:szCs w:val="20"/>
                <w:lang w:val="ru-RU" w:eastAsia="en-US" w:bidi="ar-SA"/>
              </w:rPr>
              <w:t>KZ27LAA00032986</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М.С. </w:t>
            </w:r>
            <w:r>
              <w:rPr>
                <w:rFonts w:eastAsia="Times New Roman" w:cs="Times New Roman" w:ascii="Times New Roman" w:hAnsi="Times New Roman"/>
                <w:kern w:val="0"/>
                <w:sz w:val="20"/>
                <w:szCs w:val="20"/>
                <w:lang w:val="ru-RU" w:eastAsia="en-US" w:bidi="ar-SA"/>
              </w:rPr>
              <w:t>Омаров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2025-2026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rStyle w:val="ListLabel83"/>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rStyle w:val="ListLabel83"/>
                <w:sz w:val="20"/>
                <w:spacing w:val="2"/>
                <w:kern w:val="0"/>
                <w:szCs w:val="20"/>
                <w:rFonts w:eastAsia="Times New Roman" w:cs="Times New Roman" w:ascii="Times New Roman" w:hAnsi="Times New Roman"/>
                <w:lang w:val="ru-RU" w:eastAsia="en-US" w:bidi="ar-SA"/>
              </w:rPr>
              <w:fldChar w:fldCharType="separate"/>
            </w:r>
            <w:r>
              <w:rPr>
                <w:rStyle w:val="ListLabel83"/>
                <w:rFonts w:eastAsia="Times New Roman" w:cs="Times New Roman" w:ascii="Times New Roman" w:hAnsi="Times New Roman"/>
                <w:spacing w:val="2"/>
                <w:kern w:val="0"/>
                <w:sz w:val="20"/>
                <w:szCs w:val="20"/>
                <w:lang w:val="ru-RU" w:eastAsia="en-US" w:bidi="ar-SA"/>
              </w:rPr>
              <w:t>;</w:t>
            </w:r>
            <w:r>
              <w:rPr>
                <w:rStyle w:val="ListLabel83"/>
                <w:sz w:val="20"/>
                <w:spacing w:val="2"/>
                <w:kern w:val="0"/>
                <w:szCs w:val="20"/>
                <w:rFonts w:eastAsia="Times New Roman" w:cs="Times New Roman" w:ascii="Times New Roman" w:hAnsi="Times New Roman"/>
                <w:lang w:val="ru-RU" w:eastAsia="en-US" w:bidi="ar-SA"/>
              </w:rPr>
              <w:fldChar w:fldCharType="end"/>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дұрыс қарауға, олардың абыройы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дәстүрін құрметтеуге;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eastAsia="ru-RU"/>
              </w:rPr>
              <w:t>({ContractAmountWithDiscountWordsKaz})</w:t>
            </w:r>
            <w:r>
              <w:rPr>
                <w:rFonts w:eastAsia="Times New Roman" w:cs="Times New Roman" w:ascii="Times New Roman" w:hAnsi="Times New Roman"/>
                <w:i w:val="false"/>
                <w:iCs w:val="false"/>
                <w:sz w:val="20"/>
                <w:szCs w:val="20"/>
                <w:lang w:val="kk-KZ"/>
              </w:rPr>
              <w:t xml:space="preserve"> теңге құрайды.</w:t>
            </w:r>
          </w:p>
          <w:p>
            <w:pPr>
              <w:pStyle w:val="Normal"/>
              <w:widowControl/>
              <w:numPr>
                <w:ilvl w:val="1"/>
                <w:numId w:val="4"/>
              </w:numPr>
              <w:tabs>
                <w:tab w:val="clear" w:pos="708"/>
                <w:tab w:val="left" w:pos="703" w:leader="none"/>
              </w:tabs>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numPr>
                <w:ilvl w:val="1"/>
                <w:numId w:val="4"/>
              </w:numPr>
              <w:suppressAutoHyphens w:val="true"/>
              <w:spacing w:lineRule="auto" w:line="240" w:before="0" w:after="0"/>
              <w:ind w:hanging="0" w:left="34"/>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numPr>
                <w:ilvl w:val="1"/>
                <w:numId w:val="4"/>
              </w:numPr>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Courier New" w:ascii="inherit" w:hAnsi="inherit"/>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 xml:space="preserve">{ContractContr}  </w:t>
            </w:r>
            <w:r>
              <w:rPr>
                <w:rFonts w:eastAsia="Calibri"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u w:val="single"/>
                <w:lang w:val="kk-KZ"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suppressAutoHyphens w:val="true"/>
              <w:spacing w:lineRule="auto" w:line="240" w:before="0" w:after="0"/>
              <w:ind w:left="72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tabs>
                <w:tab w:val="clear" w:pos="708"/>
                <w:tab w:val="left" w:pos="743" w:leader="none"/>
              </w:tabs>
              <w:suppressAutoHyphens w:val="true"/>
              <w:spacing w:lineRule="auto" w:line="240" w:before="0" w:after="0"/>
              <w:ind w:left="34"/>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ListParagraph"/>
              <w:numPr>
                <w:ilvl w:val="0"/>
                <w:numId w:val="3"/>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suppressAutoHyphens w:val="true"/>
              <w:spacing w:beforeAutospacing="0" w:before="0" w:afterAutospacing="0" w:after="0"/>
              <w:jc w:val="both"/>
              <w:rPr>
                <w:sz w:val="20"/>
                <w:szCs w:val="20"/>
              </w:rPr>
            </w:pPr>
            <w:r>
              <w:rPr>
                <w:sz w:val="20"/>
                <w:szCs w:val="20"/>
              </w:rPr>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8"/>
              </w:numPr>
              <w:tabs>
                <w:tab w:val="clear" w:pos="708"/>
                <w:tab w:val="left" w:pos="454" w:leader="none"/>
              </w:tabs>
              <w:suppressAutoHyphens w:val="true"/>
              <w:spacing w:beforeAutospacing="0" w:before="0" w:afterAutospacing="0" w:after="0"/>
              <w:ind w:hanging="0" w:left="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numPr>
                <w:ilvl w:val="1"/>
                <w:numId w:val="8"/>
              </w:numPr>
              <w:suppressAutoHyphens w:val="true"/>
              <w:spacing w:beforeAutospacing="0" w:before="0" w:afterAutospacing="0" w:after="0"/>
              <w:ind w:hanging="0" w:left="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val="kk-KZ"/>
              </w:rPr>
            </w:pPr>
            <w:r>
              <w:rPr/>
            </w:r>
          </w:p>
          <w:p>
            <w:pPr>
              <w:pStyle w:val="ListParagraph"/>
              <w:numPr>
                <w:ilvl w:val="0"/>
                <w:numId w:val="8"/>
              </w:numPr>
              <w:suppressAutoHyphens w:val="true"/>
              <w:spacing w:before="0" w:after="0"/>
              <w:contextualSpacing/>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suppressAutoHyphens w:val="true"/>
              <w:spacing w:before="0" w:after="0"/>
              <w:ind w:left="36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М.О.</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sz w:val="20"/>
                <w:szCs w:val="20"/>
                <w:u w:val="single"/>
                <w:lang w:val="kk-KZ" w:eastAsia="ru-RU"/>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r>
        <w:trPr>
          <w:trHeight w:val="301" w:hRule="atLeast"/>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tc>
        <w:tc>
          <w:tcPr>
            <w:tcW w:w="477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widowControl w:val="false"/>
        <w:spacing w:lineRule="auto" w:line="240" w:before="0" w:after="0"/>
        <w:rPr>
          <w:color w:val="000000"/>
          <w:lang w:val="kk-KZ"/>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isLgl/>
      <w:numFmt w:val="decimal"/>
      <w:lvlText w:val="%1.%2."/>
      <w:lvlJc w:val="left"/>
      <w:pPr>
        <w:tabs>
          <w:tab w:val="num" w:pos="0"/>
        </w:tabs>
        <w:ind w:left="1065" w:hanging="705"/>
      </w:pPr>
      <w:rPr>
        <w:color w:val="000000"/>
      </w:rPr>
    </w:lvl>
    <w:lvl w:ilvl="2">
      <w:start w:val="1"/>
      <w:isLgl/>
      <w:numFmt w:val="decimal"/>
      <w:lvlText w:val="%1.%2.%3."/>
      <w:lvlJc w:val="left"/>
      <w:pPr>
        <w:tabs>
          <w:tab w:val="num" w:pos="0"/>
        </w:tabs>
        <w:ind w:left="1080" w:hanging="720"/>
      </w:pPr>
      <w:rPr>
        <w:color w:val="000000"/>
      </w:rPr>
    </w:lvl>
    <w:lvl w:ilvl="3">
      <w:start w:val="1"/>
      <w:isLgl/>
      <w:numFmt w:val="decimal"/>
      <w:lvlText w:val="%1.%2.%3.%4."/>
      <w:lvlJc w:val="left"/>
      <w:pPr>
        <w:tabs>
          <w:tab w:val="num" w:pos="0"/>
        </w:tabs>
        <w:ind w:left="1080" w:hanging="720"/>
      </w:pPr>
      <w:rPr>
        <w:color w:val="000000"/>
      </w:rPr>
    </w:lvl>
    <w:lvl w:ilvl="4">
      <w:start w:val="1"/>
      <w:isLgl/>
      <w:numFmt w:val="decimal"/>
      <w:lvlText w:val="%1.%2.%3.%4.%5."/>
      <w:lvlJc w:val="left"/>
      <w:pPr>
        <w:tabs>
          <w:tab w:val="num" w:pos="0"/>
        </w:tabs>
        <w:ind w:left="1440" w:hanging="1080"/>
      </w:pPr>
      <w:rPr>
        <w:color w:val="000000"/>
      </w:rPr>
    </w:lvl>
    <w:lvl w:ilvl="5">
      <w:start w:val="1"/>
      <w:isLgl/>
      <w:numFmt w:val="decimal"/>
      <w:lvlText w:val="%1.%2.%3.%4.%5.%6."/>
      <w:lvlJc w:val="left"/>
      <w:pPr>
        <w:tabs>
          <w:tab w:val="num" w:pos="0"/>
        </w:tabs>
        <w:ind w:left="1440" w:hanging="1080"/>
      </w:pPr>
      <w:rPr>
        <w:color w:val="000000"/>
      </w:rPr>
    </w:lvl>
    <w:lvl w:ilvl="6">
      <w:start w:val="1"/>
      <w:isLgl/>
      <w:numFmt w:val="decimal"/>
      <w:lvlText w:val="%1.%2.%3.%4.%5.%6.%7."/>
      <w:lvlJc w:val="left"/>
      <w:pPr>
        <w:tabs>
          <w:tab w:val="num" w:pos="0"/>
        </w:tabs>
        <w:ind w:left="1800" w:hanging="1440"/>
      </w:pPr>
      <w:rPr>
        <w:color w:val="000000"/>
      </w:rPr>
    </w:lvl>
    <w:lvl w:ilvl="7">
      <w:start w:val="1"/>
      <w:isLgl/>
      <w:numFmt w:val="decimal"/>
      <w:lvlText w:val="%1.%2.%3.%4.%5.%6.%7.%8."/>
      <w:lvlJc w:val="left"/>
      <w:pPr>
        <w:tabs>
          <w:tab w:val="num" w:pos="0"/>
        </w:tabs>
        <w:ind w:left="1800" w:hanging="1440"/>
      </w:pPr>
      <w:rPr>
        <w:color w:val="000000"/>
      </w:rPr>
    </w:lvl>
    <w:lvl w:ilvl="8">
      <w:start w:val="1"/>
      <w:isLgl/>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600" w:hanging="108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9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c509c1"/>
    <w:rPr>
      <w:rFonts w:ascii="Consolas" w:hAnsi="Consolas" w:cs="Consolas"/>
      <w:sz w:val="20"/>
      <w:szCs w:val="20"/>
    </w:rPr>
  </w:style>
  <w:style w:type="character" w:styleId="userinput1" w:customStyle="1">
    <w:name w:val="user_input1"/>
    <w:basedOn w:val="DefaultParagraphFont"/>
    <w:qFormat/>
    <w:rsid w:val="00c509c1"/>
    <w:rPr>
      <w:color w:val="0A46C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c509c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c509c1"/>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c509c1"/>
    <w:pPr>
      <w:widowControl w:val="false"/>
      <w:spacing w:lineRule="auto" w:line="240" w:before="0" w:after="0"/>
      <w:ind w:left="720"/>
      <w:contextualSpacing/>
    </w:pPr>
    <w:rPr>
      <w:rFonts w:ascii="Courier New" w:hAnsi="Courier New" w:eastAsia="Courier New" w:cs="Courier New"/>
      <w:color w:val="000000"/>
      <w:sz w:val="24"/>
      <w:szCs w:val="24"/>
      <w:lang w:eastAsia="ru-RU" w:bidi="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c509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LibreOffice/24.2.7.2$Linux_X86_64 LibreOffice_project/420$Build-2</Application>
  <AppVersion>15.0000</AppVersion>
  <Pages>12</Pages>
  <Words>6385</Words>
  <Characters>46069</Characters>
  <CharactersWithSpaces>52390</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2025-05-26T04:55:00Z</dcterms:created>
  <dc:creator>admin</dc:creator>
  <dc:description/>
  <dc:language>en-US</dc:language>
  <cp:lastModifiedBy/>
  <dcterms:modified xsi:type="dcterms:W3CDTF">2025-09-19T04:53:44Z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