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shd w:fill="auto" w:val="clear"/>
                <w:lang w:val="en-US" w:eastAsia="ru-RU" w:bidi="ar-SA"/>
              </w:rPr>
              <w:t>{ContractMonthRUS}</w:t>
            </w:r>
            <w:r>
              <w:rPr>
                <w:rFonts w:eastAsia="Times New Roman" w:cs="Times New Roman" w:ascii="Times New Roman" w:hAnsi="Times New Roman"/>
                <w:b/>
                <w:bCs/>
                <w:kern w:val="0"/>
                <w:sz w:val="20"/>
                <w:szCs w:val="20"/>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 </w:t>
            </w:r>
            <w:r>
              <w:rPr>
                <w:rFonts w:eastAsia="Calibri" w:cs="Times New Roman" w:ascii="Times New Roman" w:hAnsi="Times New Roman"/>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2025-202</w:t>
            </w:r>
            <w:r>
              <w:rPr>
                <w:rFonts w:eastAsia="Times New Roman" w:cs="Times New Roman" w:ascii="Times New Roman" w:hAnsi="Times New Roman"/>
                <w:b/>
                <w:kern w:val="0"/>
                <w:sz w:val="20"/>
                <w:szCs w:val="20"/>
                <w:lang w:val="kk-KZ" w:eastAsia="ru-RU" w:bidi="ar-SA"/>
              </w:rPr>
              <w:t>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91"/>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91"/>
                <w:sz w:val="20"/>
                <w:spacing w:val="2"/>
                <w:kern w:val="0"/>
                <w:szCs w:val="20"/>
                <w:rFonts w:eastAsia="Times New Roman" w:cs="Times New Roman" w:ascii="Times New Roman" w:hAnsi="Times New Roman"/>
                <w:lang w:val="ru-RU" w:eastAsia="ru-RU" w:bidi="ar-SA"/>
              </w:rPr>
              <w:fldChar w:fldCharType="separate"/>
            </w:r>
            <w:r>
              <w:rPr>
                <w:rStyle w:val="ListLabel91"/>
                <w:rFonts w:eastAsia="Times New Roman" w:cs="Times New Roman" w:ascii="Times New Roman" w:hAnsi="Times New Roman"/>
                <w:spacing w:val="2"/>
                <w:kern w:val="0"/>
                <w:sz w:val="20"/>
                <w:szCs w:val="20"/>
                <w:lang w:val="ru-RU" w:eastAsia="ru-RU" w:bidi="ar-SA"/>
              </w:rPr>
              <w:t>Закона</w:t>
            </w:r>
            <w:r>
              <w:rPr>
                <w:rStyle w:val="ListLabel91"/>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2025 года по 25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26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13 часов 15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2"/>
              </w:numPr>
              <w:suppressAutoHyphens w:val="true"/>
              <w:spacing w:before="0" w:after="0"/>
              <w:ind w:hanging="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2025-2026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i w:val="false"/>
                <w:iCs w:val="false"/>
                <w:kern w:val="0"/>
                <w:sz w:val="20"/>
                <w:szCs w:val="20"/>
                <w:u w:val="single"/>
                <w:lang w:val="ru-RU" w:eastAsia="ru-RU" w:bidi="ar-SA"/>
              </w:rPr>
              <w:t xml:space="preserve">({ContractAmountWithDiscountWords}) </w:t>
            </w:r>
            <w:r>
              <w:rPr>
                <w:rFonts w:eastAsia="Times New Roman" w:cs="Times New Roman" w:ascii="Times New Roman" w:hAnsi="Times New Roman"/>
                <w:i w:val="false"/>
                <w:iCs w:val="false"/>
                <w:kern w:val="0"/>
                <w:sz w:val="20"/>
                <w:szCs w:val="20"/>
                <w:lang w:val="ru-RU" w:eastAsia="ru-RU" w:bidi="ar-SA"/>
              </w:rPr>
              <w:t>тенге.</w:t>
            </w:r>
          </w:p>
          <w:p>
            <w:pPr>
              <w:pStyle w:val="ListParagraph"/>
              <w:numPr>
                <w:ilvl w:val="1"/>
                <w:numId w:val="9"/>
              </w:numPr>
              <w:suppressAutoHyphens w:val="true"/>
              <w:spacing w:before="0" w:after="0"/>
              <w:ind w:hanging="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rPr>
              <w:t xml:space="preserve"> В случае предварительной оплаты Заказчиком за весь 2025-2026 год обучения, стоимость обучения изменению не подлежит.</w:t>
            </w:r>
          </w:p>
          <w:p>
            <w:pPr>
              <w:pStyle w:val="Normal"/>
              <w:widowControl/>
              <w:numPr>
                <w:ilvl w:val="1"/>
                <w:numId w:val="9"/>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 xml:space="preserve">Оплата за </w:t>
            </w:r>
            <w:r>
              <w:rPr>
                <w:rFonts w:eastAsia="Times New Roman" w:cs="Times New Roman" w:ascii="Times New Roman" w:hAnsi="Times New Roman"/>
                <w:kern w:val="0"/>
                <w:sz w:val="20"/>
                <w:szCs w:val="20"/>
                <w:lang w:val="kk-KZ" w:eastAsia="en-US" w:bidi="ar-SA"/>
              </w:rPr>
              <w:t>обучение</w:t>
            </w:r>
            <w:r>
              <w:rPr>
                <w:rFonts w:eastAsia="Times New Roman" w:cs="Times New Roman" w:ascii="Times New Roman" w:hAnsi="Times New Roman"/>
                <w:kern w:val="0"/>
                <w:sz w:val="20"/>
                <w:szCs w:val="20"/>
                <w:lang w:val="ru-RU" w:eastAsia="en-US" w:bidi="ar-SA"/>
              </w:rPr>
              <w:t xml:space="preserve">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2025-2026 учебный год в срок до 01 июня 2025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2025-2026 учебный год в срок до 01 сентября 2025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kk-KZ"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9"/>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021202660159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w:t>
            </w:r>
            <w:r>
              <w:rPr>
                <w:rFonts w:eastAsia="Times New Roman" w:cs="Times New Roman" w:ascii="Times New Roman" w:hAnsi="Times New Roman"/>
                <w:kern w:val="0"/>
                <w:sz w:val="20"/>
                <w:szCs w:val="20"/>
                <w:lang w:val="kk-KZ" w:eastAsia="ru-RU" w:bidi="ar-SA"/>
              </w:rPr>
              <w:t xml:space="preserve">№ </w:t>
            </w:r>
            <w:r>
              <w:rPr>
                <w:rFonts w:eastAsia="Calibri"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w:t>
            </w:r>
            <w:r>
              <w:rPr>
                <w:rFonts w:eastAsia="Times New Roman" w:cs="Times New Roman" w:ascii="Times New Roman" w:hAnsi="Times New Roman"/>
                <w:b/>
                <w:kern w:val="0"/>
                <w:sz w:val="20"/>
                <w:szCs w:val="20"/>
                <w:lang w:val="kk-KZ" w:eastAsia="en-US" w:bidi="ar-SA"/>
              </w:rPr>
              <w:t>6</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92"/>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92"/>
                <w:sz w:val="20"/>
                <w:spacing w:val="2"/>
                <w:kern w:val="0"/>
                <w:szCs w:val="20"/>
                <w:rFonts w:eastAsia="Times New Roman" w:cs="Times New Roman" w:ascii="Times New Roman" w:hAnsi="Times New Roman"/>
                <w:lang w:val="ru-RU" w:eastAsia="en-US" w:bidi="ar-SA"/>
              </w:rPr>
              <w:fldChar w:fldCharType="separate"/>
            </w:r>
            <w:r>
              <w:rPr>
                <w:rStyle w:val="ListLabel92"/>
                <w:rFonts w:eastAsia="Times New Roman" w:cs="Times New Roman" w:ascii="Times New Roman" w:hAnsi="Times New Roman"/>
                <w:spacing w:val="2"/>
                <w:kern w:val="0"/>
                <w:sz w:val="20"/>
                <w:szCs w:val="20"/>
                <w:lang w:val="ru-RU" w:eastAsia="en-US" w:bidi="ar-SA"/>
              </w:rPr>
              <w:t>;</w:t>
            </w:r>
            <w:r>
              <w:rPr>
                <w:rStyle w:val="ListLabel92"/>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 xml:space="preserve"> жылғы 25 мамырға дейінгі кезеңге бес күндік оқу аптасы режимінде Білім беру ұйымында 08 сағат 30 минуттан 13 сағат 15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ұйымының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w:t>
            </w:r>
            <w:bookmarkStart w:id="11" w:name="_GoBack"/>
            <w:bookmarkEnd w:id="11"/>
            <w:r>
              <w:rPr>
                <w:rFonts w:eastAsia="Times New Roman" w:cs="Times New Roman" w:ascii="Times New Roman" w:hAnsi="Times New Roman"/>
                <w:kern w:val="0"/>
                <w:sz w:val="20"/>
                <w:szCs w:val="20"/>
                <w:lang w:val="kk-KZ" w:eastAsia="ru-RU" w:bidi="ar-SA"/>
              </w:rPr>
              <w:t>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val="kk-KZ"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Times New Roman" w:ascii="Times New Roman" w:hAnsi="Times New Roman"/>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Банктік деректемелер (бар болса) __________________________________________________________________________________________</w:t>
            </w:r>
          </w:p>
        </w:tc>
      </w:tr>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kk-KZ"/>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Style14" w:customStyle="1">
    <w:name w:val="Текст выноски Знак"/>
    <w:basedOn w:val="DefaultParagraphFont"/>
    <w:link w:val="BalloonText"/>
    <w:uiPriority w:val="99"/>
    <w:semiHidden/>
    <w:qFormat/>
    <w:rsid w:val="00ee6c27"/>
    <w:rPr>
      <w:rFonts w:ascii="Segoe UI" w:hAnsi="Segoe UI" w:cs="Segoe UI"/>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BalloonText">
    <w:name w:val="Balloon Text"/>
    <w:basedOn w:val="Normal"/>
    <w:link w:val="Style14"/>
    <w:uiPriority w:val="99"/>
    <w:semiHidden/>
    <w:unhideWhenUsed/>
    <w:qFormat/>
    <w:rsid w:val="00ee6c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12</Pages>
  <Words>6407</Words>
  <Characters>46235</Characters>
  <CharactersWithSpaces>52572</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2025-05-30T07:13:00Z</dcterms:created>
  <dc:creator>admin</dc:creator>
  <dc:description/>
  <dc:language>en-US</dc:language>
  <cp:lastModifiedBy/>
  <cp:lastPrinted>2024-11-18T04:47:00Z</cp:lastPrinted>
  <dcterms:modified xsi:type="dcterms:W3CDTF">2025-09-19T05:10:55Z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