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5"/>
        <w:jc w:val="left"/>
        <w:rPr>
          <w:u w:val="none"/>
        </w:rPr>
      </w:pPr>
      <w:r>
        <w:rPr>
          <w:sz w:val="12"/>
          <w:szCs w:val="12"/>
          <w:u w:val="none"/>
        </w:rPr>
        <w:t>{police_kaz}</w:t>
      </w:r>
    </w:p>
    <w:p>
      <w:pPr>
        <w:pStyle w:val="Style15"/>
        <w:jc w:val="left"/>
        <w:rPr>
          <w:u w:val="none"/>
        </w:rPr>
      </w:pPr>
      <w:r>
        <w:rPr>
          <w:color w:val="000000"/>
          <w:sz w:val="12"/>
          <w:szCs w:val="12"/>
          <w:u w:val="none"/>
        </w:rPr>
        <w:t>{police_rus}</w:t>
      </w:r>
    </w:p>
    <w:tbl>
      <w:tblPr>
        <w:tblStyle w:val="a3"/>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84"/>
      </w:tblGrid>
      <w:tr>
        <w:trPr/>
        <w:tc>
          <w:tcPr>
            <w:tcW w:w="4786"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дополнительных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suppressAutoHyphens w:val="true"/>
              <w:spacing w:lineRule="auto" w:line="240" w:before="0" w:after="0"/>
              <w:jc w:val="both"/>
              <w:rPr>
                <w:kern w:val="0"/>
                <w:lang w:val="ru-RU" w:bidi="ar-SA"/>
              </w:rPr>
            </w:pPr>
            <w:r>
              <w:rPr>
                <w:rFonts w:eastAsia="Times New Roman" w:cs="Times New Roman" w:ascii="Times New Roman" w:hAnsi="Times New Roman"/>
                <w:b/>
                <w:bCs/>
                <w:sz w:val="20"/>
                <w:szCs w:val="20"/>
                <w:lang w:eastAsia="ru-RU"/>
              </w:rPr>
              <w:t>г. Алматы</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lang w:val="kk-KZ"/>
              </w:rPr>
              <w:t xml:space="preserve">               </w:t>
            </w:r>
            <w:r>
              <w:rPr>
                <w:rFonts w:eastAsia="Times New Roman" w:cs="Times New Roman" w:ascii="Times New Roman" w:hAnsi="Times New Roman"/>
                <w:b/>
                <w:bCs/>
                <w:sz w:val="20"/>
                <w:szCs w:val="20"/>
                <w:lang w:eastAsia="ru-RU"/>
              </w:rPr>
              <w:t>«</w:t>
            </w:r>
            <w:r>
              <w:rPr>
                <w:rFonts w:eastAsia="Times New Roman" w:cs="Times New Roman" w:ascii="Times New Roman" w:hAnsi="Times New Roman"/>
                <w:b/>
                <w:bCs/>
                <w:sz w:val="20"/>
                <w:szCs w:val="20"/>
                <w:u w:val="single"/>
                <w:lang w:eastAsia="ru-RU"/>
              </w:rPr>
              <w:t>{ContractDay}</w:t>
            </w:r>
            <w:r>
              <w:rPr>
                <w:rFonts w:eastAsia="Times New Roman" w:cs="Times New Roman" w:ascii="Times New Roman" w:hAnsi="Times New Roman"/>
                <w:b/>
                <w:bCs/>
                <w:sz w:val="20"/>
                <w:szCs w:val="20"/>
                <w:lang w:eastAsia="ru-RU"/>
              </w:rPr>
              <w:t>» {ContractMonthRUS}</w:t>
            </w:r>
            <w:r>
              <w:rPr>
                <w:rFonts w:eastAsia="Times New Roman" w:cs="Times New Roman" w:ascii="Times New Roman" w:hAnsi="Times New Roman"/>
                <w:b/>
                <w:bCs/>
                <w:sz w:val="20"/>
                <w:szCs w:val="20"/>
                <w:u w:val="none"/>
                <w:lang w:eastAsia="ru-RU"/>
              </w:rPr>
              <w:t xml:space="preserve"> </w:t>
            </w:r>
            <w:r>
              <w:rPr>
                <w:rFonts w:eastAsia="Times New Roman" w:cs="Times New Roman" w:ascii="Times New Roman" w:hAnsi="Times New Roman"/>
                <w:b/>
                <w:bCs/>
                <w:sz w:val="20"/>
                <w:szCs w:val="20"/>
                <w:u w:val="single"/>
                <w:lang w:val="kk-KZ"/>
              </w:rPr>
              <w:t>{ContractYear}</w:t>
            </w:r>
            <w:r>
              <w:rPr>
                <w:rFonts w:eastAsia="Times New Roman" w:cs="Times New Roman" w:ascii="Times New Roman" w:hAnsi="Times New Roman"/>
                <w:b/>
                <w:bCs/>
                <w:sz w:val="20"/>
                <w:szCs w:val="20"/>
                <w:lang w:eastAsia="ru-RU"/>
              </w:rPr>
              <w:t xml:space="preserve"> 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0103167</w:t>
            </w:r>
            <w:r>
              <w:rPr>
                <w:rFonts w:eastAsia="Times New Roman" w:cs="Times New Roman" w:ascii="Times New Roman" w:hAnsi="Times New Roman"/>
                <w:kern w:val="0"/>
                <w:sz w:val="20"/>
                <w:szCs w:val="20"/>
                <w:lang w:val="ru-RU" w:eastAsia="ru-RU" w:bidi="ar-SA"/>
              </w:rPr>
              <w:t xml:space="preserve"> выдана 13.08.2009г.,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Заказчик поручает и оплачивает, а Организация образования принимает на себя обязательства по оказанию обучающемуся в 2023-2024 учебном году дополнительных образовательных услуг, указанных в Приложении № 2 к настоящему Договору (далее – Услуги).</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 xml:space="preserve">оказать Услуги в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2)</w:t>
              <w:tab/>
            </w:r>
            <w:r>
              <w:rPr>
                <w:rFonts w:eastAsia="Times New Roman" w:cs="Times New Roman" w:ascii="Times New Roman" w:hAnsi="Times New Roman"/>
                <w:kern w:val="0"/>
                <w:sz w:val="20"/>
                <w:szCs w:val="20"/>
                <w:lang w:val="ru-RU" w:eastAsia="ru-RU" w:bidi="ar-SA"/>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4)</w:t>
              <w:tab/>
              <w:t xml:space="preserve">в процессе оказания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 процессе оказания Услуг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расторгнуть в одностороннем порядке Договор по следующим причинам: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Услуги в нарушение предусмотренных Договором сроков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5)</w:t>
              <w:tab/>
              <w:t xml:space="preserve">в обязательном порядке в период получения Услуг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11)</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13)</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14)</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Услуги по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Услуг по Договору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Услуг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{ContractDopAmount}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w:t>
            </w:r>
            <w:r>
              <w:rPr>
                <w:rFonts w:eastAsia="Times New Roman" w:cs="Times New Roman" w:ascii="Times New Roman" w:hAnsi="Times New Roman"/>
                <w:kern w:val="0"/>
                <w:sz w:val="20"/>
                <w:szCs w:val="20"/>
                <w:lang w:val="ru-RU" w:eastAsia="ru-RU" w:bidi="ar-SA"/>
              </w:rPr>
              <w:t>) тенге.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3.4.</w:t>
              <w:tab/>
            </w:r>
            <w:r>
              <w:rPr>
                <w:rFonts w:eastAsia="Times New Roman" w:cs="Times New Roman" w:ascii="Times New Roman" w:hAnsi="Times New Roman"/>
                <w:kern w:val="0"/>
                <w:sz w:val="20"/>
                <w:szCs w:val="20"/>
                <w:lang w:val="ru-RU" w:eastAsia="en-US" w:bidi="ar-SA"/>
              </w:rPr>
              <w:t>Оплата за Услуги производится Заказчиком единовременно либо по графику, указанному в Приложении №1 к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3.5. </w:t>
              <w:tab/>
              <w:t>В случае предварительной оплаты Заказчиком за Услуги за весь 2023-2024 учебный год в срок до 01 июня 2023 года, Заказчику предоставляется скидка в размере 7 (семи)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за Услуги за весь 2023-2024 учебный год в срок до 01 сентября 2023 года, Заказчику предоставляется скидка в размере 5 (пяти)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3.6.</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bookmarkStart w:id="5" w:name="z29"/>
            <w:bookmarkEnd w:id="4"/>
            <w:bookmarkEnd w:id="5"/>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2"/>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KZ74965T021202660159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xml:space="preserve"> </w:t>
            </w:r>
            <w:r>
              <w:rPr>
                <w:kern w:val="0"/>
                <w:sz w:val="20"/>
                <w:szCs w:val="20"/>
                <w:lang w:val="ru-RU" w:bidi="ar-SA"/>
              </w:rPr>
              <w:t>АО</w:t>
            </w:r>
            <w:r>
              <w:rPr>
                <w:kern w:val="0"/>
                <w:sz w:val="20"/>
                <w:szCs w:val="20"/>
                <w:lang w:val="en-US" w:bidi="ar-SA"/>
              </w:rPr>
              <w:t xml:space="preserve"> «ForteBank»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KZ96998CTB0001006523</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KZ9882110NVL10000005</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AO «Bank RBK»</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sz w:val="20"/>
                <w:szCs w:val="20"/>
                <w:u w:val="single"/>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2"/>
                <w:szCs w:val="20"/>
                <w:u w:val="single"/>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sz w:val="20"/>
                <w:szCs w:val="20"/>
                <w:u w:val="single"/>
                <w:lang w:eastAsia="ru-RU"/>
              </w:rPr>
              <w:t>{ParentPassport}</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tc>
        <w:tc>
          <w:tcPr>
            <w:tcW w:w="4784"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kk-KZ" w:eastAsia="en-US" w:bidi="ar-SA"/>
              </w:rPr>
              <w:t>Қосымша б</w:t>
            </w:r>
            <w:r>
              <w:rPr>
                <w:rFonts w:eastAsia="Times New Roman" w:cs="Times New Roman" w:ascii="Times New Roman" w:hAnsi="Times New Roman"/>
                <w:b/>
                <w:bCs/>
                <w:kern w:val="0"/>
                <w:sz w:val="20"/>
                <w:szCs w:val="20"/>
                <w:lang w:val="ru-RU" w:eastAsia="en-US" w:bidi="ar-SA"/>
              </w:rPr>
              <w:t xml:space="preserve">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suppressAutoHyphens w:val="true"/>
              <w:spacing w:lineRule="auto" w:line="240" w:before="0" w:after="0"/>
              <w:jc w:val="both"/>
              <w:rPr>
                <w:kern w:val="0"/>
                <w:lang w:eastAsia="en-US" w:bidi="ar-SA"/>
              </w:rPr>
            </w:pPr>
            <w:r>
              <w:rPr>
                <w:rFonts w:eastAsia="Times New Roman" w:cs="Times New Roman" w:ascii="Times New Roman" w:hAnsi="Times New Roman"/>
                <w:b/>
                <w:bCs/>
                <w:sz w:val="20"/>
                <w:szCs w:val="20"/>
              </w:rPr>
              <w:t xml:space="preserve">Алматы қ. </w:t>
            </w:r>
            <w:r>
              <w:rPr>
                <w:rFonts w:eastAsia="Times New Roman" w:cs="Times New Roman" w:ascii="Times New Roman" w:hAnsi="Times New Roman"/>
                <w:b/>
                <w:bCs/>
                <w:sz w:val="20"/>
                <w:szCs w:val="20"/>
                <w:lang w:val="kk-KZ"/>
              </w:rPr>
              <w:t xml:space="preserve">               </w:t>
            </w:r>
            <w:r>
              <w:rPr>
                <w:rFonts w:eastAsia="Times New Roman" w:cs="Times New Roman" w:ascii="Times New Roman" w:hAnsi="Times New Roman"/>
                <w:b/>
                <w:bCs/>
                <w:sz w:val="20"/>
                <w:szCs w:val="20"/>
                <w:u w:val="single"/>
                <w:lang w:val="kk-KZ"/>
              </w:rPr>
              <w:t>{ContractYear}</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lang w:val="kk-KZ"/>
              </w:rPr>
              <w:t>ж</w:t>
            </w:r>
            <w:r>
              <w:rPr>
                <w:rFonts w:eastAsia="Times New Roman" w:cs="Times New Roman" w:ascii="Times New Roman" w:hAnsi="Times New Roman"/>
                <w:b/>
                <w:bCs/>
                <w:sz w:val="20"/>
                <w:szCs w:val="20"/>
              </w:rPr>
              <w:t>. «</w:t>
            </w:r>
            <w:r>
              <w:rPr>
                <w:rFonts w:eastAsia="Times New Roman" w:cs="Times New Roman" w:ascii="Times New Roman" w:hAnsi="Times New Roman"/>
                <w:b/>
                <w:bCs/>
                <w:sz w:val="20"/>
                <w:szCs w:val="20"/>
                <w:u w:val="single"/>
              </w:rPr>
              <w:t>{ContractDay}</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u w:val="single"/>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ru-RU" w:eastAsia="en-US" w:bidi="ar-SA"/>
              </w:rPr>
              <w:t>, білім беру қызметімен айналысу құқығына 13.08.2009 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0103167,</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Б.С. </w:t>
            </w:r>
            <w:r>
              <w:rPr>
                <w:rFonts w:eastAsia="Times New Roman" w:cs="Times New Roman" w:ascii="Times New Roman" w:hAnsi="Times New Roman"/>
                <w:kern w:val="0"/>
                <w:sz w:val="20"/>
                <w:szCs w:val="20"/>
                <w:lang w:val="ru-RU" w:eastAsia="en-US" w:bidi="ar-SA"/>
              </w:rPr>
              <w:t>Сериков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ru-RU" w:bidi="ar-SA"/>
              </w:rPr>
              <w:t>{ParentFullName}</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Тапсырыс беруші тапсырады және төлейді, ал Білім беру ұйымы 2023-2024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ru-RU" w:eastAsia="en-US" w:bidi="ar-SA"/>
              </w:rPr>
              <w:t xml:space="preserve">2. </w:t>
            </w: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1) </w:t>
              <w:tab/>
            </w:r>
            <w:r>
              <w:rPr>
                <w:rFonts w:eastAsia="Times New Roman" w:cs="Times New Roman" w:ascii="Times New Roman" w:hAnsi="Times New Roman"/>
                <w:kern w:val="0"/>
                <w:sz w:val="20"/>
                <w:szCs w:val="20"/>
                <w:lang w:val="ru-RU" w:eastAsia="ru-RU" w:bidi="ar-SA"/>
              </w:rPr>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Қызметтер көрсетуге</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eastAsia="Times New Roman" w:cs="Times New Roman" w:ascii="Times New Roman" w:hAnsi="Times New Roman"/>
                <w:kern w:val="0"/>
                <w:sz w:val="20"/>
                <w:szCs w:val="20"/>
                <w:lang w:val="kk-KZ" w:eastAsia="en-US" w:bidi="ar-SA"/>
              </w:rPr>
              <w:t>Шарт бойынша көрсетілетін Қызметтер</w:t>
            </w:r>
            <w:r>
              <w:rPr>
                <w:rFonts w:eastAsia="Times New Roman" w:cs="Times New Roman" w:ascii="Times New Roman" w:hAnsi="Times New Roman"/>
                <w:kern w:val="0"/>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4)</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w:t>
            </w:r>
            <w:r>
              <w:rPr>
                <w:rFonts w:eastAsia="Times New Roman" w:cs="Times New Roman" w:ascii="Times New Roman" w:hAnsi="Times New Roman"/>
                <w:kern w:val="0"/>
                <w:sz w:val="20"/>
                <w:szCs w:val="20"/>
                <w:lang w:val="ru-RU" w:eastAsia="ru-RU" w:bidi="ar-SA"/>
              </w:rPr>
              <w:t xml:space="preserve">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6)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Тапсырыс беруші</w:t>
            </w:r>
            <w:r>
              <w:rPr>
                <w:rFonts w:eastAsia="Times New Roman" w:cs="Times New Roman" w:ascii="Times New Roman" w:hAnsi="Times New Roman"/>
                <w:kern w:val="0"/>
                <w:sz w:val="20"/>
                <w:szCs w:val="20"/>
                <w:lang w:val="kk-KZ" w:eastAsia="en-US" w:bidi="ar-SA"/>
              </w:rPr>
              <w:t xml:space="preserve"> Шарт бойынша Қызметтердің бүкіл көлемі</w:t>
            </w:r>
            <w:r>
              <w:rPr>
                <w:rFonts w:eastAsia="Times New Roman" w:cs="Times New Roman" w:ascii="Times New Roman" w:hAnsi="Times New Roman"/>
                <w:kern w:val="0"/>
                <w:sz w:val="20"/>
                <w:szCs w:val="20"/>
                <w:lang w:val="ru-RU" w:eastAsia="en-US" w:bidi="ar-SA"/>
              </w:rPr>
              <w:t xml:space="preserve"> үшін алдын ала ақы төлеген жағдайда, Шарт бұзылған кезде </w:t>
            </w:r>
            <w:r>
              <w:rPr>
                <w:rFonts w:eastAsia="Times New Roman" w:cs="Times New Roman" w:ascii="Times New Roman" w:hAnsi="Times New Roman"/>
                <w:kern w:val="0"/>
                <w:sz w:val="20"/>
                <w:szCs w:val="20"/>
                <w:lang w:val="kk-KZ" w:eastAsia="en-US" w:bidi="ar-SA"/>
              </w:rPr>
              <w:t xml:space="preserve">нақты көрсетілген Қызметтер </w:t>
            </w:r>
            <w:r>
              <w:rPr>
                <w:rFonts w:eastAsia="Times New Roman" w:cs="Times New Roman" w:ascii="Times New Roman" w:hAnsi="Times New Roman"/>
                <w:kern w:val="0"/>
                <w:sz w:val="20"/>
                <w:szCs w:val="20"/>
                <w:lang w:val="ru-RU" w:eastAsia="en-US" w:bidi="ar-SA"/>
              </w:rPr>
              <w:t>үшін шығыстарды шегере отырып, төленген ақшаны Тапсырыс берушіге қайтаруға</w:t>
            </w:r>
            <w:r>
              <w:rPr>
                <w:rFonts w:eastAsia="Times New Roman" w:cs="Times New Roman" w:ascii="Times New Roman" w:hAnsi="Times New Roman"/>
                <w:kern w:val="0"/>
                <w:sz w:val="20"/>
                <w:szCs w:val="20"/>
                <w:lang w:val="kk-KZ" w:eastAsia="en-US" w:bidi="ar-SA"/>
              </w:rPr>
              <w:t xml:space="preserve"> 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4) </w:t>
              <w:tab/>
            </w:r>
            <w:r>
              <w:rPr>
                <w:rFonts w:eastAsia="Times New Roman" w:cs="Times New Roman" w:ascii="Times New Roman" w:hAnsi="Times New Roman"/>
                <w:kern w:val="0"/>
                <w:sz w:val="20"/>
                <w:szCs w:val="20"/>
                <w:lang w:val="kk-KZ" w:eastAsia="ru-RU" w:bidi="ar-SA"/>
              </w:rPr>
              <w:t>Қызметтер көрсету</w:t>
            </w:r>
            <w:r>
              <w:rPr>
                <w:rFonts w:eastAsia="Times New Roman" w:cs="Times New Roman" w:ascii="Times New Roman" w:hAnsi="Times New Roman"/>
                <w:kern w:val="0"/>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Шартты мынадай себептер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 xml:space="preserve">қаржылық берешегі үшін (Шартта көзделген төлем мерзімдерін бұза отырып, </w:t>
            </w:r>
            <w:r>
              <w:rPr>
                <w:rFonts w:eastAsia="Times New Roman" w:cs="Times New Roman" w:ascii="Times New Roman" w:hAnsi="Times New Roman"/>
                <w:kern w:val="0"/>
                <w:sz w:val="20"/>
                <w:szCs w:val="20"/>
                <w:lang w:val="kk-KZ" w:eastAsia="en-US" w:bidi="ar-SA"/>
              </w:rPr>
              <w:t>Қызметтер</w:t>
            </w:r>
            <w:r>
              <w:rPr>
                <w:rFonts w:eastAsia="Times New Roman" w:cs="Times New Roman" w:ascii="Times New Roman" w:hAnsi="Times New Roman"/>
                <w:kern w:val="0"/>
                <w:sz w:val="20"/>
                <w:szCs w:val="20"/>
                <w:lang w:val="ru-RU" w:eastAsia="en-US" w:bidi="ar-SA"/>
              </w:rPr>
              <w:t xml:space="preserve"> үшін төлемеу және/немесе толық төлемеу);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Қызметтер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көрсетілетін Қызметтер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11)</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t>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13)</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14)</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2"/>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ListParagraph"/>
              <w:widowControl w:val="false"/>
              <w:numPr>
                <w:ilvl w:val="1"/>
                <w:numId w:val="5"/>
              </w:numPr>
              <w:suppressAutoHyphens w:val="true"/>
              <w:spacing w:before="0" w:after="0"/>
              <w:ind w:left="34" w:hanging="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Шарт бойынша Қызметтердің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Қызметтердің құны: </w:t>
            </w:r>
            <w:r>
              <w:rPr>
                <w:rFonts w:eastAsia="Times New Roman" w:cs="Times New Roman" w:ascii="Times New Roman" w:hAnsi="Times New Roman"/>
                <w:kern w:val="0"/>
                <w:sz w:val="20"/>
                <w:szCs w:val="20"/>
                <w:u w:val="single"/>
                <w:lang w:val="kk-KZ" w:eastAsia="en-US" w:bidi="ar-SA"/>
              </w:rPr>
              <w:t>{ContractDopAmount}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ru-RU" w:eastAsia="ru-RU" w:bidi="ar-SA"/>
              </w:rPr>
              <w:t xml:space="preserve"> </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({ContractDopAmountWordsKaz})</w:t>
            </w:r>
            <w:r>
              <w:rPr>
                <w:rFonts w:eastAsia="Times New Roman" w:cs="Times New Roman" w:ascii="Times New Roman" w:hAnsi="Times New Roman"/>
                <w:kern w:val="0"/>
                <w:sz w:val="20"/>
                <w:szCs w:val="20"/>
                <w:u w:val="single"/>
                <w:lang w:val="kk-KZ" w:eastAsia="en-US" w:bidi="ar-SA"/>
              </w:rPr>
              <w:t xml:space="preserve"> </w:t>
            </w:r>
            <w:r>
              <w:rPr>
                <w:rFonts w:eastAsia="Times New Roman" w:cs="Times New Roman" w:ascii="Times New Roman" w:hAnsi="Times New Roman"/>
                <w:kern w:val="0"/>
                <w:sz w:val="20"/>
                <w:szCs w:val="20"/>
                <w:lang w:val="kk-KZ" w:eastAsia="en-US" w:bidi="ar-SA"/>
              </w:rPr>
              <w:t>теңге.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pPr>
              <w:pStyle w:val="Normal"/>
              <w:widowControl w:val="false"/>
              <w:numPr>
                <w:ilvl w:val="1"/>
                <w:numId w:val="4"/>
              </w:numPr>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3.5. </w:t>
              <w:tab/>
              <w:t>Тапсырыс беруші 2023 жылғы 01 маусымға дейінгі мерзімде бүкіл 2023-2024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3.6.</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3.8.</w:t>
              <w:tab/>
              <w:tab/>
            </w:r>
            <w:r>
              <w:rPr>
                <w:rFonts w:eastAsia="" w:cs="Times New Roman" w:ascii="Times New Roman" w:hAnsi="Times New Roman" w:eastAsiaTheme="minorEastAsia"/>
                <w:kern w:val="0"/>
                <w:sz w:val="20"/>
                <w:szCs w:val="20"/>
                <w:lang w:val="kk-KZ" w:eastAsia="ru-RU" w:bidi="ar-SA"/>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r>
            <w:r>
              <w:rPr>
                <w:rFonts w:eastAsia="Calibri" w:cs="Times New Roman" w:ascii="Times New Roman" w:hAnsi="Times New Roman"/>
                <w:kern w:val="0"/>
                <w:sz w:val="20"/>
                <w:szCs w:val="20"/>
                <w:lang w:val="kk-KZ" w:eastAsia="en-US" w:bidi="ar-SA"/>
              </w:rPr>
              <w:t>Тараптар Қызметтер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2"/>
                <w:szCs w:val="20"/>
                <w:lang w:val="kk-KZ"/>
              </w:rPr>
            </w:r>
          </w:p>
          <w:p>
            <w:pPr>
              <w:pStyle w:val="ListParagraph"/>
              <w:widowControl w:val="false"/>
              <w:numPr>
                <w:ilvl w:val="0"/>
                <w:numId w:val="4"/>
              </w:numPr>
              <w:suppressAutoHyphens w:val="true"/>
              <w:spacing w:before="0" w:after="0"/>
              <w:contextualSpacing/>
              <w:jc w:val="center"/>
              <w:rPr>
                <w:rFonts w:ascii="Times New Roman" w:hAnsi="Times New Roman" w:eastAsia="Times New Roman" w:cs="Times New Roman"/>
                <w:b/>
                <w:b/>
                <w:bCs/>
                <w:color w:val="auto"/>
                <w:sz w:val="20"/>
                <w:szCs w:val="20"/>
              </w:rPr>
            </w:pPr>
            <w:r>
              <w:rPr>
                <w:rFonts w:eastAsia="Times New Roman" w:cs="Times New Roman" w:ascii="Times New Roman" w:hAnsi="Times New Roman"/>
                <w:b/>
                <w:bCs/>
                <w:color w:val="auto"/>
                <w:kern w:val="0"/>
                <w:sz w:val="20"/>
                <w:szCs w:val="20"/>
                <w:lang w:val="ru-RU"/>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Шартта көзделген мерзімде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үшін ақы төленбеген/ішінара төленбеген жағдайда білім алушы </w:t>
            </w:r>
            <w:r>
              <w:rPr>
                <w:rFonts w:eastAsia="Times New Roman" w:cs="Times New Roman" w:ascii="Times New Roman" w:hAnsi="Times New Roman"/>
                <w:kern w:val="0"/>
                <w:sz w:val="20"/>
                <w:szCs w:val="20"/>
                <w:lang w:val="kk-KZ" w:eastAsia="ru-RU" w:bidi="ar-SA"/>
              </w:rPr>
              <w:t>Шарт бойынша Қызметтер алуға</w:t>
            </w:r>
            <w:r>
              <w:rPr>
                <w:rFonts w:eastAsia="Times New Roman" w:cs="Times New Roman" w:ascii="Times New Roman" w:hAnsi="Times New Roman"/>
                <w:kern w:val="0"/>
                <w:sz w:val="20"/>
                <w:szCs w:val="20"/>
                <w:lang w:val="ru-RU" w:eastAsia="ru-RU" w:bidi="ar-SA"/>
              </w:rPr>
              <w:t xml:space="preserve"> жіберілмейді.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ListParagraph"/>
              <w:widowControl w:val="false"/>
              <w:numPr>
                <w:ilvl w:val="0"/>
                <w:numId w:val="4"/>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uppressAutoHyphens w:val="true"/>
              <w:spacing w:beforeAutospacing="0" w:before="0" w:afterAutospacing="0" w:after="0"/>
              <w:jc w:val="both"/>
              <w:rPr>
                <w:sz w:val="20"/>
                <w:szCs w:val="20"/>
              </w:rPr>
            </w:pPr>
            <w:r>
              <w:rPr>
                <w:sz w:val="20"/>
                <w:szCs w:val="20"/>
              </w:rPr>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uppressAutoHyphens w:val="true"/>
              <w:spacing w:beforeAutospacing="0" w:before="0" w:afterAutospacing="0" w:after="0"/>
              <w:ind w:lef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uppressAutoHyphens w:val="true"/>
              <w:spacing w:beforeAutospacing="0" w:before="0" w:afterAutospacing="0" w:after="0"/>
              <w:ind w:lef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sz w:val="22"/>
                <w:szCs w:val="20"/>
                <w:lang w:val="kk-KZ"/>
              </w:rPr>
            </w:r>
          </w:p>
          <w:p>
            <w:pPr>
              <w:pStyle w:val="ListParagraph"/>
              <w:widowControl w:val="false"/>
              <w:numPr>
                <w:ilvl w:val="0"/>
                <w:numId w:val="8"/>
              </w:numPr>
              <w:suppressAutoHyphens w:val="true"/>
              <w:spacing w:before="0" w:after="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Шарттың қолданылу мерзімі, талаптарын өзгерту тәртібі және оны бұзу</w:t>
            </w:r>
          </w:p>
          <w:p>
            <w:pPr>
              <w:pStyle w:val="ListParagraph"/>
              <w:widowControl w:val="false"/>
              <w:suppressAutoHyphens w:val="true"/>
              <w:spacing w:before="0" w:after="0"/>
              <w:ind w:left="360" w:hanging="0"/>
              <w:contextualSpacing/>
              <w:jc w:val="left"/>
              <w:rPr>
                <w:rFonts w:ascii="Times New Roman" w:hAnsi="Times New Roman" w:eastAsia="Times New Roman" w:cs="Times New Roman"/>
                <w:color w:val="auto"/>
                <w:sz w:val="20"/>
                <w:szCs w:val="20"/>
                <w:lang w:val="kk-KZ"/>
              </w:rPr>
            </w:pPr>
            <w:r>
              <w:rPr>
                <w:rFonts w:eastAsia="Times New Roman" w:cs="Times New Roman" w:ascii="Times New Roman" w:hAnsi="Times New Roman"/>
                <w:color w:val="auto"/>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IRTYKZKA</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en-US" w:bidi="ar-SA"/>
              </w:rPr>
              <w:t xml:space="preserve">«First Heartland Jusan Bank» </w:t>
            </w:r>
            <w:r>
              <w:rPr>
                <w:kern w:val="0"/>
                <w:sz w:val="20"/>
                <w:szCs w:val="20"/>
                <w:lang w:val="kk-KZ" w:bidi="ar-SA"/>
              </w:rPr>
              <w:t>АҚ-ғы</w:t>
            </w:r>
          </w:p>
          <w:p>
            <w:pPr>
              <w:pStyle w:val="NormalWeb"/>
              <w:widowControl w:val="false"/>
              <w:shd w:val="clear" w:color="auto" w:fill="FFFFFF"/>
              <w:suppressAutoHyphens w:val="true"/>
              <w:spacing w:beforeAutospacing="0" w:before="0" w:afterAutospacing="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val="false"/>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eastAsia="Calibri"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eastAsia="Calibri" w:cs="Times New Roman" w:ascii="Times New Roman" w:hAnsi="Times New Roman"/>
                <w:kern w:val="0"/>
                <w:sz w:val="20"/>
                <w:szCs w:val="20"/>
                <w:lang w:val="kk-KZ" w:eastAsia="en-US" w:bidi="ar-SA"/>
              </w:rPr>
              <w:t>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Өзге де деректер</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sz w:val="20"/>
                <w:szCs w:val="20"/>
                <w:u w:val="single"/>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2"/>
                <w:szCs w:val="20"/>
                <w:u w:val="single"/>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Тапсырыс берушінің мекенжайы, телефоны: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Жеке басын куәландыратын құжаттың деректері:</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sz w:val="20"/>
                <w:szCs w:val="20"/>
                <w:u w:val="single"/>
                <w:lang w:eastAsia="ru-RU"/>
              </w:rPr>
              <w:t>{ParentPassportKAZ}</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№2</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val="false"/>
                <w:bCs w:val="false"/>
                <w:sz w:val="20"/>
                <w:szCs w:val="20"/>
                <w:u w:val="single"/>
                <w:lang w:val="kk-KZ"/>
              </w:rPr>
              <w:t>{ContractNum}</w:t>
            </w:r>
            <w:r>
              <w:rPr>
                <w:rFonts w:cs="Times New Roman" w:ascii="Times New Roman" w:hAnsi="Times New Roman"/>
                <w:b/>
                <w:sz w:val="20"/>
                <w:szCs w:val="20"/>
                <w:lang w:val="kk-KZ"/>
              </w:rPr>
              <w:t xml:space="preserve"> от </w:t>
            </w:r>
            <w:r>
              <w:rPr>
                <w:rFonts w:cs="Times New Roman" w:ascii="Times New Roman" w:hAnsi="Times New Roman"/>
                <w:b w:val="false"/>
                <w:bCs w:val="false"/>
                <w:sz w:val="20"/>
                <w:szCs w:val="20"/>
                <w:u w:val="single"/>
                <w:lang w:val="kk-KZ"/>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Наименование и объем дополнительных образовательных услуг, оказываемых</w:t>
            </w:r>
            <w:r>
              <w:rPr>
                <w:rFonts w:eastAsia="Calibri" w:cs="Times New Roman" w:ascii="Times New Roman" w:hAnsi="Times New Roman"/>
                <w:b/>
                <w:kern w:val="0"/>
                <w:sz w:val="20"/>
                <w:szCs w:val="20"/>
                <w:lang w:val="kk-KZ" w:eastAsia="en-US" w:bidi="ar-SA"/>
              </w:rPr>
              <w:t xml:space="preserve"> </w:t>
            </w:r>
            <w:r>
              <w:rPr>
                <w:rFonts w:eastAsia="Times New Roman" w:cs="Times New Roman" w:ascii="Times New Roman" w:hAnsi="Times New Roman"/>
                <w:kern w:val="0"/>
                <w:sz w:val="20"/>
                <w:szCs w:val="20"/>
                <w:lang w:val="ru-RU" w:eastAsia="ru-RU" w:bidi="ar-SA"/>
              </w:rPr>
              <w:t>Организацией образования по Договору, в зависимости от класса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tbl>
            <w:tblPr>
              <w:tblW w:w="45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4"/>
              <w:gridCol w:w="2209"/>
              <w:gridCol w:w="1387"/>
            </w:tblGrid>
            <w:tr>
              <w:trPr>
                <w:trHeight w:val="510" w:hRule="atLeast"/>
              </w:trPr>
              <w:tc>
                <w:tcPr>
                  <w:tcW w:w="9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Класс</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Наименование предмета</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Количество академических часов в неделю</w:t>
                  </w:r>
                </w:p>
              </w:tc>
            </w:tr>
            <w:tr>
              <w:trPr>
                <w:trHeight w:val="510" w:hRule="atLeast"/>
              </w:trPr>
              <w:tc>
                <w:tcPr>
                  <w:tcW w:w="90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9</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Английский язык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Алгебра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w:t>
                  </w:r>
                </w:p>
              </w:tc>
            </w:tr>
            <w:tr>
              <w:trPr>
                <w:trHeight w:val="510" w:hRule="atLeast"/>
              </w:trPr>
              <w:tc>
                <w:tcPr>
                  <w:tcW w:w="904"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Геометрия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Физика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Биология</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10</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Физика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Биология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Английский язык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w:t>
                  </w:r>
                </w:p>
              </w:tc>
            </w:tr>
            <w:tr>
              <w:trPr>
                <w:trHeight w:val="510" w:hRule="atLeast"/>
              </w:trPr>
              <w:tc>
                <w:tcPr>
                  <w:tcW w:w="904"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Экономика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4</w:t>
                  </w:r>
                </w:p>
              </w:tc>
            </w:tr>
            <w:tr>
              <w:trPr>
                <w:trHeight w:val="510" w:hRule="atLeast"/>
              </w:trPr>
              <w:tc>
                <w:tcPr>
                  <w:tcW w:w="904"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Подготовка водителей транспортных средств</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bl>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22"/>
                <w:szCs w:val="18"/>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tc>
        <w:tc>
          <w:tcPr>
            <w:tcW w:w="4820" w:type="dxa"/>
            <w:tcBorders/>
          </w:tcPr>
          <w:p>
            <w:pPr>
              <w:pStyle w:val="Normal"/>
              <w:widowControl w:val="false"/>
              <w:suppressAutoHyphens w:val="tru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2 қосымша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алушының оқу сыныбына байланысты Шарт бойынша Білім беру ұйымы көрсететін қосымша білім беру қызметтерінің атауы мен көлемі: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tbl>
            <w:tblPr>
              <w:tblW w:w="45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2"/>
              <w:gridCol w:w="2209"/>
              <w:gridCol w:w="1454"/>
            </w:tblGrid>
            <w:tr>
              <w:trPr>
                <w:trHeight w:val="510" w:hRule="atLeast"/>
              </w:trPr>
              <w:tc>
                <w:tcPr>
                  <w:tcW w:w="9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Сынып</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Пән атауы</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en-US"/>
                    </w:rPr>
                  </w:pPr>
                  <w:r>
                    <w:rPr>
                      <w:rFonts w:eastAsia="Times New Roman" w:cs="Times New Roman" w:ascii="Times New Roman" w:hAnsi="Times New Roman"/>
                      <w:b/>
                      <w:sz w:val="20"/>
                      <w:szCs w:val="20"/>
                      <w:lang w:val="kk-KZ"/>
                    </w:rPr>
                    <w:t>Аптасына академиялық сағаттар саны</w:t>
                  </w:r>
                </w:p>
                <w:p>
                  <w:pPr>
                    <w:pStyle w:val="Normal"/>
                    <w:widowControl w:val="false"/>
                    <w:spacing w:lineRule="auto" w:line="240" w:before="0" w:after="0"/>
                    <w:rPr>
                      <w:rFonts w:ascii="Times New Roman" w:hAnsi="Times New Roman" w:eastAsia="Times New Roman" w:cs="Times New Roman"/>
                      <w:b/>
                      <w:b/>
                      <w:sz w:val="20"/>
                      <w:szCs w:val="20"/>
                      <w:lang w:val="en-US"/>
                    </w:rPr>
                  </w:pPr>
                  <w:r>
                    <w:rPr>
                      <w:rFonts w:eastAsia="Times New Roman" w:cs="Times New Roman" w:ascii="Times New Roman" w:hAnsi="Times New Roman"/>
                      <w:b/>
                      <w:sz w:val="20"/>
                      <w:szCs w:val="20"/>
                      <w:lang w:val="en-US"/>
                    </w:rPr>
                  </w:r>
                </w:p>
                <w:p>
                  <w:pPr>
                    <w:pStyle w:val="Normal"/>
                    <w:widowControl w:val="false"/>
                    <w:spacing w:lineRule="auto" w:line="240" w:before="0" w:after="0"/>
                    <w:rPr>
                      <w:rFonts w:ascii="Times New Roman" w:hAnsi="Times New Roman" w:eastAsia="Times New Roman" w:cs="Times New Roman"/>
                      <w:b/>
                      <w:b/>
                      <w:sz w:val="20"/>
                      <w:szCs w:val="20"/>
                      <w:lang w:val="en-US"/>
                    </w:rPr>
                  </w:pPr>
                  <w:r>
                    <w:rPr>
                      <w:rFonts w:eastAsia="Times New Roman" w:cs="Times New Roman" w:ascii="Times New Roman" w:hAnsi="Times New Roman"/>
                      <w:b/>
                      <w:sz w:val="20"/>
                      <w:szCs w:val="20"/>
                      <w:lang w:val="en-US"/>
                    </w:rPr>
                  </w:r>
                </w:p>
              </w:tc>
            </w:tr>
            <w:tr>
              <w:trPr>
                <w:trHeight w:val="510" w:hRule="atLeast"/>
              </w:trPr>
              <w:tc>
                <w:tcPr>
                  <w:tcW w:w="90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9</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Ағылшын тілі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Алгебра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1</w:t>
                  </w:r>
                </w:p>
              </w:tc>
            </w:tr>
            <w:tr>
              <w:trPr>
                <w:trHeight w:val="510" w:hRule="atLeast"/>
              </w:trPr>
              <w:tc>
                <w:tcPr>
                  <w:tcW w:w="902"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Геометрия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Физика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Биология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10</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Физика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Биология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Ағылшын тілі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1</w:t>
                  </w:r>
                </w:p>
              </w:tc>
            </w:tr>
            <w:tr>
              <w:trPr>
                <w:trHeight w:val="510" w:hRule="atLeast"/>
              </w:trPr>
              <w:tc>
                <w:tcPr>
                  <w:tcW w:w="902"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Экономика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4</w:t>
                  </w:r>
                </w:p>
              </w:tc>
            </w:tr>
            <w:tr>
              <w:trPr>
                <w:trHeight w:val="510" w:hRule="atLeast"/>
              </w:trPr>
              <w:tc>
                <w:tcPr>
                  <w:tcW w:w="902"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Көлік жүргізушісін оқыту</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bl>
          <w:p>
            <w:pPr>
              <w:pStyle w:val="Normal"/>
              <w:widowControl w:val="false"/>
              <w:suppressAutoHyphens w:val="true"/>
              <w:spacing w:lineRule="auto" w:line="240" w:before="0" w:after="0"/>
              <w:jc w:val="left"/>
              <w:rPr>
                <w:rFonts w:ascii="Times New Roman" w:hAnsi="Times New Roman" w:cs="Times New Roman"/>
                <w:sz w:val="18"/>
                <w:szCs w:val="18"/>
                <w:lang w:val="kk-KZ"/>
              </w:rPr>
            </w:pPr>
            <w:r>
              <w:rPr>
                <w:rFonts w:cs="Times New Roman" w:ascii="Times New Roman" w:hAnsi="Times New Roman"/>
                <w:sz w:val="22"/>
                <w:szCs w:val="18"/>
                <w:lang w:val="kk-KZ"/>
              </w:rPr>
            </w:r>
          </w:p>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bookmarkStart w:id="11" w:name="_GoBack"/>
            <w:bookmarkStart w:id="12" w:name="_GoBack"/>
            <w:bookmarkEnd w:id="12"/>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cs="Times New Roman" w:ascii="Times New Roman" w:hAnsi="Times New Roman"/>
                <w:i/>
                <w:sz w:val="22"/>
                <w:szCs w:val="20"/>
                <w:lang w:val="kk-KZ"/>
              </w:rPr>
            </w:r>
          </w:p>
        </w:tc>
      </w:tr>
    </w:tbl>
    <w:p>
      <w:pPr>
        <w:pStyle w:val="Normal"/>
        <w:spacing w:before="0" w:after="200"/>
        <w:rPr>
          <w:rFonts w:ascii="Times New Roman" w:hAnsi="Times New Roman" w:cs="Times New Roman"/>
          <w:sz w:val="20"/>
          <w:szCs w:val="20"/>
        </w:rPr>
      </w:pPr>
      <w:r>
        <w:rPr/>
      </w:r>
    </w:p>
    <w:sectPr>
      <w:type w:val="nextPage"/>
      <w:pgSz w:w="11906" w:h="16838"/>
      <w:pgMar w:left="1701" w:right="850" w:gutter="0" w:header="0" w:top="1134"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3"/>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3a3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f93a33"/>
    <w:rPr>
      <w:rFonts w:ascii="Consolas" w:hAnsi="Consolas" w:cs="Consolas"/>
      <w:sz w:val="20"/>
      <w:szCs w:val="20"/>
    </w:rPr>
  </w:style>
  <w:style w:type="character" w:styleId="Userinput1" w:customStyle="1">
    <w:name w:val="user_input1"/>
    <w:basedOn w:val="DefaultParagraphFont"/>
    <w:qFormat/>
    <w:rsid w:val="00f93a33"/>
    <w:rPr>
      <w:color w:val="0A46C8"/>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NormalWeb">
    <w:name w:val="Normal (Web)"/>
    <w:basedOn w:val="Normal"/>
    <w:uiPriority w:val="99"/>
    <w:unhideWhenUsed/>
    <w:qFormat/>
    <w:rsid w:val="00f93a33"/>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f93a33"/>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f93a33"/>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f93a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082FD-D81C-4D92-808E-23AEE238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LibreOffice/7.3.7.2$Linux_X86_64 LibreOffice_project/30$Build-2</Application>
  <AppVersion>15.0000</AppVersion>
  <Pages>11</Pages>
  <Words>5529</Words>
  <Characters>39149</Characters>
  <CharactersWithSpaces>44607</CharactersWithSpaces>
  <Paragraphs>369</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2023-09-20T08:24:00Z</dcterms:created>
  <dc:creator>admin</dc:creator>
  <dc:description/>
  <dc:language>en-US</dc:language>
  <cp:lastModifiedBy/>
  <dcterms:modified xsi:type="dcterms:W3CDTF">2023-11-29T16:07:28Z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