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left"/>
        <w:rPr>
          <w:u w:val="none"/>
        </w:rPr>
      </w:pPr>
      <w:r>
        <w:rPr>
          <w:sz w:val="12"/>
          <w:szCs w:val="12"/>
          <w:u w:val="none"/>
        </w:rPr>
        <w:t>{police_kaz}</w:t>
      </w:r>
    </w:p>
    <w:p>
      <w:pPr>
        <w:pStyle w:val="Style16"/>
        <w:jc w:val="left"/>
        <w:rPr>
          <w:u w:val="none"/>
        </w:rPr>
      </w:pPr>
      <w:r>
        <w:rPr>
          <w:color w:val="000000"/>
          <w:sz w:val="12"/>
          <w:szCs w:val="12"/>
          <w:u w:val="none"/>
        </w:rPr>
        <w:t>{police_rus}</w:t>
      </w:r>
    </w:p>
    <w:p>
      <w:pPr>
        <w:pStyle w:val="Style16"/>
        <w:jc w:val="left"/>
        <w:rPr>
          <w:u w:val="none"/>
        </w:rPr>
      </w:pPr>
      <w:r>
        <w:rPr>
          <w:u w:val="none"/>
        </w:rPr>
      </w:r>
    </w:p>
    <w:tbl>
      <w:tblPr>
        <w:tblStyle w:val="TableGrid"/>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0"/>
        <w:gridCol w:w="16"/>
        <w:gridCol w:w="3295"/>
      </w:tblGrid>
      <w:tr>
        <w:trPr/>
        <w:tc>
          <w:tcPr>
            <w:tcW w:w="3261"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0103167</w:t>
            </w:r>
            <w:r>
              <w:rPr>
                <w:rFonts w:eastAsia="Times New Roman" w:cs="Times New Roman" w:ascii="Times New Roman" w:hAnsi="Times New Roman"/>
                <w:kern w:val="0"/>
                <w:sz w:val="20"/>
                <w:szCs w:val="20"/>
                <w:lang w:val="ru-RU" w:eastAsia="ru-RU" w:bidi="ar-SA"/>
              </w:rPr>
              <w:t xml:space="preserve"> выдана 13.08.2009г., в лице Директора школы «</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ru-RU" w:eastAsia="ru-RU" w:bidi="ar-SA"/>
              </w:rPr>
              <w:t>» Федерлеин Шанита Лизель, действующей на основании доверенности от 20.04.2023г.,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sz w:val="20"/>
                <w:szCs w:val="20"/>
                <w:lang w:eastAsia="ru-RU"/>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0103167</w:t>
            </w:r>
            <w:r>
              <w:rPr>
                <w:rFonts w:eastAsia="Calibri" w:cs="Times New Roman" w:ascii="Times New Roman" w:hAnsi="Times New Roman"/>
                <w:kern w:val="0"/>
                <w:sz w:val="20"/>
                <w:szCs w:val="20"/>
                <w:lang w:val="en-US" w:eastAsia="en-US" w:bidi="ar-SA"/>
              </w:rPr>
              <w:t xml:space="preserve"> issued 13.08.2009, in the person of the </w:t>
            </w:r>
            <w:r>
              <w:rPr>
                <w:rFonts w:eastAsia="Times New Roman" w:cs="Times New Roman" w:ascii="Times New Roman" w:hAnsi="Times New Roman"/>
                <w:kern w:val="0"/>
                <w:sz w:val="20"/>
                <w:szCs w:val="20"/>
                <w:lang w:val="en-IE" w:eastAsia="ru-RU" w:bidi="ar-SA"/>
              </w:rPr>
              <w:t>«</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en-IE" w:eastAsia="ru-RU" w:bidi="ar-SA"/>
              </w:rPr>
              <w:t xml:space="preserve">» </w:t>
            </w:r>
            <w:r>
              <w:rPr>
                <w:rFonts w:eastAsia="Times New Roman" w:cs="Times New Roman" w:ascii="Times New Roman" w:hAnsi="Times New Roman"/>
                <w:kern w:val="0"/>
                <w:sz w:val="20"/>
                <w:szCs w:val="20"/>
                <w:lang w:val="en-GB" w:eastAsia="ru-RU" w:bidi="ar-SA"/>
              </w:rPr>
              <w:t>School Director Federlein Chanita Lizelle</w:t>
            </w:r>
            <w:r>
              <w:rPr>
                <w:rFonts w:eastAsia="Calibri" w:cs="Times New Roman" w:ascii="Times New Roman" w:hAnsi="Times New Roman"/>
                <w:kern w:val="0"/>
                <w:sz w:val="20"/>
                <w:szCs w:val="20"/>
                <w:lang w:val="en-US" w:eastAsia="en-US" w:bidi="ar-SA"/>
              </w:rPr>
              <w:t>, acting on the basis of the Attorney 20.04.</w:t>
            </w:r>
            <w:r>
              <w:rPr>
                <w:rFonts w:eastAsia="Times New Roman" w:cs="Times New Roman" w:ascii="Times New Roman" w:hAnsi="Times New Roman"/>
                <w:kern w:val="0"/>
                <w:sz w:val="20"/>
                <w:szCs w:val="20"/>
                <w:lang w:val="en-US" w:eastAsia="ru-RU" w:bidi="ar-SA"/>
              </w:rPr>
              <w:t>2023</w:t>
            </w:r>
            <w:r>
              <w:rPr>
                <w:rFonts w:eastAsia="Calibri" w:cs="Times New Roman" w:ascii="Times New Roman" w:hAnsi="Times New Roman"/>
                <w:kern w:val="0"/>
                <w:sz w:val="20"/>
                <w:szCs w:val="20"/>
                <w:lang w:val="en-US" w:eastAsia="en-US" w:bidi="ar-SA"/>
              </w:rPr>
              <w:t xml:space="preserve">,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kk-KZ" w:eastAsia="ru-RU" w:bidi="ar-SA"/>
              </w:rPr>
              <w:t>ж.</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ru-RU" w:bidi="ar-SA"/>
              </w:rPr>
              <w:t>Бұдан әрі «</w:t>
            </w:r>
            <w:r>
              <w:rPr>
                <w:rFonts w:eastAsia="Times New Roman" w:cs="Times New Roman" w:ascii="Times New Roman" w:hAnsi="Times New Roman"/>
                <w:b/>
                <w:kern w:val="0"/>
                <w:sz w:val="20"/>
                <w:szCs w:val="20"/>
                <w:lang w:val="kk-KZ" w:eastAsia="ru-RU" w:bidi="ar-SA"/>
              </w:rPr>
              <w:t>Білім беру ұйымы</w:t>
            </w:r>
            <w:r>
              <w:rPr>
                <w:rFonts w:eastAsia="Times New Roman" w:cs="Times New Roman" w:ascii="Times New Roman" w:hAnsi="Times New Roman"/>
                <w:kern w:val="0"/>
                <w:sz w:val="20"/>
                <w:szCs w:val="20"/>
                <w:lang w:val="kk-KZ" w:eastAsia="ru-RU" w:bidi="ar-SA"/>
              </w:rPr>
              <w:t xml:space="preserve">» деп аталатын </w:t>
            </w: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ru-RU" w:bidi="ar-SA"/>
              </w:rPr>
              <w:t xml:space="preserve"> атынан, білім беру қызметімен айналысу құқығын беретін лицензия </w:t>
            </w:r>
            <w:r>
              <w:rPr>
                <w:rFonts w:eastAsia="Times New Roman" w:cs="Times New Roman" w:ascii="Times New Roman" w:hAnsi="Times New Roman"/>
                <w:b/>
                <w:kern w:val="0"/>
                <w:sz w:val="20"/>
                <w:szCs w:val="20"/>
                <w:lang w:val="kk-KZ" w:eastAsia="ru-RU" w:bidi="ar-SA"/>
              </w:rPr>
              <w:t>№ 0103167</w:t>
            </w:r>
            <w:r>
              <w:rPr>
                <w:rFonts w:eastAsia="Times New Roman" w:cs="Times New Roman" w:ascii="Times New Roman" w:hAnsi="Times New Roman"/>
                <w:kern w:val="0"/>
                <w:sz w:val="20"/>
                <w:szCs w:val="20"/>
                <w:lang w:val="kk-KZ" w:eastAsia="ru-RU" w:bidi="ar-SA"/>
              </w:rPr>
              <w:t xml:space="preserve"> 13.08.2009ж. берілген, </w:t>
            </w:r>
            <w:r>
              <w:rPr>
                <w:rFonts w:eastAsia="Times New Roman" w:cs="Times New Roman" w:ascii="Times New Roman" w:hAnsi="Times New Roman"/>
                <w:kern w:val="0"/>
                <w:sz w:val="20"/>
                <w:szCs w:val="20"/>
                <w:lang w:val="kk-KZ" w:eastAsia="en-US" w:bidi="ar-SA"/>
              </w:rPr>
              <w:t xml:space="preserve">оның атынан 20.04.2023 ж. </w:t>
            </w:r>
            <w:r>
              <w:rPr>
                <w:rFonts w:eastAsia="Times New Roman" w:cs="Times New Roman" w:ascii="Times New Roman" w:hAnsi="Times New Roman"/>
                <w:kern w:val="0"/>
                <w:sz w:val="20"/>
                <w:szCs w:val="20"/>
                <w:lang w:val="kk-KZ" w:eastAsia="ru-RU" w:bidi="ar-SA"/>
              </w:rPr>
              <w:t>сенімхат негізінде әрекет бойынша «Cambridge»</w:t>
            </w:r>
            <w:r>
              <w:rPr>
                <w:rFonts w:cs="Times New Roman" w:ascii="Times New Roman" w:hAnsi="Times New Roman"/>
                <w:kern w:val="0"/>
                <w:sz w:val="20"/>
                <w:szCs w:val="20"/>
                <w:lang w:val="kk-KZ" w:eastAsia="en-US" w:bidi="ar-SA"/>
              </w:rPr>
              <w:t xml:space="preserv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19" w:hRule="atLeast"/>
        </w:trPr>
        <w:tc>
          <w:tcPr>
            <w:tcW w:w="3261" w:type="dxa"/>
            <w:tcBorders/>
          </w:tcPr>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numPr>
                <w:ilvl w:val="1"/>
                <w:numId w:val="5"/>
              </w:numPr>
              <w:suppressAutoHyphens w:val="true"/>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 xml:space="preserve">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2023 to May 31, 2024 with the stay in the organization of education in a five-day study week from 08 hours 30 minutes to 17 hours 00 minutes (except weekends and holidays, period);</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val="false"/>
              <w:suppressAutoHyphens w:val="true"/>
              <w:spacing w:lineRule="auto" w:line="240" w:before="0" w:after="0"/>
              <w:jc w:val="both"/>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2023 жылғы 1 қыркүйек пен 2024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35"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cs="Times New Roman"/>
                <w:strike/>
                <w:sz w:val="20"/>
                <w:szCs w:val="20"/>
              </w:rPr>
            </w:pPr>
            <w:r>
              <w:rPr>
                <w:rFonts w:cs="Times New Roman" w:ascii="Times New Roman" w:hAnsi="Times New Roman"/>
                <w:strike/>
                <w:sz w:val="20"/>
                <w:szCs w:val="20"/>
              </w:rPr>
            </w:r>
          </w:p>
        </w:tc>
        <w:tc>
          <w:tcPr>
            <w:tcW w:w="3210"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 w:val="left" w:pos="206"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1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64" w:leader="none"/>
              </w:tabs>
              <w:suppressAutoHyphens w:val="true"/>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3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9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305"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311" w:type="dxa"/>
            <w:gridSpan w:val="2"/>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мынадай себептер бойынша Шартты біржақты тәртіппен бұзу:</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қаржы берешегі үшін (Шартта көзделген төлеу мерзімдерін бұза отырып оқу ақысын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0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numPr>
                <w:ilvl w:val="1"/>
                <w:numId w:val="2"/>
              </w:numPr>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institution;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c>
          <w:tcPr>
            <w:tcW w:w="3226" w:type="dxa"/>
            <w:gridSpan w:val="2"/>
            <w:tcBorders/>
          </w:tcPr>
          <w:p>
            <w:pPr>
              <w:pStyle w:val="Normal"/>
              <w:widowControl w:val="false"/>
              <w:numPr>
                <w:ilvl w:val="1"/>
                <w:numId w:val="6"/>
              </w:numPr>
              <w:suppressAutoHyphens w:val="true"/>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val="false"/>
              <w:numPr>
                <w:ilvl w:val="0"/>
                <w:numId w:val="8"/>
              </w:numPr>
              <w:suppressAutoHyphens w:val="true"/>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receipt in the organization of education of additional</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val="false"/>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r>
          </w:p>
          <w:p>
            <w:pPr>
              <w:pStyle w:val="Normal"/>
              <w:widowControl w:val="false"/>
              <w:numPr>
                <w:ilvl w:val="0"/>
                <w:numId w:val="8"/>
              </w:numPr>
              <w:tabs>
                <w:tab w:val="clear" w:pos="708"/>
                <w:tab w:val="left" w:pos="68" w:leader="none"/>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val="false"/>
              <w:numPr>
                <w:ilvl w:val="0"/>
                <w:numId w:val="8"/>
              </w:numPr>
              <w:tabs>
                <w:tab w:val="clear" w:pos="708"/>
                <w:tab w:val="left" w:pos="0" w:leader="none"/>
                <w:tab w:val="left" w:pos="210" w:leader="none"/>
                <w:tab w:val="left" w:pos="361"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val="false"/>
              <w:numPr>
                <w:ilvl w:val="0"/>
                <w:numId w:val="8"/>
              </w:numPr>
              <w:tabs>
                <w:tab w:val="clear" w:pos="708"/>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5"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to show respect for the teacher and staff of educational Organization in the performance of their duties, as well as for students in educational Organization, not to make statements that discriminate against the employees of educational Organizations;</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19) require the trainee to complete all independent work (homework) in timely manner provided by the legislation of the Republic of Kazakhstan and procedures including but not limited to the  Independent work policy;</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взаимодействовать с Организацией образования в вопросах воспитания и обучения обучающегося;</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eastAsia="ru-RU"/>
              </w:rPr>
              <w:t>тенге.</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2023-2024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 xml:space="preserve">2023-2024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0" w:name="z21"/>
            <w:bookmarkEnd w:id="0"/>
            <w:r>
              <w:rPr>
                <w:rFonts w:eastAsia="Times New Roman" w:cs="Times New Roman" w:ascii="Times New Roman" w:hAnsi="Times New Roman"/>
                <w:sz w:val="20"/>
                <w:szCs w:val="20"/>
                <w:lang w:eastAsia="ru-RU"/>
              </w:rPr>
              <w:t xml:space="preserve"> В случае предварительной оплаты за весь 2023-2024 год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2023-2024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2023-2024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3.5.</w:t>
              <w:tab/>
            </w:r>
            <w:r>
              <w:rPr>
                <w:rFonts w:eastAsia="Times New Roman" w:cs="Times New Roman" w:ascii="Times New Roman" w:hAnsi="Times New Roman"/>
                <w:sz w:val="20"/>
                <w:szCs w:val="20"/>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3.5. Payment for the education of students is made by the Customer at a time 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2023-2024 academic year by June 01, 2023,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2023-2024 academic year before September 01, 2023,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2023 жылдың 01 маусымына дейінгі мерзімде 2023-2024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7 (жеті) % мөлшерінде білім алушының оқуына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2023 жылдың 01 қыркүйегіне дейінгі мерзімде 2023-2024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rPr>
              <w:t>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val="kk-KZ" w:eastAsia="ru-RU"/>
              </w:rPr>
              <w:t>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Оқу ақысын төлеу бойынша Тапсырыс беруші толық көлемде сақталады.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не возвращается.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Шартты бұзылған барлық жағдайларда Шарттың 3.7. тармағында көзделген кіру жарнасының сомасын Білім беру ұйымы Тапсырыс берушіге қайтармайды.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1" w:name="z28"/>
            <w:bookmarkStart w:id="2" w:name="z29"/>
            <w:bookmarkEnd w:id="1"/>
            <w:bookmarkEnd w:id="2"/>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3" w:name="z27"/>
            <w:bookmarkEnd w:id="3"/>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4" w:name="z32"/>
            <w:bookmarkEnd w:id="4"/>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5" w:name="z35"/>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6" w:name="z36"/>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grants the Educational Organization the right to independently determine the terms of access of the third parties to the Personal Data of the Customer and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7.2. Collection and processing of the Customer's and the student's Personal Data shall be performed by the Educational Organization for the following purposes, including, but not limited to:</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internal control and accounting of the Educational Organization;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color w:val="auto"/>
                <w:kern w:val="0"/>
                <w:sz w:val="20"/>
                <w:szCs w:val="20"/>
                <w:lang w:val="ru-RU" w:eastAsia="ru-RU" w:bidi="ar-SA"/>
              </w:rPr>
            </w:pPr>
            <w:r>
              <w:rPr>
                <w:rFonts w:eastAsia="Times New Roman" w:cs="Times New Roman" w:ascii="Times New Roman" w:hAnsi="Times New Roman"/>
                <w:color w:val="auto"/>
                <w:kern w:val="0"/>
                <w:sz w:val="20"/>
                <w:szCs w:val="20"/>
                <w:lang w:val="ru-RU" w:eastAsia="ru-RU" w:bidi="ar-SA"/>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8. Срок действия, порядок изменения условий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7" w:name="z39"/>
            <w:bookmarkEnd w:id="7"/>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8. Term of validity, procedure of changing the terms of the agreement</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8. Шарттың қолданылу мерзімі, талаптарын өзгерту тәртібі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8" w:name="z40"/>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021202660159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val="kk-KZ" w:eastAsia="ru-RU"/>
              </w:rPr>
              <w:t xml:space="preserve">Директор школы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rPr>
              <w:t>»</w:t>
            </w:r>
          </w:p>
          <w:p>
            <w:pPr>
              <w:pStyle w:val="Normal"/>
              <w:widowControl w:val="false"/>
              <w:spacing w:before="0" w:after="200"/>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eastAsia="ru-RU"/>
              </w:rPr>
              <w:t xml:space="preserve">_____________________ </w:t>
            </w:r>
            <w:r>
              <w:rPr>
                <w:rFonts w:eastAsia="Times New Roman" w:cs="Times New Roman" w:ascii="Times New Roman" w:hAnsi="Times New Roman"/>
                <w:sz w:val="20"/>
                <w:szCs w:val="20"/>
                <w:lang w:eastAsia="ru-RU"/>
              </w:rPr>
              <w:t xml:space="preserve">  </w:t>
            </w:r>
            <w:r>
              <w:rPr>
                <w:rFonts w:cs="Times New Roman" w:ascii="Times New Roman" w:hAnsi="Times New Roman"/>
                <w:b/>
                <w:sz w:val="20"/>
                <w:szCs w:val="20"/>
              </w:rPr>
              <w:t>Федерлеин Шанита Лизель</w:t>
            </w:r>
            <w:r>
              <w:rPr>
                <w:rFonts w:eastAsia="Times New Roman" w:cs="Times New Roman" w:ascii="Times New Roman" w:hAnsi="Times New Roman"/>
                <w:b/>
                <w:sz w:val="20"/>
                <w:szCs w:val="20"/>
                <w:lang w:eastAsia="ru-RU"/>
              </w:rPr>
              <w:t xml:space="preserve">                 </w:t>
            </w:r>
            <w:bookmarkStart w:id="9" w:name="_GoBack"/>
            <w:bookmarkEnd w:id="9"/>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IIC KZ74965T021202660159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«ForteBank»</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rPr>
                <w:rFonts w:ascii="Times New Roman" w:hAnsi="Times New Roman" w:cs="Times New Roman"/>
                <w:b/>
                <w:b/>
                <w:sz w:val="20"/>
                <w:szCs w:val="20"/>
                <w:lang w:val="en-GB"/>
              </w:rPr>
            </w:pP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kk-KZ"/>
              </w:rPr>
              <w:t xml:space="preserve"> </w:t>
            </w:r>
            <w:r>
              <w:rPr>
                <w:rFonts w:eastAsia="Times New Roman" w:cs="Times New Roman" w:ascii="Times New Roman" w:hAnsi="Times New Roman"/>
                <w:b/>
                <w:sz w:val="20"/>
                <w:szCs w:val="20"/>
                <w:lang w:val="en-GB"/>
              </w:rPr>
              <w:t>School Director</w:t>
            </w:r>
          </w:p>
          <w:p>
            <w:pPr>
              <w:pStyle w:val="NoSpacing"/>
              <w:widowControl w:val="false"/>
              <w:rPr>
                <w:lang w:val="en-US"/>
              </w:rPr>
            </w:pPr>
            <w:r>
              <w:rPr>
                <w:lang w:val="en-US"/>
              </w:rPr>
              <w:t>_____________________</w:t>
            </w:r>
          </w:p>
          <w:p>
            <w:pPr>
              <w:pStyle w:val="NoSpacing"/>
              <w:widowControl w:val="false"/>
              <w:rPr>
                <w:rFonts w:ascii="Times New Roman" w:hAnsi="Times New Roman" w:cs="Times New Roman"/>
                <w:b/>
                <w:b/>
                <w:sz w:val="20"/>
                <w:szCs w:val="20"/>
                <w:lang w:val="en-US"/>
              </w:rPr>
            </w:pPr>
            <w:r>
              <w:rPr>
                <w:rFonts w:cs="Times New Roman" w:ascii="Times New Roman" w:hAnsi="Times New Roman"/>
                <w:b/>
                <w:sz w:val="20"/>
                <w:szCs w:val="20"/>
                <w:lang w:val="en-US"/>
              </w:rPr>
              <w:t>Federlein Chanita Lizelle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Stamp</w:t>
            </w:r>
          </w:p>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АҚ-ғы</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АҚ-ғы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Spacing"/>
              <w:widowControl w:val="false"/>
              <w:rPr>
                <w:rFonts w:ascii="Times New Roman" w:hAnsi="Times New Roman" w:cs="Times New Roman"/>
                <w:b/>
                <w:b/>
                <w:sz w:val="20"/>
                <w:lang w:val="kk-KZ" w:eastAsia="ru-RU"/>
              </w:rPr>
            </w:pPr>
            <w:r>
              <w:rPr>
                <w:rFonts w:cs="Times New Roman" w:ascii="Times New Roman" w:hAnsi="Times New Roman"/>
                <w:b/>
                <w:sz w:val="20"/>
              </w:rPr>
              <w:t>«</w:t>
            </w:r>
            <w:r>
              <w:rPr>
                <w:rFonts w:cs="Times New Roman" w:ascii="Times New Roman" w:hAnsi="Times New Roman"/>
                <w:b/>
                <w:sz w:val="20"/>
                <w:lang w:val="en-GB"/>
              </w:rPr>
              <w:t>Cambridge</w:t>
            </w:r>
            <w:r>
              <w:rPr>
                <w:rFonts w:cs="Times New Roman" w:ascii="Times New Roman" w:hAnsi="Times New Roman"/>
                <w:b/>
                <w:sz w:val="20"/>
              </w:rPr>
              <w:t xml:space="preserve">» </w:t>
            </w:r>
            <w:r>
              <w:rPr>
                <w:rFonts w:cs="Times New Roman" w:ascii="Times New Roman" w:hAnsi="Times New Roman"/>
                <w:b/>
                <w:sz w:val="20"/>
                <w:lang w:val="kk-KZ"/>
              </w:rPr>
              <w:t>мектебінің</w:t>
            </w:r>
            <w:r>
              <w:rPr>
                <w:rFonts w:cs="Times New Roman" w:ascii="Times New Roman" w:hAnsi="Times New Roman"/>
                <w:b/>
                <w:sz w:val="20"/>
              </w:rPr>
              <w:t xml:space="preserve"> </w:t>
            </w:r>
            <w:r>
              <w:rPr>
                <w:rFonts w:cs="Times New Roman" w:ascii="Times New Roman" w:hAnsi="Times New Roman"/>
                <w:b/>
                <w:sz w:val="20"/>
                <w:lang w:val="kk-KZ"/>
              </w:rPr>
              <w:t>Директоры</w:t>
            </w:r>
          </w:p>
          <w:p>
            <w:pPr>
              <w:pStyle w:val="NoSpacing"/>
              <w:widowControl w:val="false"/>
              <w:rPr>
                <w:rFonts w:ascii="Times New Roman" w:hAnsi="Times New Roman" w:cs="Times New Roman"/>
                <w:sz w:val="20"/>
                <w:lang w:val="kk-KZ" w:eastAsia="ru-RU"/>
              </w:rPr>
            </w:pPr>
            <w:r>
              <w:rPr>
                <w:rFonts w:cs="Times New Roman" w:ascii="Times New Roman" w:hAnsi="Times New Roman"/>
                <w:sz w:val="20"/>
                <w:lang w:val="kk-KZ" w:eastAsia="ru-RU"/>
              </w:rPr>
              <w:t>_____________________</w:t>
            </w:r>
          </w:p>
          <w:p>
            <w:pPr>
              <w:pStyle w:val="NoSpacing"/>
              <w:widowControl w:val="false"/>
              <w:rPr>
                <w:rFonts w:ascii="Times New Roman" w:hAnsi="Times New Roman" w:cs="Times New Roman"/>
                <w:sz w:val="20"/>
                <w:lang w:val="kk-KZ" w:eastAsia="ru-RU"/>
              </w:rPr>
            </w:pPr>
            <w:r>
              <w:rPr>
                <w:rFonts w:cs="Times New Roman" w:ascii="Times New Roman" w:hAnsi="Times New Roman"/>
                <w:b/>
                <w:sz w:val="20"/>
              </w:rPr>
              <w:t>Федерлеин Шанита Лизель</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М.О.</w:t>
            </w:r>
          </w:p>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ИИН обучающегося</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Student’s 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Address of the trainee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Other data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мекен-жайы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Өзге деректер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 address, Phone: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Customer's 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Identity document data:</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Bank details (if any)</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берушінің мекен-жайы, телефоны: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TableGrid"/>
        <w:tblW w:w="92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33"/>
        <w:gridCol w:w="3010"/>
        <w:gridCol w:w="3244"/>
      </w:tblGrid>
      <w:tr>
        <w:trPr/>
        <w:tc>
          <w:tcPr>
            <w:tcW w:w="3033"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ru-RU" w:bidi="ar-SA"/>
              </w:rPr>
              <w:t xml:space="preserve">Директор школы </w:t>
            </w:r>
            <w:r>
              <w:rPr>
                <w:rFonts w:eastAsia="Times New Roman" w:cs="Times New Roman" w:ascii="Times New Roman" w:hAnsi="Times New Roman"/>
                <w:b/>
                <w:kern w:val="0"/>
                <w:sz w:val="20"/>
                <w:szCs w:val="20"/>
                <w:lang w:val="ru-RU" w:eastAsia="en-US" w:bidi="ar-SA"/>
              </w:rPr>
              <w:t>«</w:t>
            </w:r>
            <w:r>
              <w:rPr>
                <w:rFonts w:eastAsia="Times New Roman" w:cs="Times New Roman" w:ascii="Times New Roman" w:hAnsi="Times New Roman"/>
                <w:b/>
                <w:kern w:val="0"/>
                <w:sz w:val="20"/>
                <w:szCs w:val="20"/>
                <w:lang w:val="en-GB" w:eastAsia="en-US" w:bidi="ar-SA"/>
              </w:rPr>
              <w:t>Cambridge</w:t>
            </w:r>
            <w:r>
              <w:rPr>
                <w:rFonts w:eastAsia="Times New Roman" w:cs="Times New Roman" w:ascii="Times New Roman" w:hAnsi="Times New Roman"/>
                <w:b/>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GB" w:eastAsia="ru-RU" w:bidi="ar-SA"/>
              </w:rPr>
              <w:t>_</w:t>
            </w:r>
            <w:r>
              <w:rPr>
                <w:rFonts w:eastAsia="Times New Roman" w:cs="Times New Roman" w:ascii="Times New Roman" w:hAnsi="Times New Roman"/>
                <w:b/>
                <w:kern w:val="0"/>
                <w:sz w:val="20"/>
                <w:szCs w:val="20"/>
                <w:lang w:val="ru-RU" w:eastAsia="ru-RU" w:bidi="ar-SA"/>
              </w:rPr>
              <w:t>____________________</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cs="Times New Roman" w:ascii="Times New Roman" w:hAnsi="Times New Roman"/>
                <w:b/>
                <w:kern w:val="0"/>
                <w:sz w:val="20"/>
                <w:szCs w:val="20"/>
                <w:lang w:val="ru-RU" w:eastAsia="en-US" w:bidi="ar-SA"/>
              </w:rPr>
              <w:t>Федерлеин Шанита Лизель</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3010"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to the Agreement for the provision of educational</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services No.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en-GB"/>
              </w:rPr>
            </w:pPr>
            <w:r>
              <w:rPr>
                <w:rFonts w:eastAsia="Times New Roman" w:cs="Times New Roman" w:ascii="Times New Roman" w:hAnsi="Times New Roman"/>
                <w:b/>
                <w:kern w:val="0"/>
                <w:sz w:val="20"/>
                <w:szCs w:val="20"/>
                <w:lang w:val="en-IE" w:eastAsia="en-US" w:bidi="ar-SA"/>
              </w:rPr>
              <w:t>«</w:t>
            </w:r>
            <w:r>
              <w:rPr>
                <w:rFonts w:eastAsia="Times New Roman" w:cs="Times New Roman" w:ascii="Times New Roman" w:hAnsi="Times New Roman"/>
                <w:b/>
                <w:kern w:val="0"/>
                <w:sz w:val="20"/>
                <w:szCs w:val="20"/>
                <w:lang w:val="en-GB" w:eastAsia="en-US" w:bidi="ar-SA"/>
              </w:rPr>
              <w:t>Cambridge</w:t>
            </w:r>
            <w:r>
              <w:rPr>
                <w:rFonts w:eastAsia="Times New Roman" w:cs="Times New Roman" w:ascii="Times New Roman" w:hAnsi="Times New Roman"/>
                <w:b/>
                <w:kern w:val="0"/>
                <w:sz w:val="20"/>
                <w:szCs w:val="20"/>
                <w:lang w:val="en-IE" w:eastAsia="en-US" w:bidi="ar-SA"/>
              </w:rPr>
              <w:t>»</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en-GB" w:eastAsia="en-US" w:bidi="ar-SA"/>
              </w:rPr>
              <w:t>School Director</w:t>
            </w:r>
          </w:p>
          <w:p>
            <w:pPr>
              <w:pStyle w:val="Normal"/>
              <w:widowControl w:val="false"/>
              <w:suppressAutoHyphens w:val="true"/>
              <w:spacing w:lineRule="auto" w:line="240" w:before="0" w:after="0"/>
              <w:jc w:val="left"/>
              <w:rPr>
                <w:rFonts w:ascii="Times New Roman" w:hAnsi="Times New Roman" w:cs="Times New Roman"/>
                <w:b/>
                <w:b/>
                <w:sz w:val="20"/>
                <w:szCs w:val="20"/>
                <w:lang w:val="en-GB"/>
              </w:rPr>
            </w:pPr>
            <w:r>
              <w:rPr>
                <w:rFonts w:cs="Times New Roman" w:ascii="Times New Roman" w:hAnsi="Times New Roman"/>
                <w:b/>
                <w:sz w:val="20"/>
                <w:szCs w:val="20"/>
                <w:lang w:val="en-GB"/>
              </w:rPr>
            </w:r>
          </w:p>
          <w:p>
            <w:pPr>
              <w:pStyle w:val="Normal"/>
              <w:widowControl w:val="false"/>
              <w:suppressAutoHyphens w:val="true"/>
              <w:spacing w:lineRule="auto" w:line="240" w:before="0" w:after="0"/>
              <w:jc w:val="left"/>
              <w:rPr>
                <w:rFonts w:ascii="Times New Roman" w:hAnsi="Times New Roman" w:cs="Times New Roman"/>
                <w:b/>
                <w:b/>
                <w:sz w:val="20"/>
                <w:szCs w:val="20"/>
                <w:lang w:val="en-GB"/>
              </w:rPr>
            </w:pPr>
            <w:r>
              <w:rPr>
                <w:rFonts w:cs="Times New Roman" w:ascii="Times New Roman" w:hAnsi="Times New Roman"/>
                <w:b/>
                <w:sz w:val="20"/>
                <w:szCs w:val="20"/>
                <w:lang w:val="en-GB"/>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_____________________</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Federlein Chanita Lizelle.</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Stamp</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val="false"/>
              <w:suppressAutoHyphens w:val="true"/>
              <w:spacing w:lineRule="auto" w:line="240" w:before="0" w:after="0"/>
              <w:jc w:val="both"/>
              <w:rPr>
                <w:rFonts w:ascii="Times New Roman" w:hAnsi="Times New Roman" w:cs="Times New Roman"/>
                <w:b/>
                <w:b/>
                <w:i/>
                <w:i/>
                <w:sz w:val="20"/>
                <w:szCs w:val="20"/>
                <w:lang w:val="en-US"/>
              </w:rPr>
            </w:pPr>
            <w:r>
              <w:rPr>
                <w:rFonts w:cs="Times New Roman" w:ascii="Times New Roman" w:hAnsi="Times New Roman"/>
                <w:b/>
                <w:i/>
                <w:sz w:val="20"/>
                <w:szCs w:val="20"/>
                <w:lang w:val="en-US"/>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44"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Spacing"/>
              <w:widowControl w:val="false"/>
              <w:suppressAutoHyphens w:val="true"/>
              <w:spacing w:before="0" w:after="0"/>
              <w:jc w:val="left"/>
              <w:rPr>
                <w:rFonts w:ascii="Times New Roman" w:hAnsi="Times New Roman" w:cs="Times New Roman"/>
                <w:b/>
                <w:b/>
                <w:sz w:val="20"/>
                <w:lang w:val="kk-KZ"/>
              </w:rPr>
            </w:pPr>
            <w:r>
              <w:rPr>
                <w:rFonts w:eastAsia="Calibri" w:cs="Times New Roman" w:ascii="Times New Roman" w:hAnsi="Times New Roman"/>
                <w:b/>
                <w:kern w:val="0"/>
                <w:sz w:val="20"/>
                <w:szCs w:val="22"/>
                <w:lang w:val="ru-RU" w:eastAsia="en-US" w:bidi="ar-SA"/>
              </w:rPr>
              <w:t>«</w:t>
            </w:r>
            <w:r>
              <w:rPr>
                <w:rFonts w:eastAsia="Calibri" w:cs="Times New Roman" w:ascii="Times New Roman" w:hAnsi="Times New Roman"/>
                <w:b/>
                <w:kern w:val="0"/>
                <w:sz w:val="20"/>
                <w:szCs w:val="22"/>
                <w:lang w:val="en-GB" w:eastAsia="en-US" w:bidi="ar-SA"/>
              </w:rPr>
              <w:t>Cambridge</w:t>
            </w:r>
            <w:r>
              <w:rPr>
                <w:rFonts w:eastAsia="Calibri" w:cs="Times New Roman" w:ascii="Times New Roman" w:hAnsi="Times New Roman"/>
                <w:b/>
                <w:kern w:val="0"/>
                <w:sz w:val="20"/>
                <w:szCs w:val="22"/>
                <w:lang w:val="ru-RU" w:eastAsia="en-US" w:bidi="ar-SA"/>
              </w:rPr>
              <w:t xml:space="preserve">» </w:t>
            </w:r>
            <w:r>
              <w:rPr>
                <w:rFonts w:eastAsia="Calibri" w:cs="Times New Roman" w:ascii="Times New Roman" w:hAnsi="Times New Roman"/>
                <w:b/>
                <w:kern w:val="0"/>
                <w:sz w:val="20"/>
                <w:szCs w:val="22"/>
                <w:lang w:val="kk-KZ" w:eastAsia="en-US" w:bidi="ar-SA"/>
              </w:rPr>
              <w:t>мектебінің</w:t>
            </w:r>
            <w:r>
              <w:rPr>
                <w:rFonts w:eastAsia="Calibri" w:cs="Times New Roman" w:ascii="Times New Roman" w:hAnsi="Times New Roman"/>
                <w:b/>
                <w:kern w:val="0"/>
                <w:sz w:val="20"/>
                <w:szCs w:val="22"/>
                <w:lang w:val="ru-RU" w:eastAsia="en-US" w:bidi="ar-SA"/>
              </w:rPr>
              <w:t xml:space="preserve"> </w:t>
            </w:r>
            <w:r>
              <w:rPr>
                <w:rFonts w:eastAsia="Calibri" w:cs="Times New Roman" w:ascii="Times New Roman" w:hAnsi="Times New Roman"/>
                <w:b/>
                <w:kern w:val="0"/>
                <w:sz w:val="20"/>
                <w:szCs w:val="22"/>
                <w:lang w:val="kk-KZ" w:eastAsia="en-US" w:bidi="ar-SA"/>
              </w:rPr>
              <w:t>Директоры</w:t>
            </w:r>
          </w:p>
          <w:p>
            <w:pPr>
              <w:pStyle w:val="NoSpacing"/>
              <w:widowControl w:val="false"/>
              <w:suppressAutoHyphens w:val="true"/>
              <w:spacing w:before="0" w:after="0"/>
              <w:jc w:val="left"/>
              <w:rPr>
                <w:rFonts w:ascii="Times New Roman" w:hAnsi="Times New Roman" w:cs="Times New Roman"/>
                <w:b/>
                <w:b/>
                <w:sz w:val="20"/>
                <w:lang w:val="kk-KZ" w:eastAsia="ru-RU"/>
              </w:rPr>
            </w:pPr>
            <w:r>
              <w:rPr>
                <w:rFonts w:cs="Times New Roman" w:ascii="Times New Roman" w:hAnsi="Times New Roman"/>
                <w:b/>
                <w:sz w:val="20"/>
                <w:lang w:val="kk-KZ" w:eastAsia="ru-RU"/>
              </w:rPr>
            </w:r>
          </w:p>
          <w:p>
            <w:pPr>
              <w:pStyle w:val="NoSpacing"/>
              <w:widowControl w:val="false"/>
              <w:suppressAutoHyphens w:val="true"/>
              <w:spacing w:before="0" w:after="0"/>
              <w:jc w:val="left"/>
              <w:rPr>
                <w:rFonts w:ascii="Times New Roman" w:hAnsi="Times New Roman" w:cs="Times New Roman"/>
                <w:sz w:val="20"/>
                <w:lang w:val="kk-KZ" w:eastAsia="ru-RU"/>
              </w:rPr>
            </w:pPr>
            <w:r>
              <w:rPr>
                <w:rFonts w:eastAsia="Calibri" w:cs="Times New Roman" w:ascii="Times New Roman" w:hAnsi="Times New Roman"/>
                <w:kern w:val="0"/>
                <w:sz w:val="20"/>
                <w:szCs w:val="22"/>
                <w:lang w:val="kk-KZ" w:eastAsia="ru-RU" w:bidi="ar-SA"/>
              </w:rPr>
              <w:t>_____________________</w:t>
            </w:r>
          </w:p>
          <w:p>
            <w:pPr>
              <w:pStyle w:val="NoSpacing"/>
              <w:widowControl w:val="false"/>
              <w:suppressAutoHyphens w:val="true"/>
              <w:spacing w:before="0" w:after="0"/>
              <w:jc w:val="left"/>
              <w:rPr>
                <w:rFonts w:ascii="Times New Roman" w:hAnsi="Times New Roman" w:cs="Times New Roman"/>
                <w:sz w:val="20"/>
                <w:lang w:val="kk-KZ" w:eastAsia="ru-RU"/>
              </w:rPr>
            </w:pPr>
            <w:r>
              <w:rPr>
                <w:rFonts w:cs="Times New Roman" w:ascii="Times New Roman" w:hAnsi="Times New Roman"/>
                <w:sz w:val="20"/>
                <w:lang w:val="kk-KZ" w:eastAsia="ru-RU"/>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eastAsia="Calibri" w:cs="Times New Roman" w:ascii="Times New Roman" w:hAnsi="Times New Roman"/>
                <w:b/>
                <w:kern w:val="0"/>
                <w:sz w:val="20"/>
                <w:szCs w:val="22"/>
                <w:lang w:val="ru-RU" w:eastAsia="en-US"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cs="Times New Roman" w:ascii="Times New Roman" w:hAnsi="Times New Roman"/>
                <w:i/>
                <w:sz w:val="20"/>
                <w:szCs w:val="20"/>
                <w:lang w:val="kk-KZ"/>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BalloonTextChar" w:customStyle="1">
    <w:name w:val="Balloon Text Char"/>
    <w:basedOn w:val="DefaultParagraphFont"/>
    <w:link w:val="BalloonText"/>
    <w:uiPriority w:val="99"/>
    <w:semiHidden/>
    <w:qFormat/>
    <w:rsid w:val="00975b59"/>
    <w:rPr>
      <w:rFonts w:ascii="Tahoma" w:hAnsi="Tahoma" w:cs="Tahoma"/>
      <w:sz w:val="16"/>
      <w:szCs w:val="16"/>
    </w:rPr>
  </w:style>
  <w:style w:type="character" w:styleId="HeaderChar" w:customStyle="1">
    <w:name w:val="Header Char"/>
    <w:basedOn w:val="DefaultParagraphFont"/>
    <w:uiPriority w:val="99"/>
    <w:qFormat/>
    <w:rsid w:val="00975b59"/>
    <w:rPr/>
  </w:style>
  <w:style w:type="character" w:styleId="FooterChar" w:customStyle="1">
    <w:name w:val="Footer Char"/>
    <w:basedOn w:val="DefaultParagraphFont"/>
    <w:uiPriority w:val="99"/>
    <w:qFormat/>
    <w:rsid w:val="00975b59"/>
    <w:rPr/>
  </w:style>
  <w:style w:type="character" w:styleId="CommentTextChar" w:customStyle="1">
    <w:name w:val="Comment Text Char"/>
    <w:basedOn w:val="DefaultParagraphFont"/>
    <w:link w:val="Annotationtext"/>
    <w:uiPriority w:val="99"/>
    <w:semiHidden/>
    <w:qFormat/>
    <w:rsid w:val="00975b59"/>
    <w:rPr>
      <w:sz w:val="20"/>
      <w:szCs w:val="20"/>
    </w:rPr>
  </w:style>
  <w:style w:type="character" w:styleId="CommentSubjectChar" w:customStyle="1">
    <w:name w:val="Comment Subject Char"/>
    <w:basedOn w:val="CommentTextChar"/>
    <w:link w:val="Annotationsubject"/>
    <w:uiPriority w:val="99"/>
    <w:semiHidden/>
    <w:qFormat/>
    <w:rsid w:val="00975b59"/>
    <w:rPr>
      <w:b/>
      <w:bCs/>
      <w:sz w:val="20"/>
      <w:szCs w:val="20"/>
    </w:rPr>
  </w:style>
  <w:style w:type="character" w:styleId="HTMLPreformattedChar" w:customStyle="1">
    <w:name w:val="HTML Preformatted Char"/>
    <w:basedOn w:val="DefaultParagraphFont"/>
    <w:link w:val="HTMLPreformatted"/>
    <w:uiPriority w:val="99"/>
    <w:semiHidden/>
    <w:qFormat/>
    <w:rsid w:val="00975b59"/>
    <w:rPr>
      <w:rFonts w:ascii="Consolas" w:hAnsi="Consolas"/>
      <w:sz w:val="20"/>
      <w:szCs w:val="20"/>
    </w:rPr>
  </w:style>
  <w:style w:type="character" w:styleId="Style14">
    <w:name w:val="Интернет-ссылка"/>
    <w:basedOn w:val="DefaultParagraphFont"/>
    <w:uiPriority w:val="99"/>
    <w:semiHidden/>
    <w:unhideWhenUsed/>
    <w:rsid w:val="00d405b8"/>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link w:val="BodyTextChar"/>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975b59"/>
    <w:pPr>
      <w:spacing w:lineRule="auto" w:line="240" w:before="0" w:after="0"/>
    </w:pPr>
    <w:rPr>
      <w:rFonts w:ascii="Tahoma" w:hAnsi="Tahoma" w:cs="Tahoma"/>
      <w:sz w:val="16"/>
      <w:szCs w:val="16"/>
    </w:rPr>
  </w:style>
  <w:style w:type="paragraph" w:styleId="Style20">
    <w:name w:val="Колонтитул"/>
    <w:basedOn w:val="Normal"/>
    <w:qFormat/>
    <w:pPr/>
    <w:rPr/>
  </w:style>
  <w:style w:type="paragraph" w:styleId="Style21">
    <w:name w:val="Header"/>
    <w:basedOn w:val="Normal"/>
    <w:link w:val="HeaderChar"/>
    <w:uiPriority w:val="99"/>
    <w:unhideWhenUsed/>
    <w:rsid w:val="00975b59"/>
    <w:pPr>
      <w:tabs>
        <w:tab w:val="clear" w:pos="708"/>
        <w:tab w:val="center" w:pos="4677" w:leader="none"/>
        <w:tab w:val="right" w:pos="9355" w:leader="none"/>
      </w:tabs>
      <w:spacing w:lineRule="auto" w:line="240" w:before="0" w:after="0"/>
    </w:pPr>
    <w:rPr/>
  </w:style>
  <w:style w:type="paragraph" w:styleId="Style22">
    <w:name w:val="Footer"/>
    <w:basedOn w:val="Normal"/>
    <w:link w:val="FooterChar"/>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CommentTextChar"/>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75b59"/>
    <w:pPr/>
    <w:rPr>
      <w:b/>
      <w:bCs/>
    </w:rPr>
  </w:style>
  <w:style w:type="paragraph" w:styleId="HTMLPreformatted">
    <w:name w:val="HTML Preformatted"/>
    <w:basedOn w:val="Normal"/>
    <w:link w:val="HTMLPreformattedChar"/>
    <w:uiPriority w:val="99"/>
    <w:semiHidden/>
    <w:unhideWhenUsed/>
    <w:qFormat/>
    <w:rsid w:val="00975b59"/>
    <w:pPr>
      <w:spacing w:lineRule="auto" w:line="240" w:before="0" w:after="0"/>
    </w:pPr>
    <w:rPr>
      <w:rFonts w:ascii="Consolas" w:hAnsi="Consolas"/>
      <w:sz w:val="20"/>
      <w:szCs w:val="20"/>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LibreOffice/7.3.7.2$Linux_X86_64 LibreOffice_project/30$Build-2</Application>
  <AppVersion>15.0000</AppVersion>
  <Pages>22</Pages>
  <Words>11729</Words>
  <Characters>77297</Characters>
  <CharactersWithSpaces>88919</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2023-01-16T05:42:00Z</dcterms:created>
  <dc:creator>admin</dc:creator>
  <dc:description/>
  <dc:language>en-US</dc:language>
  <cp:lastModifiedBy/>
  <dcterms:modified xsi:type="dcterms:W3CDTF">2023-12-06T17:30:02Z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