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50"/>
        </w:rPr>
        <w:t>EU LOGISTICS EXPANSION SCREEN</w:t>
      </w:r>
    </w:p>
    <w:p>
      <w:pPr>
        <w:jc w:val="center"/>
      </w:pPr>
      <w:r>
        <w:rPr>
          <w:b/>
          <w:color w:val="2F5D7C"/>
          <w:sz w:val="32"/>
        </w:rPr>
        <w:t>Where Should a Danish 3PL Grow Next?</w:t>
      </w:r>
    </w:p>
    <w:p>
      <w:pPr>
        <w:jc w:val="center"/>
      </w:pPr>
      <w:r>
        <w:rPr>
          <w:color w:val="5F6B73"/>
          <w:sz w:val="20"/>
        </w:rPr>
        <w:t>Business research paper | EU market screening | 2024 freight data + 2023 LPI</w:t>
      </w:r>
    </w:p>
    <w:p/>
    <w:tbl>
      <w:tblPr>
        <w:tblW w:type="auto" w:w="0"/>
        <w:jc w:val="center"/>
        <w:tblLayout w:type="fixed"/>
        <w:tblLook w:firstColumn="1" w:firstRow="1" w:lastColumn="0" w:lastRow="0" w:noHBand="0" w:noVBand="1" w:val="04A0"/>
      </w:tblPr>
      <w:tblGrid>
        <w:gridCol w:w="2376"/>
        <w:gridCol w:w="6912"/>
      </w:tblGrid>
      <w:tr>
        <w:tc>
          <w:tcPr>
            <w:tcW w:type="dxa" w:w="4968"/>
            <w:vAlign w:val="center"/>
            <w:shd w:fill="17324D"/>
          </w:tcPr>
          <w:p>
            <w:r/>
            <w:r>
              <w:rPr>
                <w:rFonts w:ascii="Aptos" w:hAnsi="Aptos"/>
                <w:b/>
                <w:color w:val="FFFFFF"/>
                <w:sz w:val="18"/>
              </w:rPr>
              <w:t>Decision question</w:t>
            </w:r>
          </w:p>
        </w:tc>
        <w:tc>
          <w:tcPr>
            <w:tcW w:type="dxa" w:w="4968"/>
            <w:vAlign w:val="center"/>
            <w:shd w:fill="F5F7F9"/>
          </w:tcPr>
          <w:p>
            <w:r/>
            <w:r>
              <w:rPr>
                <w:rFonts w:ascii="Aptos" w:hAnsi="Aptos"/>
                <w:b w:val="0"/>
                <w:color w:val="263238"/>
                <w:sz w:val="18"/>
              </w:rPr>
              <w:t>Which EU market should be taken forward for detailed expansion assessment?</w:t>
            </w:r>
          </w:p>
        </w:tc>
      </w:tr>
      <w:tr>
        <w:tc>
          <w:tcPr>
            <w:tcW w:type="dxa" w:w="4968"/>
            <w:vAlign w:val="center"/>
            <w:shd w:fill="17324D"/>
          </w:tcPr>
          <w:p>
            <w:r/>
            <w:r>
              <w:rPr>
                <w:rFonts w:ascii="Aptos" w:hAnsi="Aptos"/>
                <w:b/>
                <w:color w:val="FFFFFF"/>
                <w:sz w:val="18"/>
              </w:rPr>
              <w:t>Primary model output</w:t>
            </w:r>
          </w:p>
        </w:tc>
        <w:tc>
          <w:tcPr>
            <w:tcW w:type="dxa" w:w="4968"/>
            <w:vAlign w:val="center"/>
            <w:shd w:fill="F5F7F9"/>
          </w:tcPr>
          <w:p>
            <w:r/>
            <w:r>
              <w:rPr>
                <w:rFonts w:ascii="Aptos" w:hAnsi="Aptos"/>
                <w:b w:val="0"/>
                <w:color w:val="263238"/>
                <w:sz w:val="18"/>
              </w:rPr>
              <w:t>Germany — Expansion Score 67.08</w:t>
            </w:r>
          </w:p>
        </w:tc>
      </w:tr>
      <w:tr>
        <w:tc>
          <w:tcPr>
            <w:tcW w:type="dxa" w:w="4968"/>
            <w:vAlign w:val="center"/>
            <w:shd w:fill="17324D"/>
          </w:tcPr>
          <w:p>
            <w:r/>
            <w:r>
              <w:rPr>
                <w:rFonts w:ascii="Aptos" w:hAnsi="Aptos"/>
                <w:b/>
                <w:color w:val="FFFFFF"/>
                <w:sz w:val="18"/>
              </w:rPr>
              <w:t>Secondary model output</w:t>
            </w:r>
          </w:p>
        </w:tc>
        <w:tc>
          <w:tcPr>
            <w:tcW w:type="dxa" w:w="4968"/>
            <w:vAlign w:val="center"/>
            <w:shd w:fill="F5F7F9"/>
          </w:tcPr>
          <w:p>
            <w:r/>
            <w:r>
              <w:rPr>
                <w:rFonts w:ascii="Aptos" w:hAnsi="Aptos"/>
                <w:b w:val="0"/>
                <w:color w:val="263238"/>
                <w:sz w:val="18"/>
              </w:rPr>
              <w:t>Poland — Expansion Score 39.18</w:t>
            </w:r>
          </w:p>
        </w:tc>
      </w:tr>
    </w:tbl>
    <w:p/>
    <w:p>
      <w:pPr>
        <w:jc w:val="center"/>
      </w:pPr>
      <w:r>
        <w:rPr>
          <w:i/>
          <w:color w:val="5F6B73"/>
          <w:sz w:val="18"/>
        </w:rPr>
        <w:t>Prepared from the Power BI EU Logistics Expansion analysis</w:t>
      </w:r>
    </w:p>
    <w:p>
      <w:r>
        <w:br w:type="page"/>
      </w:r>
    </w:p>
    <w:p>
      <w:pPr>
        <w:pStyle w:val="Heading1"/>
      </w:pPr>
      <w:r>
        <w:t>1. Executive Summary</w:t>
      </w:r>
    </w:p>
    <w:p>
      <w:pPr>
        <w:pStyle w:val="ExecutiveSummary"/>
      </w:pPr>
      <w:r>
        <w:t>This paper evaluates EU expansion markets for a Danish third-party logistics (3PL) provider using a transparent country-level screening model. The model combines the World Bank Logistics Performance Index (LPI) with 2024 Eurostat road-freight activity and is implemented in Power BI.</w:t>
      </w:r>
    </w:p>
    <w:p>
      <w:r>
        <w:t>The model places Germany first with an Expansion Score of 67.08, followed by Poland at 39.18. France, Sweden and Austria follow at 35.26, 33.37 and 33.13. Germany's position is driven by the combination of an LPI score of 4.10 and the largest 2024 freight observation in the project's scoring dataset, 127,006 MIO_TKM.</w:t>
      </w:r>
    </w:p>
    <w:p>
      <w:r>
        <w:t>The result should be understood as a screening outcome, not a forecast of revenue, profitability or market share. The current model deliberately uses a small number of observable indicators. It does not quantify competition, operating costs, customer density, pricing, regulatory friction or entry costs. Those variables should be tested before an investment decision.</w:t>
      </w:r>
    </w:p>
    <w:p>
      <w:r>
        <w:t>A further technical point matters for interpretation: Eurostat's published 2024 national road-freight statistics report Poland as the largest EU country by total road-freight transport and Germany second. The dashboard's 127,006 MIO_TKM figure is therefore best described as the project's selected freight observation, not as Germany's total national road freight. This distinction is retained throughout this paper to avoid overstating what the model measures.</w:t>
      </w:r>
    </w:p>
    <w:p>
      <w:pPr>
        <w:pStyle w:val="Heading1"/>
      </w:pPr>
      <w:r>
        <w:t>2. Business Question and Decision Context</w:t>
      </w:r>
    </w:p>
    <w:p>
      <w:r>
        <w:t>The business problem is not simply to identify countries with good logistics. A 3PL needs to identify markets where there is enough freight activity to support commercial opportunity and where the logistics environment is sufficiently capable to support reliable service delivery.</w:t>
      </w:r>
    </w:p>
    <w:p>
      <w:r>
        <w:t>The decision question is therefore framed as:</w:t>
      </w:r>
    </w:p>
    <w:p>
      <w:pPr>
        <w:pStyle w:val="ExecutiveSummary"/>
      </w:pPr>
      <w:r>
        <w:t>“Among the 27 EU Member States, which markets should a Danish 3PL take forward for deeper expansion assessment when current road-freight activity and logistics performance are considered together?”</w:t>
      </w:r>
    </w:p>
    <w:p>
      <w:r>
        <w:t>This is a first-stage screening question. It deliberately stops short of asking which country will generate the highest return, because the available dataset does not contain the commercial variables required to answer that question reliably.</w:t>
      </w:r>
    </w:p>
    <w:p>
      <w:r>
        <w:t>The EU scope is appropriate for a first screening because the project is assessing expansion within the single-market environment of the 27 EU Member States. The EU transport network is also structured around European Transport Corridors that connect major economic centres, ports and freight routes across Member States.</w:t>
      </w:r>
    </w:p>
    <w:p>
      <w:pPr>
        <w:pStyle w:val="Heading1"/>
      </w:pPr>
      <w:r>
        <w:t>3. External Research and Business Context</w:t>
      </w:r>
    </w:p>
    <w:p>
      <w:pPr>
        <w:pStyle w:val="Heading2"/>
      </w:pPr>
      <w:r>
        <w:t>3.1 Road freight as a market-activity indicator</w:t>
      </w:r>
    </w:p>
    <w:p>
      <w:r>
        <w:t>Eurostat measures road-freight performance using tonne-kilometres, alongside tonnes, vehicle-kilometres and journeys. A tonne-kilometre represents freight weight multiplied by the distance transported and therefore captures both the quantity of goods and the distance over which they move. Eurostat's methodology distinguishes national, international, cross-trade and cabotage operations.</w:t>
      </w:r>
    </w:p>
    <w:p>
      <w:r>
        <w:t>For this project, MIO_TKM is used because it is the unit selected in the Power BI scoring model. It is an activity measure rather than a direct measure of 3PL revenue or market size. High freight activity can indicate a substantial logistics workload, but it does not by itself establish that a new provider can profitably enter the market.</w:t>
      </w:r>
    </w:p>
    <w:p>
      <w:pPr>
        <w:pStyle w:val="Heading2"/>
      </w:pPr>
      <w:r>
        <w:t>3.2 Logistics performance</w:t>
      </w:r>
    </w:p>
    <w:p>
      <w:r>
        <w:t>The World Bank's 2023 LPI provides a structured measure of perceived logistics performance. The overall index incorporates customs clearance, trade and transport infrastructure, ease of arranging competitively priced shipments, logistics-service quality, tracking and tracing, and timeliness. The overall score ranges from 1 to 5.</w:t>
      </w:r>
    </w:p>
    <w:p>
      <w:r>
        <w:t>Germany's 2023 LPI score is 4.1. Denmark also scores 4.1, while Poland's score is 3.6. These values provide a useful logistics-environment dimension for the screen, but LPI is a perception-based international logistics indicator and should not be treated as a direct operating-cost or service-margin measure.</w:t>
      </w:r>
    </w:p>
    <w:p>
      <w:pPr>
        <w:pStyle w:val="Heading2"/>
      </w:pPr>
      <w:r>
        <w:t>3.3 European transport corridors</w:t>
      </w:r>
    </w:p>
    <w:p>
      <w:r>
        <w:t>The European Commission's TEN-T framework provides additional context for interpreting the leading markets. The North Sea–Baltic corridor connects North Sea ports in Belgium, the Netherlands and Germany with Poland and continues toward the Baltic states. The Rhine–Danube corridor crosses Germany and connects western and central/eastern European markets. These corridor structures do not prove commercial attractiveness, but they provide relevant infrastructure context for a 3PL evaluating cross-border network development.</w:t>
      </w:r>
    </w:p>
    <w:p>
      <w:pPr>
        <w:pStyle w:val="Heading1"/>
      </w:pPr>
      <w:r>
        <w:t>4. Data Sources and Dataset Construction</w:t>
      </w:r>
    </w:p>
    <w:p>
      <w:r>
        <w:t>The Power BI analysis combines three data inputs:</w:t>
      </w:r>
    </w:p>
    <w:p>
      <w:pPr>
        <w:pStyle w:val="ListBullet"/>
        <w:spacing w:after="80"/>
      </w:pPr>
      <w:r>
        <w:t>Eurostat road-freight data: 2014–2025 country-level observations, with 2024 MIO_TKM selected for the scoring model.</w:t>
      </w:r>
    </w:p>
    <w:p>
      <w:pPr>
        <w:pStyle w:val="ListBullet"/>
        <w:spacing w:after="80"/>
      </w:pPr>
      <w:r>
        <w:t>World Bank LPI: country-level LPI observations, with 2023 used as the latest usable year in the project dataset.</w:t>
      </w:r>
    </w:p>
    <w:p>
      <w:pPr>
        <w:pStyle w:val="ListBullet"/>
        <w:spacing w:after="80"/>
      </w:pPr>
      <w:r>
        <w:t>EU country reference list: the 27 EU Member States used to define the analysis universe.</w:t>
      </w:r>
    </w:p>
    <w:p>
      <w:r>
        <w:t>The road-freight dataset was cleaned in Power Query by separating the frequency, unit, geography and annual observations; standardising year fields; removing non-numeric markers; and converting the annual measures to numeric values. The scoring model then restricted freight observations to the MIO_TKM unit.</w:t>
      </w:r>
    </w:p>
    <w:p>
      <w:r>
        <w:t>The LPI dataset was reduced to country name, country code and the 2023 LPI score. Because the freight dataset uses two-letter country codes while the LPI dataset uses three-letter ISO-style codes, a country-code bridge was created in Power BI to establish the relationship between the datasets.</w:t>
      </w:r>
    </w:p>
    <w:p>
      <w:r>
        <w:t>The analysis was then restricted to the 27 EU Member States. This prevents non-EU countries from entering the recommendation page and keeps the screening population consistent with the business question.</w:t>
      </w:r>
    </w:p>
    <w:p>
      <w:pPr>
        <w:pStyle w:val="Heading1"/>
      </w:pPr>
      <w:r>
        <w:t>5. Methodology</w:t>
      </w:r>
    </w:p>
    <w:p>
      <w:pPr>
        <w:pStyle w:val="Heading2"/>
      </w:pPr>
      <w:r>
        <w:t>5.1 Model design</w:t>
      </w:r>
    </w:p>
    <w:p>
      <w:r>
        <w:t>The Expansion Score is a weighted composite index. The objective is to combine two different types of information on a common 0–100 scale so that a market with stronger logistics performance and greater freight activity receives a higher model score.</w:t>
      </w:r>
    </w:p>
    <w:p>
      <w:r>
        <w:t>The implementation in Power BI is:</w:t>
      </w:r>
    </w:p>
    <w:p>
      <w:r>
        <w:rPr>
          <w:rFonts w:ascii="Consolas" w:hAnsi="Consolas"/>
          <w:b/>
        </w:rPr>
        <w:t>LPI Normalised = ((LPI − 2) / 3) × 100</w:t>
      </w:r>
    </w:p>
    <w:p>
      <w:r>
        <w:rPr>
          <w:rFonts w:ascii="Consolas" w:hAnsi="Consolas"/>
          <w:b/>
        </w:rPr>
        <w:t>Freight Normalised = (2024 MIO_TKM / 130,000) × 100</w:t>
      </w:r>
    </w:p>
    <w:p>
      <w:r>
        <w:rPr>
          <w:rFonts w:ascii="Consolas" w:hAnsi="Consolas"/>
          <w:b/>
        </w:rPr>
        <w:t>Expansion Score = (LPI Normalised × 0.40) + (Freight Normalised × 0.40)</w:t>
      </w:r>
    </w:p>
    <w:p>
      <w:r>
        <w:t>The LPI transformation maps the project's working range of 2 to 5 onto a 0–100 scale. The freight transformation uses 130,000 MIO_TKM as the model's reference scale. The two components are then weighted at 40% each.</w:t>
      </w:r>
    </w:p>
    <w:p>
      <w:r>
        <w:t>This produces a score whose maximum under the implemented formula is 80 rather than 100 because only 80 percentage points are explicitly assigned to modelled inputs. This is not an error in the Power BI calculation; it is a design characteristic of the current model. However, it should be stated clearly so that readers do not interpret 67.08 as 67.08% attractiveness.</w:t>
      </w:r>
    </w:p>
    <w:p>
      <w:pPr>
        <w:pStyle w:val="Heading2"/>
      </w:pPr>
      <w:r>
        <w:t>5.2 Why these weights?</w:t>
      </w:r>
    </w:p>
    <w:p>
      <w:r>
        <w:t>The 40/40 weighting gives equal importance to logistics performance and current freight activity. This is a practical screening choice rather than an empirically estimated optimal weighting. Equal weighting is transparent and easy for a business stakeholder to challenge or adjust.</w:t>
      </w:r>
    </w:p>
    <w:p>
      <w:r>
        <w:t>The model should therefore be treated as a decision-support framework. A later version could test alternative weights and add commercial variables, but the current analysis keeps the scoring logic simple enough to audit directly in Power BI.</w:t>
      </w:r>
    </w:p>
    <w:p>
      <w:pPr>
        <w:pStyle w:val="Heading1"/>
      </w:pPr>
      <w:r>
        <w:t>6. Results</w:t>
      </w:r>
    </w:p>
    <w:p>
      <w:r>
        <w:t>The completed EU scoring table produces the following top five markets: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7324D"/>
          </w:tcPr>
          <w:p>
            <w:r/>
            <w:r>
              <w:rPr>
                <w:rFonts w:ascii="Aptos" w:hAnsi="Aptos"/>
                <w:b/>
                <w:color w:val="FFFFFF"/>
                <w:sz w:val="17"/>
              </w:rPr>
              <w:t>Rank</w:t>
            </w:r>
          </w:p>
        </w:tc>
        <w:tc>
          <w:tcPr>
            <w:tcW w:type="dxa" w:w="1987"/>
            <w:vAlign w:val="center"/>
            <w:shd w:fill="17324D"/>
          </w:tcPr>
          <w:p>
            <w:r/>
            <w:r>
              <w:rPr>
                <w:rFonts w:ascii="Aptos" w:hAnsi="Aptos"/>
                <w:b/>
                <w:color w:val="FFFFFF"/>
                <w:sz w:val="17"/>
              </w:rPr>
              <w:t>Country</w:t>
            </w:r>
          </w:p>
        </w:tc>
        <w:tc>
          <w:tcPr>
            <w:tcW w:type="dxa" w:w="1987"/>
            <w:vAlign w:val="center"/>
            <w:shd w:fill="17324D"/>
          </w:tcPr>
          <w:p>
            <w:r/>
            <w:r>
              <w:rPr>
                <w:rFonts w:ascii="Aptos" w:hAnsi="Aptos"/>
                <w:b/>
                <w:color w:val="FFFFFF"/>
                <w:sz w:val="17"/>
              </w:rPr>
              <w:t>LPI 2023</w:t>
            </w:r>
          </w:p>
        </w:tc>
        <w:tc>
          <w:tcPr>
            <w:tcW w:type="dxa" w:w="1987"/>
            <w:vAlign w:val="center"/>
            <w:shd w:fill="17324D"/>
          </w:tcPr>
          <w:p>
            <w:r/>
            <w:r>
              <w:rPr>
                <w:rFonts w:ascii="Aptos" w:hAnsi="Aptos"/>
                <w:b/>
                <w:color w:val="FFFFFF"/>
                <w:sz w:val="17"/>
              </w:rPr>
              <w:t>2024 MIO_TKM</w:t>
            </w:r>
          </w:p>
        </w:tc>
        <w:tc>
          <w:tcPr>
            <w:tcW w:type="dxa" w:w="1987"/>
            <w:vAlign w:val="center"/>
            <w:shd w:fill="17324D"/>
          </w:tcPr>
          <w:p>
            <w:r/>
            <w:r>
              <w:rPr>
                <w:rFonts w:ascii="Aptos" w:hAnsi="Aptos"/>
                <w:b/>
                <w:color w:val="FFFFFF"/>
                <w:sz w:val="17"/>
              </w:rPr>
              <w:t>Expansion Score</w:t>
            </w:r>
          </w:p>
        </w:tc>
      </w:tr>
      <w:tr>
        <w:tc>
          <w:tcPr>
            <w:tcW w:type="dxa" w:w="1987"/>
            <w:vAlign w:val="center"/>
          </w:tcPr>
          <w:p>
            <w:r/>
            <w:r>
              <w:rPr>
                <w:rFonts w:ascii="Aptos" w:hAnsi="Aptos"/>
                <w:b w:val="0"/>
                <w:color w:val="263238"/>
                <w:sz w:val="17"/>
              </w:rPr>
              <w:t>1</w:t>
            </w:r>
          </w:p>
        </w:tc>
        <w:tc>
          <w:tcPr>
            <w:tcW w:type="dxa" w:w="1987"/>
            <w:vAlign w:val="center"/>
          </w:tcPr>
          <w:p>
            <w:r/>
            <w:r>
              <w:rPr>
                <w:rFonts w:ascii="Aptos" w:hAnsi="Aptos"/>
                <w:b w:val="0"/>
                <w:color w:val="263238"/>
                <w:sz w:val="17"/>
              </w:rPr>
              <w:t>Germany</w:t>
            </w:r>
          </w:p>
        </w:tc>
        <w:tc>
          <w:tcPr>
            <w:tcW w:type="dxa" w:w="1987"/>
            <w:vAlign w:val="center"/>
          </w:tcPr>
          <w:p>
            <w:r/>
            <w:r>
              <w:rPr>
                <w:rFonts w:ascii="Aptos" w:hAnsi="Aptos"/>
                <w:b w:val="0"/>
                <w:color w:val="263238"/>
                <w:sz w:val="17"/>
              </w:rPr>
              <w:t>4.10</w:t>
            </w:r>
          </w:p>
        </w:tc>
        <w:tc>
          <w:tcPr>
            <w:tcW w:type="dxa" w:w="1987"/>
            <w:vAlign w:val="center"/>
          </w:tcPr>
          <w:p>
            <w:r/>
            <w:r>
              <w:rPr>
                <w:rFonts w:ascii="Aptos" w:hAnsi="Aptos"/>
                <w:b w:val="0"/>
                <w:color w:val="263238"/>
                <w:sz w:val="17"/>
              </w:rPr>
              <w:t>127,006</w:t>
            </w:r>
          </w:p>
        </w:tc>
        <w:tc>
          <w:tcPr>
            <w:tcW w:type="dxa" w:w="1987"/>
            <w:vAlign w:val="center"/>
          </w:tcPr>
          <w:p>
            <w:r/>
            <w:r>
              <w:rPr>
                <w:rFonts w:ascii="Aptos" w:hAnsi="Aptos"/>
                <w:b w:val="0"/>
                <w:color w:val="263238"/>
                <w:sz w:val="17"/>
              </w:rPr>
              <w:t>67.08</w:t>
            </w:r>
          </w:p>
        </w:tc>
      </w:tr>
      <w:tr>
        <w:tc>
          <w:tcPr>
            <w:tcW w:type="dxa" w:w="1987"/>
            <w:vAlign w:val="center"/>
            <w:shd w:fill="F5F7F9"/>
          </w:tcPr>
          <w:p>
            <w:r/>
            <w:r>
              <w:rPr>
                <w:rFonts w:ascii="Aptos" w:hAnsi="Aptos"/>
                <w:b w:val="0"/>
                <w:color w:val="263238"/>
                <w:sz w:val="17"/>
              </w:rPr>
              <w:t>2</w:t>
            </w:r>
          </w:p>
        </w:tc>
        <w:tc>
          <w:tcPr>
            <w:tcW w:type="dxa" w:w="1987"/>
            <w:vAlign w:val="center"/>
            <w:shd w:fill="F5F7F9"/>
          </w:tcPr>
          <w:p>
            <w:r/>
            <w:r>
              <w:rPr>
                <w:rFonts w:ascii="Aptos" w:hAnsi="Aptos"/>
                <w:b w:val="0"/>
                <w:color w:val="263238"/>
                <w:sz w:val="17"/>
              </w:rPr>
              <w:t>Poland</w:t>
            </w:r>
          </w:p>
        </w:tc>
        <w:tc>
          <w:tcPr>
            <w:tcW w:type="dxa" w:w="1987"/>
            <w:vAlign w:val="center"/>
            <w:shd w:fill="F5F7F9"/>
          </w:tcPr>
          <w:p>
            <w:r/>
            <w:r>
              <w:rPr>
                <w:rFonts w:ascii="Aptos" w:hAnsi="Aptos"/>
                <w:b w:val="0"/>
                <w:color w:val="263238"/>
                <w:sz w:val="17"/>
              </w:rPr>
              <w:t>3.60</w:t>
            </w:r>
          </w:p>
        </w:tc>
        <w:tc>
          <w:tcPr>
            <w:tcW w:type="dxa" w:w="1987"/>
            <w:vAlign w:val="center"/>
            <w:shd w:fill="F5F7F9"/>
          </w:tcPr>
          <w:p>
            <w:r/>
            <w:r>
              <w:rPr>
                <w:rFonts w:ascii="Aptos" w:hAnsi="Aptos"/>
                <w:b w:val="0"/>
                <w:color w:val="263238"/>
                <w:sz w:val="17"/>
              </w:rPr>
              <w:t>57,992</w:t>
            </w:r>
          </w:p>
        </w:tc>
        <w:tc>
          <w:tcPr>
            <w:tcW w:type="dxa" w:w="1987"/>
            <w:vAlign w:val="center"/>
            <w:shd w:fill="F5F7F9"/>
          </w:tcPr>
          <w:p>
            <w:r/>
            <w:r>
              <w:rPr>
                <w:rFonts w:ascii="Aptos" w:hAnsi="Aptos"/>
                <w:b w:val="0"/>
                <w:color w:val="263238"/>
                <w:sz w:val="17"/>
              </w:rPr>
              <w:t>39.18</w:t>
            </w:r>
          </w:p>
        </w:tc>
      </w:tr>
      <w:tr>
        <w:tc>
          <w:tcPr>
            <w:tcW w:type="dxa" w:w="1987"/>
            <w:vAlign w:val="center"/>
          </w:tcPr>
          <w:p>
            <w:r/>
            <w:r>
              <w:rPr>
                <w:rFonts w:ascii="Aptos" w:hAnsi="Aptos"/>
                <w:b w:val="0"/>
                <w:color w:val="263238"/>
                <w:sz w:val="17"/>
              </w:rPr>
              <w:t>3</w:t>
            </w:r>
          </w:p>
        </w:tc>
        <w:tc>
          <w:tcPr>
            <w:tcW w:type="dxa" w:w="1987"/>
            <w:vAlign w:val="center"/>
          </w:tcPr>
          <w:p>
            <w:r/>
            <w:r>
              <w:rPr>
                <w:rFonts w:ascii="Aptos" w:hAnsi="Aptos"/>
                <w:b w:val="0"/>
                <w:color w:val="263238"/>
                <w:sz w:val="17"/>
              </w:rPr>
              <w:t>France</w:t>
            </w:r>
          </w:p>
        </w:tc>
        <w:tc>
          <w:tcPr>
            <w:tcW w:type="dxa" w:w="1987"/>
            <w:vAlign w:val="center"/>
          </w:tcPr>
          <w:p>
            <w:r/>
            <w:r>
              <w:rPr>
                <w:rFonts w:ascii="Aptos" w:hAnsi="Aptos"/>
                <w:b w:val="0"/>
                <w:color w:val="263238"/>
                <w:sz w:val="17"/>
              </w:rPr>
              <w:t>3.90</w:t>
            </w:r>
          </w:p>
        </w:tc>
        <w:tc>
          <w:tcPr>
            <w:tcW w:type="dxa" w:w="1987"/>
            <w:vAlign w:val="center"/>
          </w:tcPr>
          <w:p>
            <w:r/>
            <w:r>
              <w:rPr>
                <w:rFonts w:ascii="Aptos" w:hAnsi="Aptos"/>
                <w:b w:val="0"/>
                <w:color w:val="263238"/>
                <w:sz w:val="17"/>
              </w:rPr>
              <w:t>32,249</w:t>
            </w:r>
          </w:p>
        </w:tc>
        <w:tc>
          <w:tcPr>
            <w:tcW w:type="dxa" w:w="1987"/>
            <w:vAlign w:val="center"/>
          </w:tcPr>
          <w:p>
            <w:r/>
            <w:r>
              <w:rPr>
                <w:rFonts w:ascii="Aptos" w:hAnsi="Aptos"/>
                <w:b w:val="0"/>
                <w:color w:val="263238"/>
                <w:sz w:val="17"/>
              </w:rPr>
              <w:t>35.26</w:t>
            </w:r>
          </w:p>
        </w:tc>
      </w:tr>
      <w:tr>
        <w:tc>
          <w:tcPr>
            <w:tcW w:type="dxa" w:w="1987"/>
            <w:vAlign w:val="center"/>
            <w:shd w:fill="F5F7F9"/>
          </w:tcPr>
          <w:p>
            <w:r/>
            <w:r>
              <w:rPr>
                <w:rFonts w:ascii="Aptos" w:hAnsi="Aptos"/>
                <w:b w:val="0"/>
                <w:color w:val="263238"/>
                <w:sz w:val="17"/>
              </w:rPr>
              <w:t>4</w:t>
            </w:r>
          </w:p>
        </w:tc>
        <w:tc>
          <w:tcPr>
            <w:tcW w:type="dxa" w:w="1987"/>
            <w:vAlign w:val="center"/>
            <w:shd w:fill="F5F7F9"/>
          </w:tcPr>
          <w:p>
            <w:r/>
            <w:r>
              <w:rPr>
                <w:rFonts w:ascii="Aptos" w:hAnsi="Aptos"/>
                <w:b w:val="0"/>
                <w:color w:val="263238"/>
                <w:sz w:val="17"/>
              </w:rPr>
              <w:t>Sweden</w:t>
            </w:r>
          </w:p>
        </w:tc>
        <w:tc>
          <w:tcPr>
            <w:tcW w:type="dxa" w:w="1987"/>
            <w:vAlign w:val="center"/>
            <w:shd w:fill="F5F7F9"/>
          </w:tcPr>
          <w:p>
            <w:r/>
            <w:r>
              <w:rPr>
                <w:rFonts w:ascii="Aptos" w:hAnsi="Aptos"/>
                <w:b w:val="0"/>
                <w:color w:val="263238"/>
                <w:sz w:val="17"/>
              </w:rPr>
              <w:t>4.00</w:t>
            </w:r>
          </w:p>
        </w:tc>
        <w:tc>
          <w:tcPr>
            <w:tcW w:type="dxa" w:w="1987"/>
            <w:vAlign w:val="center"/>
            <w:shd w:fill="F5F7F9"/>
          </w:tcPr>
          <w:p>
            <w:r/>
            <w:r>
              <w:rPr>
                <w:rFonts w:ascii="Aptos" w:hAnsi="Aptos"/>
                <w:b w:val="0"/>
                <w:color w:val="263238"/>
                <w:sz w:val="17"/>
              </w:rPr>
              <w:t>21,789</w:t>
            </w:r>
          </w:p>
        </w:tc>
        <w:tc>
          <w:tcPr>
            <w:tcW w:type="dxa" w:w="1987"/>
            <w:vAlign w:val="center"/>
            <w:shd w:fill="F5F7F9"/>
          </w:tcPr>
          <w:p>
            <w:r/>
            <w:r>
              <w:rPr>
                <w:rFonts w:ascii="Aptos" w:hAnsi="Aptos"/>
                <w:b w:val="0"/>
                <w:color w:val="263238"/>
                <w:sz w:val="17"/>
              </w:rPr>
              <w:t>33.37</w:t>
            </w:r>
          </w:p>
        </w:tc>
      </w:tr>
      <w:tr>
        <w:tc>
          <w:tcPr>
            <w:tcW w:type="dxa" w:w="1987"/>
            <w:vAlign w:val="center"/>
          </w:tcPr>
          <w:p>
            <w:r/>
            <w:r>
              <w:rPr>
                <w:rFonts w:ascii="Aptos" w:hAnsi="Aptos"/>
                <w:b w:val="0"/>
                <w:color w:val="263238"/>
                <w:sz w:val="17"/>
              </w:rPr>
              <w:t>5</w:t>
            </w:r>
          </w:p>
        </w:tc>
        <w:tc>
          <w:tcPr>
            <w:tcW w:type="dxa" w:w="1987"/>
            <w:vAlign w:val="center"/>
          </w:tcPr>
          <w:p>
            <w:r/>
            <w:r>
              <w:rPr>
                <w:rFonts w:ascii="Aptos" w:hAnsi="Aptos"/>
                <w:b w:val="0"/>
                <w:color w:val="263238"/>
                <w:sz w:val="17"/>
              </w:rPr>
              <w:t>Austria</w:t>
            </w:r>
          </w:p>
        </w:tc>
        <w:tc>
          <w:tcPr>
            <w:tcW w:type="dxa" w:w="1987"/>
            <w:vAlign w:val="center"/>
          </w:tcPr>
          <w:p>
            <w:r/>
            <w:r>
              <w:rPr>
                <w:rFonts w:ascii="Aptos" w:hAnsi="Aptos"/>
                <w:b w:val="0"/>
                <w:color w:val="263238"/>
                <w:sz w:val="17"/>
              </w:rPr>
              <w:t>4.00</w:t>
            </w:r>
          </w:p>
        </w:tc>
        <w:tc>
          <w:tcPr>
            <w:tcW w:type="dxa" w:w="1987"/>
            <w:vAlign w:val="center"/>
          </w:tcPr>
          <w:p>
            <w:r/>
            <w:r>
              <w:rPr>
                <w:rFonts w:ascii="Aptos" w:hAnsi="Aptos"/>
                <w:b w:val="0"/>
                <w:color w:val="263238"/>
                <w:sz w:val="17"/>
              </w:rPr>
              <w:t>20,997</w:t>
            </w:r>
          </w:p>
        </w:tc>
        <w:tc>
          <w:tcPr>
            <w:tcW w:type="dxa" w:w="1987"/>
            <w:vAlign w:val="center"/>
          </w:tcPr>
          <w:p>
            <w:r/>
            <w:r>
              <w:rPr>
                <w:rFonts w:ascii="Aptos" w:hAnsi="Aptos"/>
                <w:b w:val="0"/>
                <w:color w:val="263238"/>
                <w:sz w:val="17"/>
              </w:rPr>
              <w:t>33.13</w:t>
            </w:r>
          </w:p>
        </w:tc>
      </w:tr>
    </w:tbl>
    <w:p>
      <w:r>
        <w:t>Germany's score is substantially higher than the rest of the ranking because the freight component is large relative to the model's 130,000 MIO_TKM reference point, while the LPI component also contributes positively. Poland is second because its freight component is materially larger than that of France, Sweden and Austria despite a lower LPI score.</w:t>
      </w:r>
    </w:p>
    <w:p>
      <w:r>
        <w:t>France, Sweden and Austria form a relatively close group. This is commercially relevant: the model gives a clear first and second position, but the separation among the next three markets is much smaller. A decision-maker should therefore avoid treating small differences in scores as precise estimates of market attractiveness.</w:t>
      </w:r>
    </w:p>
    <w:p>
      <w:pPr>
        <w:pStyle w:val="Heading1"/>
      </w:pPr>
      <w:r>
        <w:t>7. Business Interpretation</w:t>
      </w:r>
    </w:p>
    <w:p>
      <w:pPr>
        <w:pStyle w:val="Heading2"/>
      </w:pPr>
      <w:r>
        <w:t>Germany</w:t>
      </w:r>
    </w:p>
    <w:p>
      <w:r>
        <w:t>Germany is the primary market identified by the screening model. The result is consistent with its strong LPI performance and the large freight observation used by the project. External transport-network evidence also places Germany on several European Transport Corridors, including the Rhine–Danube and North Sea–Rhine–Mediterranean networks.</w:t>
      </w:r>
    </w:p>
    <w:p>
      <w:r>
        <w:t>The business implication is not that Germany is automatically the most profitable market. Rather, the available evidence supports taking Germany into the next stage of diligence because it combines strong logistics conditions with a high modelled freight-activity signal.</w:t>
      </w:r>
    </w:p>
    <w:p>
      <w:pPr>
        <w:pStyle w:val="Heading2"/>
      </w:pPr>
      <w:r>
        <w:t>Poland</w:t>
      </w:r>
    </w:p>
    <w:p>
      <w:r>
        <w:t>Poland is the secondary market identified by the model. Its 57,992 MIO_TKM project freight observation is the second largest among the markets in the completed scoring table, while its LPI score of 3.60 is below Germany's 4.10. The resulting score of 39.18 reflects this trade-off.</w:t>
      </w:r>
    </w:p>
    <w:p>
      <w:r>
        <w:t>Poland also sits on the North Sea–Baltic European Transport Corridor, which links Germany and other North Sea markets with Poland and the Baltic region. This is useful network context for a Danish 3PL, although corridor inclusion alone is not evidence of commercial success.</w:t>
      </w:r>
    </w:p>
    <w:p>
      <w:pPr>
        <w:pStyle w:val="Heading2"/>
      </w:pPr>
      <w:r>
        <w:t>France, Sweden and Austria</w:t>
      </w:r>
    </w:p>
    <w:p>
      <w:r>
        <w:t>These markets remain relevant secondary candidates. Their scores are close enough that additional commercial information could reasonably alter their ordering in a future model. They should therefore be retained as monitoring markets rather than discarded solely because they fall below the first two positions.</w:t>
      </w:r>
    </w:p>
    <w:p>
      <w:pPr>
        <w:pStyle w:val="Heading1"/>
      </w:pPr>
      <w:r>
        <w:t>8. Recommendation</w:t>
      </w:r>
    </w:p>
    <w:p>
      <w:pPr>
        <w:pStyle w:val="ExecutiveSummary"/>
      </w:pPr>
      <w:r>
        <w:t>Take Germany forward as the primary market for detailed commercial assessment and Poland as the secondary market.</w:t>
      </w:r>
    </w:p>
    <w:p>
      <w:r>
        <w:t>This recommendation follows directly from the model rather than from an assumption about market profitability. Germany's 67.08 score is supported by both modelled logistics performance and freight activity. Poland's 39.18 score makes it the next market to investigate under the same framework.</w:t>
      </w:r>
    </w:p>
    <w:p>
      <w:r>
        <w:t>The recommendation should now move from country screening to market-entry diligence. The objective of the next stage is to determine whether the model's signal translates into an economically attractive opportunity for the specific Danish 3PL.</w:t>
      </w:r>
    </w:p>
    <w:p>
      <w:pPr>
        <w:pStyle w:val="Heading1"/>
      </w:pPr>
      <w:r>
        <w:t>9. Next-Step Due Diligence</w:t>
      </w:r>
    </w:p>
    <w:p>
      <w:pPr>
        <w:pStyle w:val="ListNumber"/>
        <w:spacing w:after="80"/>
      </w:pPr>
      <w:r>
        <w:t>Map freight corridors, industrial clusters and customer concentrations relevant to the 3PL's existing service proposition.</w:t>
      </w:r>
    </w:p>
    <w:p>
      <w:pPr>
        <w:pStyle w:val="ListNumber"/>
        <w:spacing w:after="80"/>
      </w:pPr>
      <w:r>
        <w:t>Benchmark major competitors in Germany and Poland, including network coverage, service scope and publicly observable pricing or positioning.</w:t>
      </w:r>
    </w:p>
    <w:p>
      <w:pPr>
        <w:pStyle w:val="ListNumber"/>
        <w:spacing w:after="80"/>
      </w:pPr>
      <w:r>
        <w:t>Estimate operating economics: labour, warehouse, transport, subcontracting, insurance and administrative costs.</w:t>
      </w:r>
    </w:p>
    <w:p>
      <w:pPr>
        <w:pStyle w:val="ListNumber"/>
        <w:spacing w:after="80"/>
      </w:pPr>
      <w:r>
        <w:t>Identify regulatory and operational requirements for establishing or scaling a local operation.</w:t>
      </w:r>
    </w:p>
    <w:p>
      <w:pPr>
        <w:pStyle w:val="ListNumber"/>
        <w:spacing w:after="80"/>
      </w:pPr>
      <w:r>
        <w:t>Estimate addressable customer demand by segment rather than relying on aggregate freight activity alone.</w:t>
      </w:r>
    </w:p>
    <w:p>
      <w:pPr>
        <w:pStyle w:val="ListNumber"/>
        <w:spacing w:after="80"/>
      </w:pPr>
      <w:r>
        <w:t>Run sensitivity analysis on the Expansion Score using alternative weights and additional variables.</w:t>
      </w:r>
    </w:p>
    <w:p>
      <w:pPr>
        <w:pStyle w:val="ListNumber"/>
        <w:spacing w:after="80"/>
      </w:pPr>
      <w:r>
        <w:t>Build a commercial business case for the shortlisted market(s), including entry cost, revenue potential, expected margin and implementation timeline.</w:t>
      </w:r>
    </w:p>
    <w:p>
      <w:pPr>
        <w:pStyle w:val="Heading1"/>
      </w:pPr>
      <w:r>
        <w:t>10. Limitations and Data Quality</w:t>
      </w:r>
    </w:p>
    <w:p>
      <w:r>
        <w:t>The first limitation is indicator coverage. The model contains only two weighted inputs. Important commercial factors are absent, so the score is a screening index.</w:t>
      </w:r>
    </w:p>
    <w:p>
      <w:r>
        <w:t>The second limitation is timing. Freight activity is measured for 2024 while the LPI used in the project is from 2023. The two indicators therefore do not describe exactly the same period.</w:t>
      </w:r>
    </w:p>
    <w:p>
      <w:r>
        <w:t>The third limitation is measurement scope. Eurostat publishes multiple road-freight measures and territorial concepts. The Power BI model uses the project's selected MIO_TKM observation and should not be presented as a complete measure of national freight activity without specifying the underlying dataset definition.</w:t>
      </w:r>
    </w:p>
    <w:p>
      <w:r>
        <w:t>The fourth limitation is the LPI's construction. The World Bank describes the LPI as a survey-based measure of logistics performance across six dimensions. It is useful for cross-country benchmarking, but it is not a direct observation of a 3PL's own operating performance.</w:t>
      </w:r>
    </w:p>
    <w:p>
      <w:r>
        <w:t>Finally, the 40% + 40% weighting leaves 20 percentage points outside the current formula. The model remains internally consistent, but this should be addressed in a future version if the score is intended to become a formal investment-ranking tool.</w:t>
      </w:r>
    </w:p>
    <w:p>
      <w:pPr>
        <w:pStyle w:val="Heading1"/>
      </w:pPr>
      <w:r>
        <w:t>11. Conclusion</w:t>
      </w:r>
    </w:p>
    <w:p>
      <w:r>
        <w:t>The analysis provides a defensible first-stage screen for EU expansion. Under the specified methodology, Germany is the primary market and Poland is the secondary market, with France, Sweden and Austria forming the next group.</w:t>
      </w:r>
    </w:p>
    <w:p>
      <w:r>
        <w:t>The strength of the analysis is its transparency: the result can be traced from source datasets through data cleaning, country matching, normalisation and weighting to the final Power BI score. Its weakness is equally clear: the model is not yet a complete commercial business case.</w:t>
      </w:r>
    </w:p>
    <w:p>
      <w:r>
        <w:t>The appropriate next step is therefore not to treat the ranking as the final answer, but to use it to focus commercial research on the shortlisted markets and test the screening result against customer demand, competition, operating economics and market-entry constraints.</w:t>
      </w:r>
    </w:p>
    <w:p>
      <w:r>
        <w:br w:type="page"/>
      </w:r>
    </w:p>
    <w:p>
      <w:pPr>
        <w:pStyle w:val="Heading1"/>
      </w:pPr>
      <w:r>
        <w:t>References and Research Sources</w:t>
      </w:r>
    </w:p>
    <w:p>
      <w:pPr>
        <w:pStyle w:val="SmallNote"/>
      </w:pPr>
      <w:r>
        <w:rPr>
          <w:b/>
        </w:rPr>
        <w:t xml:space="preserve">[1] Eurostat. Road freight transport measurement — metadata and definitions. </w:t>
      </w:r>
      <w:r>
        <w:t>https://ec.europa.eu/eurostat/cache/metadata/EN/road_go_esms.htm</w:t>
      </w:r>
    </w:p>
    <w:p>
      <w:pPr>
        <w:pStyle w:val="SmallNote"/>
      </w:pPr>
      <w:r>
        <w:rPr>
          <w:b/>
        </w:rPr>
        <w:t xml:space="preserve">[2] Eurostat. Road freight transport statistics — 2024 overview. </w:t>
      </w:r>
      <w:r>
        <w:t>https://ec.europa.eu/eurostat/statistics-explained/SEPDF/cache/9217.pdf</w:t>
      </w:r>
    </w:p>
    <w:p>
      <w:pPr>
        <w:pStyle w:val="SmallNote"/>
      </w:pPr>
      <w:r>
        <w:rPr>
          <w:b/>
        </w:rPr>
        <w:t xml:space="preserve">[3] Eurostat. Road freight transport methodology — 2025 revised edition. </w:t>
      </w:r>
      <w:r>
        <w:t>https://ec.europa.eu/eurostat/en/web/products-manuals-and-guidelines/w/ks-01-25-070</w:t>
      </w:r>
    </w:p>
    <w:p>
      <w:pPr>
        <w:pStyle w:val="SmallNote"/>
      </w:pPr>
      <w:r>
        <w:rPr>
          <w:b/>
        </w:rPr>
        <w:t xml:space="preserve">[4] World Bank. Logistics Performance Index 2023 — Connecting to Compete. </w:t>
      </w:r>
      <w:r>
        <w:t>https://lpi.worldbank.org/sites/default/files/2023-04/LPI_2023_report.pdf</w:t>
      </w:r>
    </w:p>
    <w:p>
      <w:pPr>
        <w:pStyle w:val="SmallNote"/>
      </w:pPr>
      <w:r>
        <w:rPr>
          <w:b/>
        </w:rPr>
        <w:t xml:space="preserve">[5] World Bank. LPI methodology. </w:t>
      </w:r>
      <w:r>
        <w:t>https://lpi.worldbank.org/en/about/methodology</w:t>
      </w:r>
    </w:p>
    <w:p>
      <w:pPr>
        <w:pStyle w:val="SmallNote"/>
      </w:pPr>
      <w:r>
        <w:rPr>
          <w:b/>
        </w:rPr>
        <w:t xml:space="preserve">[6] World Bank DataBank. Logistics Performance Index — overall indicator. </w:t>
      </w:r>
      <w:r>
        <w:t>https://databank.worldbank.org/reports.aspx?dsid=66&amp;series=LP.LPI.OVRL.XQ</w:t>
      </w:r>
    </w:p>
    <w:p>
      <w:pPr>
        <w:pStyle w:val="SmallNote"/>
      </w:pPr>
      <w:r>
        <w:rPr>
          <w:b/>
        </w:rPr>
        <w:t xml:space="preserve">[7] European Commission. Rhine–Danube Corridor. </w:t>
      </w:r>
      <w:r>
        <w:t>https://transport.ec.europa.eu/transport-themes/infrastructure-and-investment/trans-european-transport-network-ten-t/rhine-danube-corridor_en</w:t>
      </w:r>
    </w:p>
    <w:p>
      <w:pPr>
        <w:pStyle w:val="SmallNote"/>
      </w:pPr>
      <w:r>
        <w:rPr>
          <w:b/>
        </w:rPr>
        <w:t xml:space="preserve">[8] European Commission. North Sea–Baltic Corridor. </w:t>
      </w:r>
      <w:r>
        <w:t>https://transport.ec.europa.eu/transport-themes/infrastructure-and-investment/trans-european-transport-network-ten-t/north-sea-baltic-corridor_en</w:t>
      </w:r>
    </w:p>
    <w:p>
      <w:pPr>
        <w:pStyle w:val="SmallNote"/>
      </w:pPr>
      <w:r>
        <w:rPr>
          <w:b/>
        </w:rPr>
        <w:t xml:space="preserve">[9] European Commission. TEN-T governance and European Transport Corridors. </w:t>
      </w:r>
      <w:r>
        <w:t>https://transport.ec.europa.eu/transport-themes/infrastructure-and-investment/trans-european-transport-network-ten-t/ten-t-governance_en</w:t>
      </w:r>
    </w:p>
    <w:p/>
    <w:p>
      <w:pPr>
        <w:pStyle w:val="SmallNote"/>
      </w:pPr>
      <w:r>
        <w:t>Note on project figures: the Expansion Scores and the top-five freight observations reported in this paper are taken from the completed Power BI scoring table for the project. External sources are used to validate definitions, methodology and business context; they are not used to replace the project's model outputs.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3"/>
        <w:sz w:val="16"/>
      </w:rPr>
      <w:t>EU Logistics Expansion Screen | Business Research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D7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D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60"/>
    </w:pPr>
    <w:rPr>
      <w:rFonts w:ascii="Aptos" w:hAnsi="Aptos"/>
      <w:b/>
      <w:color w:val="17324D"/>
      <w:sz w:val="22"/>
    </w:rPr>
  </w:style>
  <w:style w:type="paragraph" w:customStyle="1" w:styleId="SmallNote">
    <w:name w:val="Small Note"/>
    <w:pPr>
      <w:spacing w:after="100"/>
    </w:pPr>
    <w:rPr>
      <w:rFonts w:ascii="Aptos" w:hAnsi="Aptos"/>
      <w:color w:val="5F6B73"/>
      <w:sz w:val="17"/>
    </w:rPr>
  </w:style>
  <w:style w:type="paragraph" w:customStyle="1" w:styleId="TableText">
    <w:name w:val="Table Text"/>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