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44"/>
          <w:szCs w:val="44"/>
        </w:rPr>
        <w:t xml:space="preserve">Job Market Analytics</w:t>
      </w:r>
    </w:p>
    <w:p>
      <w:pPr>
        <w:spacing w:after="60"/>
      </w:pPr>
      <w:r>
        <w:rPr>
          <w:color w:val="444444"/>
          <w:sz w:val="30"/>
          <w:szCs w:val="30"/>
        </w:rPr>
        <w:t xml:space="preserve">Business Recommendations</w:t>
      </w:r>
    </w:p>
    <w:p>
      <w:pPr>
        <w:spacing w:after="400"/>
      </w:pPr>
      <w:r>
        <w:rPr>
          <w:i/>
          <w:iCs/>
          <w:color w:val="666666"/>
          <w:sz w:val="22"/>
          <w:szCs w:val="22"/>
        </w:rPr>
        <w:t xml:space="preserve">Translating the data-cleaning, SQL, Python, and AI-assisted analysis into concrete, actionable decisions.</w:t>
      </w:r>
    </w:p>
    <w:p>
      <w:pPr>
        <w:pStyle w:val="Heading1"/>
        <w:spacing w:after="160" w:before="320"/>
      </w:pPr>
      <w:r>
        <w:t xml:space="preserve">Executive Summary</w:t>
      </w:r>
    </w:p>
    <w:p>
      <w:pPr>
        <w:spacing w:after="160"/>
      </w:pPr>
      <w:r>
        <w:t xml:space="preserve">Across ~72,000 salary records (2020–2025), ~2,200 Data Analyst postings, and ~2,900 Indeed-scraped listings, a consistent picture emerges: SQL, Python, and Excel remain the non-negotiable core; cloud platform fluency (especially AWS) increasingly separates competitive candidates; and the biggest, most reliable pay lever in the data isn’t a tool at all — it’s seniority. The recommendations below are grounded directly in the tables and views built in the earlier passes of this project, with sample sizes and caveats called out wherever the signal is thin.</w:t>
      </w:r>
    </w:p>
    <w:p>
      <w:pPr>
        <w:pStyle w:val="Heading1"/>
        <w:spacing w:after="160" w:before="320"/>
      </w:pPr>
      <w:r>
        <w:t xml:space="preserve">1. Top 10 Skills to Learn</w:t>
      </w:r>
    </w:p>
    <w:p>
      <w:pPr>
        <w:spacing w:after="160"/>
      </w:pPr>
      <w:r>
        <w:t xml:space="preserve">Ranked by how often they're requested across the combined Data Analyst and Indeed job postings (4,717 postings with extracted skill data), cross-checked against average associated salary where available.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600"/>
      </w:tblGrid>
      <w:tr>
        <w:tc>
          <w:tcPr>
            <w:tcW w:type="dxa" w:w="900"/>
            <w:shd w:fill="1F4E78" w:color="auto" w:val="clear"/>
            <w:tcMar>
              <w:top w:type="dxa" w:w="80"/>
              <w:left w:type="dxa" w:w="120"/>
              <w:bottom w:type="dxa" w:w="80"/>
              <w:right w:type="dxa" w:w="120"/>
            </w:tcMar>
          </w:tcPr>
          <w:p>
            <w:r>
              <w:rPr>
                <w:b/>
                <w:bCs/>
                <w:color w:val="FFFFFF"/>
                <w:sz w:val="20"/>
                <w:szCs w:val="20"/>
              </w:rPr>
              <w:t xml:space="preserve">Rank</w:t>
            </w:r>
          </w:p>
        </w:tc>
        <w:tc>
          <w:tcPr>
            <w:tcW w:type="dxa" w:w="3600"/>
            <w:shd w:fill="1F4E78" w:color="auto" w:val="clear"/>
            <w:tcMar>
              <w:top w:type="dxa" w:w="80"/>
              <w:left w:type="dxa" w:w="120"/>
              <w:bottom w:type="dxa" w:w="80"/>
              <w:right w:type="dxa" w:w="120"/>
            </w:tcMar>
          </w:tcPr>
          <w:p>
            <w:r>
              <w:rPr>
                <w:b/>
                <w:bCs/>
                <w:color w:val="FFFFFF"/>
                <w:sz w:val="20"/>
                <w:szCs w:val="20"/>
              </w:rPr>
              <w:t xml:space="preserve">Skill</w:t>
            </w:r>
          </w:p>
        </w:tc>
        <w:tc>
          <w:tcPr>
            <w:tcW w:type="dxa" w:w="2600"/>
            <w:shd w:fill="1F4E78" w:color="auto" w:val="clear"/>
            <w:tcMar>
              <w:top w:type="dxa" w:w="80"/>
              <w:left w:type="dxa" w:w="120"/>
              <w:bottom w:type="dxa" w:w="80"/>
              <w:right w:type="dxa" w:w="120"/>
            </w:tcMar>
          </w:tcPr>
          <w:p>
            <w:r>
              <w:rPr>
                <w:b/>
                <w:bCs/>
                <w:color w:val="FFFFFF"/>
                <w:sz w:val="20"/>
                <w:szCs w:val="20"/>
              </w:rPr>
              <w:t xml:space="preserve">Postings mentioning</w:t>
            </w:r>
          </w:p>
        </w:tc>
        <w:tc>
          <w:tcPr>
            <w:tcW w:type="dxa" w:w="2600"/>
            <w:shd w:fill="1F4E78" w:color="auto" w:val="clear"/>
            <w:tcMar>
              <w:top w:type="dxa" w:w="80"/>
              <w:left w:type="dxa" w:w="120"/>
              <w:bottom w:type="dxa" w:w="80"/>
              <w:right w:type="dxa" w:w="120"/>
            </w:tcMar>
          </w:tcPr>
          <w:p>
            <w:r>
              <w:rPr>
                <w:b/>
                <w:bCs/>
                <w:color w:val="FFFFFF"/>
                <w:sz w:val="20"/>
                <w:szCs w:val="20"/>
              </w:rPr>
              <w:t xml:space="preserve">Avg salary (where tracked)</w:t>
            </w:r>
          </w:p>
        </w:tc>
      </w:tr>
      <w:tr>
        <w:tc>
          <w:tcPr>
            <w:tcW w:type="dxa" w:w="900"/>
            <w:tcMar>
              <w:top w:type="dxa" w:w="80"/>
              <w:left w:type="dxa" w:w="120"/>
              <w:bottom w:type="dxa" w:w="80"/>
              <w:right w:type="dxa" w:w="120"/>
            </w:tcMar>
          </w:tcPr>
          <w:p>
            <w:r>
              <w:rPr>
                <w:b w:val="false"/>
                <w:bCs w:val="false"/>
                <w:color w:val="000000"/>
                <w:sz w:val="20"/>
                <w:szCs w:val="20"/>
              </w:rPr>
              <w:t xml:space="preserve">1</w:t>
            </w:r>
          </w:p>
        </w:tc>
        <w:tc>
          <w:tcPr>
            <w:tcW w:type="dxa" w:w="3600"/>
            <w:tcMar>
              <w:top w:type="dxa" w:w="80"/>
              <w:left w:type="dxa" w:w="120"/>
              <w:bottom w:type="dxa" w:w="80"/>
              <w:right w:type="dxa" w:w="120"/>
            </w:tcMar>
          </w:tcPr>
          <w:p>
            <w:r>
              <w:rPr>
                <w:b w:val="false"/>
                <w:bCs w:val="false"/>
                <w:color w:val="000000"/>
                <w:sz w:val="20"/>
                <w:szCs w:val="20"/>
              </w:rPr>
              <w:t xml:space="preserve">SQL</w:t>
            </w:r>
          </w:p>
        </w:tc>
        <w:tc>
          <w:tcPr>
            <w:tcW w:type="dxa" w:w="2600"/>
            <w:tcMar>
              <w:top w:type="dxa" w:w="80"/>
              <w:left w:type="dxa" w:w="120"/>
              <w:bottom w:type="dxa" w:w="80"/>
              <w:right w:type="dxa" w:w="120"/>
            </w:tcMar>
          </w:tcPr>
          <w:p>
            <w:r>
              <w:rPr>
                <w:b w:val="false"/>
                <w:bCs w:val="false"/>
                <w:color w:val="000000"/>
                <w:sz w:val="20"/>
                <w:szCs w:val="20"/>
              </w:rPr>
              <w:t xml:space="preserve">2,760</w:t>
            </w:r>
          </w:p>
        </w:tc>
        <w:tc>
          <w:tcPr>
            <w:tcW w:type="dxa" w:w="2600"/>
            <w:tcMar>
              <w:top w:type="dxa" w:w="80"/>
              <w:left w:type="dxa" w:w="120"/>
              <w:bottom w:type="dxa" w:w="80"/>
              <w:right w:type="dxa" w:w="120"/>
            </w:tcMar>
          </w:tcPr>
          <w:p>
            <w:r>
              <w:rPr>
                <w:b w:val="false"/>
                <w:bCs w:val="false"/>
                <w:color w:val="000000"/>
                <w:sz w:val="20"/>
                <w:szCs w:val="20"/>
              </w:rPr>
              <w:t xml:space="preserve">$71.8K</w:t>
            </w:r>
          </w:p>
        </w:tc>
      </w:tr>
      <w:tr>
        <w:tc>
          <w:tcPr>
            <w:tcW w:type="dxa" w:w="900"/>
            <w:tcMar>
              <w:top w:type="dxa" w:w="80"/>
              <w:left w:type="dxa" w:w="120"/>
              <w:bottom w:type="dxa" w:w="80"/>
              <w:right w:type="dxa" w:w="120"/>
            </w:tcMar>
          </w:tcPr>
          <w:p>
            <w:r>
              <w:rPr>
                <w:b w:val="false"/>
                <w:bCs w:val="false"/>
                <w:color w:val="000000"/>
                <w:sz w:val="20"/>
                <w:szCs w:val="20"/>
              </w:rPr>
              <w:t xml:space="preserve">2</w:t>
            </w:r>
          </w:p>
        </w:tc>
        <w:tc>
          <w:tcPr>
            <w:tcW w:type="dxa" w:w="3600"/>
            <w:tcMar>
              <w:top w:type="dxa" w:w="80"/>
              <w:left w:type="dxa" w:w="120"/>
              <w:bottom w:type="dxa" w:w="80"/>
              <w:right w:type="dxa" w:w="120"/>
            </w:tcMar>
          </w:tcPr>
          <w:p>
            <w:r>
              <w:rPr>
                <w:b w:val="false"/>
                <w:bCs w:val="false"/>
                <w:color w:val="000000"/>
                <w:sz w:val="20"/>
                <w:szCs w:val="20"/>
              </w:rPr>
              <w:t xml:space="preserve">Python</w:t>
            </w:r>
          </w:p>
        </w:tc>
        <w:tc>
          <w:tcPr>
            <w:tcW w:type="dxa" w:w="2600"/>
            <w:tcMar>
              <w:top w:type="dxa" w:w="80"/>
              <w:left w:type="dxa" w:w="120"/>
              <w:bottom w:type="dxa" w:w="80"/>
              <w:right w:type="dxa" w:w="120"/>
            </w:tcMar>
          </w:tcPr>
          <w:p>
            <w:r>
              <w:rPr>
                <w:b w:val="false"/>
                <w:bCs w:val="false"/>
                <w:color w:val="000000"/>
                <w:sz w:val="20"/>
                <w:szCs w:val="20"/>
              </w:rPr>
              <w:t xml:space="preserve">1,997</w:t>
            </w:r>
          </w:p>
        </w:tc>
        <w:tc>
          <w:tcPr>
            <w:tcW w:type="dxa" w:w="2600"/>
            <w:tcMar>
              <w:top w:type="dxa" w:w="80"/>
              <w:left w:type="dxa" w:w="120"/>
              <w:bottom w:type="dxa" w:w="80"/>
              <w:right w:type="dxa" w:w="120"/>
            </w:tcMar>
          </w:tcPr>
          <w:p>
            <w:r>
              <w:rPr>
                <w:b w:val="false"/>
                <w:bCs w:val="false"/>
                <w:color w:val="000000"/>
                <w:sz w:val="20"/>
                <w:szCs w:val="20"/>
              </w:rPr>
              <w:t xml:space="preserve">$74.7K</w:t>
            </w:r>
          </w:p>
        </w:tc>
      </w:tr>
      <w:tr>
        <w:tc>
          <w:tcPr>
            <w:tcW w:type="dxa" w:w="900"/>
            <w:tcMar>
              <w:top w:type="dxa" w:w="80"/>
              <w:left w:type="dxa" w:w="120"/>
              <w:bottom w:type="dxa" w:w="80"/>
              <w:right w:type="dxa" w:w="120"/>
            </w:tcMar>
          </w:tcPr>
          <w:p>
            <w:r>
              <w:rPr>
                <w:b w:val="false"/>
                <w:bCs w:val="false"/>
                <w:color w:val="000000"/>
                <w:sz w:val="20"/>
                <w:szCs w:val="20"/>
              </w:rPr>
              <w:t xml:space="preserve">3</w:t>
            </w:r>
          </w:p>
        </w:tc>
        <w:tc>
          <w:tcPr>
            <w:tcW w:type="dxa" w:w="3600"/>
            <w:tcMar>
              <w:top w:type="dxa" w:w="80"/>
              <w:left w:type="dxa" w:w="120"/>
              <w:bottom w:type="dxa" w:w="80"/>
              <w:right w:type="dxa" w:w="120"/>
            </w:tcMar>
          </w:tcPr>
          <w:p>
            <w:r>
              <w:rPr>
                <w:b w:val="false"/>
                <w:bCs w:val="false"/>
                <w:color w:val="000000"/>
                <w:sz w:val="20"/>
                <w:szCs w:val="20"/>
              </w:rPr>
              <w:t xml:space="preserve">Excel</w:t>
            </w:r>
          </w:p>
        </w:tc>
        <w:tc>
          <w:tcPr>
            <w:tcW w:type="dxa" w:w="2600"/>
            <w:tcMar>
              <w:top w:type="dxa" w:w="80"/>
              <w:left w:type="dxa" w:w="120"/>
              <w:bottom w:type="dxa" w:w="80"/>
              <w:right w:type="dxa" w:w="120"/>
            </w:tcMar>
          </w:tcPr>
          <w:p>
            <w:r>
              <w:rPr>
                <w:b w:val="false"/>
                <w:bCs w:val="false"/>
                <w:color w:val="000000"/>
                <w:sz w:val="20"/>
                <w:szCs w:val="20"/>
              </w:rPr>
              <w:t xml:space="preserve">1,851</w:t>
            </w:r>
          </w:p>
        </w:tc>
        <w:tc>
          <w:tcPr>
            <w:tcW w:type="dxa" w:w="2600"/>
            <w:tcMar>
              <w:top w:type="dxa" w:w="80"/>
              <w:left w:type="dxa" w:w="120"/>
              <w:bottom w:type="dxa" w:w="80"/>
              <w:right w:type="dxa" w:w="120"/>
            </w:tcMar>
          </w:tcPr>
          <w:p>
            <w:r>
              <w:rPr>
                <w:b w:val="false"/>
                <w:bCs w:val="false"/>
                <w:color w:val="000000"/>
                <w:sz w:val="20"/>
                <w:szCs w:val="20"/>
              </w:rPr>
              <w:t xml:space="preserve">$71.7K</w:t>
            </w:r>
          </w:p>
        </w:tc>
      </w:tr>
      <w:tr>
        <w:tc>
          <w:tcPr>
            <w:tcW w:type="dxa" w:w="900"/>
            <w:tcMar>
              <w:top w:type="dxa" w:w="80"/>
              <w:left w:type="dxa" w:w="120"/>
              <w:bottom w:type="dxa" w:w="80"/>
              <w:right w:type="dxa" w:w="120"/>
            </w:tcMar>
          </w:tcPr>
          <w:p>
            <w:r>
              <w:rPr>
                <w:b w:val="false"/>
                <w:bCs w:val="false"/>
                <w:color w:val="000000"/>
                <w:sz w:val="20"/>
                <w:szCs w:val="20"/>
              </w:rPr>
              <w:t xml:space="preserve">4</w:t>
            </w:r>
          </w:p>
        </w:tc>
        <w:tc>
          <w:tcPr>
            <w:tcW w:type="dxa" w:w="3600"/>
            <w:tcMar>
              <w:top w:type="dxa" w:w="80"/>
              <w:left w:type="dxa" w:w="120"/>
              <w:bottom w:type="dxa" w:w="80"/>
              <w:right w:type="dxa" w:w="120"/>
            </w:tcMar>
          </w:tcPr>
          <w:p>
            <w:r>
              <w:rPr>
                <w:b w:val="false"/>
                <w:bCs w:val="false"/>
                <w:color w:val="000000"/>
                <w:sz w:val="20"/>
                <w:szCs w:val="20"/>
              </w:rPr>
              <w:t xml:space="preserve">Tableau</w:t>
            </w:r>
          </w:p>
        </w:tc>
        <w:tc>
          <w:tcPr>
            <w:tcW w:type="dxa" w:w="2600"/>
            <w:tcMar>
              <w:top w:type="dxa" w:w="80"/>
              <w:left w:type="dxa" w:w="120"/>
              <w:bottom w:type="dxa" w:w="80"/>
              <w:right w:type="dxa" w:w="120"/>
            </w:tcMar>
          </w:tcPr>
          <w:p>
            <w:r>
              <w:rPr>
                <w:b w:val="false"/>
                <w:bCs w:val="false"/>
                <w:color w:val="000000"/>
                <w:sz w:val="20"/>
                <w:szCs w:val="20"/>
              </w:rPr>
              <w:t xml:space="preserve">1,106</w:t>
            </w:r>
          </w:p>
        </w:tc>
        <w:tc>
          <w:tcPr>
            <w:tcW w:type="dxa" w:w="2600"/>
            <w:tcMar>
              <w:top w:type="dxa" w:w="80"/>
              <w:left w:type="dxa" w:w="120"/>
              <w:bottom w:type="dxa" w:w="80"/>
              <w:right w:type="dxa" w:w="120"/>
            </w:tcMar>
          </w:tcPr>
          <w:p>
            <w:r>
              <w:rPr>
                <w:b w:val="false"/>
                <w:bCs w:val="false"/>
                <w:color w:val="000000"/>
                <w:sz w:val="20"/>
                <w:szCs w:val="20"/>
              </w:rPr>
              <w:t xml:space="preserve">$74.2K</w:t>
            </w:r>
          </w:p>
        </w:tc>
      </w:tr>
      <w:tr>
        <w:tc>
          <w:tcPr>
            <w:tcW w:type="dxa" w:w="900"/>
            <w:tcMar>
              <w:top w:type="dxa" w:w="80"/>
              <w:left w:type="dxa" w:w="120"/>
              <w:bottom w:type="dxa" w:w="80"/>
              <w:right w:type="dxa" w:w="120"/>
            </w:tcMar>
          </w:tcPr>
          <w:p>
            <w:r>
              <w:rPr>
                <w:b w:val="false"/>
                <w:bCs w:val="false"/>
                <w:color w:val="000000"/>
                <w:sz w:val="20"/>
                <w:szCs w:val="20"/>
              </w:rPr>
              <w:t xml:space="preserve">5</w:t>
            </w:r>
          </w:p>
        </w:tc>
        <w:tc>
          <w:tcPr>
            <w:tcW w:type="dxa" w:w="3600"/>
            <w:tcMar>
              <w:top w:type="dxa" w:w="80"/>
              <w:left w:type="dxa" w:w="120"/>
              <w:bottom w:type="dxa" w:w="80"/>
              <w:right w:type="dxa" w:w="120"/>
            </w:tcMar>
          </w:tcPr>
          <w:p>
            <w:r>
              <w:rPr>
                <w:b w:val="false"/>
                <w:bCs w:val="false"/>
                <w:color w:val="000000"/>
                <w:sz w:val="20"/>
                <w:szCs w:val="20"/>
              </w:rPr>
              <w:t xml:space="preserve">AWS</w:t>
            </w:r>
          </w:p>
        </w:tc>
        <w:tc>
          <w:tcPr>
            <w:tcW w:type="dxa" w:w="2600"/>
            <w:tcMar>
              <w:top w:type="dxa" w:w="80"/>
              <w:left w:type="dxa" w:w="120"/>
              <w:bottom w:type="dxa" w:w="80"/>
              <w:right w:type="dxa" w:w="120"/>
            </w:tcMar>
          </w:tcPr>
          <w:p>
            <w:r>
              <w:rPr>
                <w:b w:val="false"/>
                <w:bCs w:val="false"/>
                <w:color w:val="000000"/>
                <w:sz w:val="20"/>
                <w:szCs w:val="20"/>
              </w:rPr>
              <w:t xml:space="preserve">1,006</w:t>
            </w:r>
          </w:p>
        </w:tc>
        <w:tc>
          <w:tcPr>
            <w:tcW w:type="dxa" w:w="2600"/>
            <w:tcMar>
              <w:top w:type="dxa" w:w="80"/>
              <w:left w:type="dxa" w:w="120"/>
              <w:bottom w:type="dxa" w:w="80"/>
              <w:right w:type="dxa" w:w="120"/>
            </w:tcMar>
          </w:tcPr>
          <w:p>
            <w:r>
              <w:rPr>
                <w:b w:val="false"/>
                <w:bCs w:val="false"/>
                <w:color w:val="000000"/>
                <w:sz w:val="20"/>
                <w:szCs w:val="20"/>
              </w:rPr>
              <w:t xml:space="preserve">$69.5K</w:t>
            </w:r>
          </w:p>
        </w:tc>
      </w:tr>
      <w:tr>
        <w:tc>
          <w:tcPr>
            <w:tcW w:type="dxa" w:w="900"/>
            <w:tcMar>
              <w:top w:type="dxa" w:w="80"/>
              <w:left w:type="dxa" w:w="120"/>
              <w:bottom w:type="dxa" w:w="80"/>
              <w:right w:type="dxa" w:w="120"/>
            </w:tcMar>
          </w:tcPr>
          <w:p>
            <w:r>
              <w:rPr>
                <w:b w:val="false"/>
                <w:bCs w:val="false"/>
                <w:color w:val="000000"/>
                <w:sz w:val="20"/>
                <w:szCs w:val="20"/>
              </w:rPr>
              <w:t xml:space="preserve">6</w:t>
            </w:r>
          </w:p>
        </w:tc>
        <w:tc>
          <w:tcPr>
            <w:tcW w:type="dxa" w:w="3600"/>
            <w:tcMar>
              <w:top w:type="dxa" w:w="80"/>
              <w:left w:type="dxa" w:w="120"/>
              <w:bottom w:type="dxa" w:w="80"/>
              <w:right w:type="dxa" w:w="120"/>
            </w:tcMar>
          </w:tcPr>
          <w:p>
            <w:r>
              <w:rPr>
                <w:b w:val="false"/>
                <w:bCs w:val="false"/>
                <w:color w:val="000000"/>
                <w:sz w:val="20"/>
                <w:szCs w:val="20"/>
              </w:rPr>
              <w:t xml:space="preserve">Artificial Intelligence / ML concepts</w:t>
            </w:r>
          </w:p>
        </w:tc>
        <w:tc>
          <w:tcPr>
            <w:tcW w:type="dxa" w:w="2600"/>
            <w:tcMar>
              <w:top w:type="dxa" w:w="80"/>
              <w:left w:type="dxa" w:w="120"/>
              <w:bottom w:type="dxa" w:w="80"/>
              <w:right w:type="dxa" w:w="120"/>
            </w:tcMar>
          </w:tcPr>
          <w:p>
            <w:r>
              <w:rPr>
                <w:b w:val="false"/>
                <w:bCs w:val="false"/>
                <w:color w:val="000000"/>
                <w:sz w:val="20"/>
                <w:szCs w:val="20"/>
              </w:rPr>
              <w:t xml:space="preserve">567 / 513</w:t>
            </w:r>
          </w:p>
        </w:tc>
        <w:tc>
          <w:tcPr>
            <w:tcW w:type="dxa" w:w="2600"/>
            <w:tcMar>
              <w:top w:type="dxa" w:w="80"/>
              <w:left w:type="dxa" w:w="120"/>
              <w:bottom w:type="dxa" w:w="80"/>
              <w:right w:type="dxa" w:w="120"/>
            </w:tcMar>
          </w:tcPr>
          <w:p>
            <w:r>
              <w:rPr>
                <w:b w:val="false"/>
                <w:bCs w:val="false"/>
                <w:color w:val="000000"/>
                <w:sz w:val="20"/>
                <w:szCs w:val="20"/>
              </w:rPr>
              <w:t xml:space="preserve">$74.0K</w:t>
            </w:r>
          </w:p>
        </w:tc>
      </w:tr>
      <w:tr>
        <w:tc>
          <w:tcPr>
            <w:tcW w:type="dxa" w:w="900"/>
            <w:tcMar>
              <w:top w:type="dxa" w:w="80"/>
              <w:left w:type="dxa" w:w="120"/>
              <w:bottom w:type="dxa" w:w="80"/>
              <w:right w:type="dxa" w:w="120"/>
            </w:tcMar>
          </w:tcPr>
          <w:p>
            <w:r>
              <w:rPr>
                <w:b w:val="false"/>
                <w:bCs w:val="false"/>
                <w:color w:val="000000"/>
                <w:sz w:val="20"/>
                <w:szCs w:val="20"/>
              </w:rPr>
              <w:t xml:space="preserve">7</w:t>
            </w:r>
          </w:p>
        </w:tc>
        <w:tc>
          <w:tcPr>
            <w:tcW w:type="dxa" w:w="3600"/>
            <w:tcMar>
              <w:top w:type="dxa" w:w="80"/>
              <w:left w:type="dxa" w:w="120"/>
              <w:bottom w:type="dxa" w:w="80"/>
              <w:right w:type="dxa" w:w="120"/>
            </w:tcMar>
          </w:tcPr>
          <w:p>
            <w:r>
              <w:rPr>
                <w:b w:val="false"/>
                <w:bCs w:val="false"/>
                <w:color w:val="000000"/>
                <w:sz w:val="20"/>
                <w:szCs w:val="20"/>
              </w:rPr>
              <w:t xml:space="preserve">Statistics</w:t>
            </w:r>
          </w:p>
        </w:tc>
        <w:tc>
          <w:tcPr>
            <w:tcW w:type="dxa" w:w="2600"/>
            <w:tcMar>
              <w:top w:type="dxa" w:w="80"/>
              <w:left w:type="dxa" w:w="120"/>
              <w:bottom w:type="dxa" w:w="80"/>
              <w:right w:type="dxa" w:w="120"/>
            </w:tcMar>
          </w:tcPr>
          <w:p>
            <w:r>
              <w:rPr>
                <w:b w:val="false"/>
                <w:bCs w:val="false"/>
                <w:color w:val="000000"/>
                <w:sz w:val="20"/>
                <w:szCs w:val="20"/>
              </w:rPr>
              <w:t xml:space="preserve">563</w:t>
            </w:r>
          </w:p>
        </w:tc>
        <w:tc>
          <w:tcPr>
            <w:tcW w:type="dxa" w:w="2600"/>
            <w:tcMar>
              <w:top w:type="dxa" w:w="80"/>
              <w:left w:type="dxa" w:w="120"/>
              <w:bottom w:type="dxa" w:w="80"/>
              <w:right w:type="dxa" w:w="120"/>
            </w:tcMar>
          </w:tcPr>
          <w:p>
            <w:r>
              <w:rPr>
                <w:b w:val="false"/>
                <w:bCs w:val="false"/>
                <w:color w:val="000000"/>
                <w:sz w:val="20"/>
                <w:szCs w:val="20"/>
              </w:rPr>
              <w:t xml:space="preserve">$72.1K</w:t>
            </w:r>
          </w:p>
        </w:tc>
      </w:tr>
      <w:tr>
        <w:tc>
          <w:tcPr>
            <w:tcW w:type="dxa" w:w="900"/>
            <w:tcMar>
              <w:top w:type="dxa" w:w="80"/>
              <w:left w:type="dxa" w:w="120"/>
              <w:bottom w:type="dxa" w:w="80"/>
              <w:right w:type="dxa" w:w="120"/>
            </w:tcMar>
          </w:tcPr>
          <w:p>
            <w:r>
              <w:rPr>
                <w:b w:val="false"/>
                <w:bCs w:val="false"/>
                <w:color w:val="000000"/>
                <w:sz w:val="20"/>
                <w:szCs w:val="20"/>
              </w:rPr>
              <w:t xml:space="preserve">8</w:t>
            </w:r>
          </w:p>
        </w:tc>
        <w:tc>
          <w:tcPr>
            <w:tcW w:type="dxa" w:w="3600"/>
            <w:tcMar>
              <w:top w:type="dxa" w:w="80"/>
              <w:left w:type="dxa" w:w="120"/>
              <w:bottom w:type="dxa" w:w="80"/>
              <w:right w:type="dxa" w:w="120"/>
            </w:tcMar>
          </w:tcPr>
          <w:p>
            <w:r>
              <w:rPr>
                <w:b w:val="false"/>
                <w:bCs w:val="false"/>
                <w:color w:val="000000"/>
                <w:sz w:val="20"/>
                <w:szCs w:val="20"/>
              </w:rPr>
              <w:t xml:space="preserve">Azure</w:t>
            </w:r>
          </w:p>
        </w:tc>
        <w:tc>
          <w:tcPr>
            <w:tcW w:type="dxa" w:w="2600"/>
            <w:tcMar>
              <w:top w:type="dxa" w:w="80"/>
              <w:left w:type="dxa" w:w="120"/>
              <w:bottom w:type="dxa" w:w="80"/>
              <w:right w:type="dxa" w:w="120"/>
            </w:tcMar>
          </w:tcPr>
          <w:p>
            <w:r>
              <w:rPr>
                <w:b w:val="false"/>
                <w:bCs w:val="false"/>
                <w:color w:val="000000"/>
                <w:sz w:val="20"/>
                <w:szCs w:val="20"/>
              </w:rPr>
              <w:t xml:space="preserve">498</w:t>
            </w:r>
          </w:p>
        </w:tc>
        <w:tc>
          <w:tcPr>
            <w:tcW w:type="dxa" w:w="2600"/>
            <w:tcMar>
              <w:top w:type="dxa" w:w="80"/>
              <w:left w:type="dxa" w:w="120"/>
              <w:bottom w:type="dxa" w:w="80"/>
              <w:right w:type="dxa" w:w="120"/>
            </w:tcMar>
          </w:tcPr>
          <w:p>
            <w:r>
              <w:rPr>
                <w:b w:val="false"/>
                <w:bCs w:val="false"/>
                <w:color w:val="000000"/>
                <w:sz w:val="20"/>
                <w:szCs w:val="20"/>
              </w:rPr>
              <w:t xml:space="preserve">—</w:t>
            </w:r>
          </w:p>
        </w:tc>
      </w:tr>
      <w:tr>
        <w:tc>
          <w:tcPr>
            <w:tcW w:type="dxa" w:w="900"/>
            <w:tcMar>
              <w:top w:type="dxa" w:w="80"/>
              <w:left w:type="dxa" w:w="120"/>
              <w:bottom w:type="dxa" w:w="80"/>
              <w:right w:type="dxa" w:w="120"/>
            </w:tcMar>
          </w:tcPr>
          <w:p>
            <w:r>
              <w:rPr>
                <w:b w:val="false"/>
                <w:bCs w:val="false"/>
                <w:color w:val="000000"/>
                <w:sz w:val="20"/>
                <w:szCs w:val="20"/>
              </w:rPr>
              <w:t xml:space="preserve">9</w:t>
            </w:r>
          </w:p>
        </w:tc>
        <w:tc>
          <w:tcPr>
            <w:tcW w:type="dxa" w:w="3600"/>
            <w:tcMar>
              <w:top w:type="dxa" w:w="80"/>
              <w:left w:type="dxa" w:w="120"/>
              <w:bottom w:type="dxa" w:w="80"/>
              <w:right w:type="dxa" w:w="120"/>
            </w:tcMar>
          </w:tcPr>
          <w:p>
            <w:r>
              <w:rPr>
                <w:b w:val="false"/>
                <w:bCs w:val="false"/>
                <w:color w:val="000000"/>
                <w:sz w:val="20"/>
                <w:szCs w:val="20"/>
              </w:rPr>
              <w:t xml:space="preserve">Agile</w:t>
            </w:r>
          </w:p>
        </w:tc>
        <w:tc>
          <w:tcPr>
            <w:tcW w:type="dxa" w:w="2600"/>
            <w:tcMar>
              <w:top w:type="dxa" w:w="80"/>
              <w:left w:type="dxa" w:w="120"/>
              <w:bottom w:type="dxa" w:w="80"/>
              <w:right w:type="dxa" w:w="120"/>
            </w:tcMar>
          </w:tcPr>
          <w:p>
            <w:r>
              <w:rPr>
                <w:b w:val="false"/>
                <w:bCs w:val="false"/>
                <w:color w:val="000000"/>
                <w:sz w:val="20"/>
                <w:szCs w:val="20"/>
              </w:rPr>
              <w:t xml:space="preserve">492</w:t>
            </w:r>
          </w:p>
        </w:tc>
        <w:tc>
          <w:tcPr>
            <w:tcW w:type="dxa" w:w="2600"/>
            <w:tcMar>
              <w:top w:type="dxa" w:w="80"/>
              <w:left w:type="dxa" w:w="120"/>
              <w:bottom w:type="dxa" w:w="80"/>
              <w:right w:type="dxa" w:w="120"/>
            </w:tcMar>
          </w:tcPr>
          <w:p>
            <w:r>
              <w:rPr>
                <w:b w:val="false"/>
                <w:bCs w:val="false"/>
                <w:color w:val="000000"/>
                <w:sz w:val="20"/>
                <w:szCs w:val="20"/>
              </w:rPr>
              <w:t xml:space="preserve">—</w:t>
            </w:r>
          </w:p>
        </w:tc>
      </w:tr>
      <w:tr>
        <w:tc>
          <w:tcPr>
            <w:tcW w:type="dxa" w:w="900"/>
            <w:tcMar>
              <w:top w:type="dxa" w:w="80"/>
              <w:left w:type="dxa" w:w="120"/>
              <w:bottom w:type="dxa" w:w="80"/>
              <w:right w:type="dxa" w:w="120"/>
            </w:tcMar>
          </w:tcPr>
          <w:p>
            <w:r>
              <w:rPr>
                <w:b w:val="false"/>
                <w:bCs w:val="false"/>
                <w:color w:val="000000"/>
                <w:sz w:val="20"/>
                <w:szCs w:val="20"/>
              </w:rPr>
              <w:t xml:space="preserve">10</w:t>
            </w:r>
          </w:p>
        </w:tc>
        <w:tc>
          <w:tcPr>
            <w:tcW w:type="dxa" w:w="3600"/>
            <w:tcMar>
              <w:top w:type="dxa" w:w="80"/>
              <w:left w:type="dxa" w:w="120"/>
              <w:bottom w:type="dxa" w:w="80"/>
              <w:right w:type="dxa" w:w="120"/>
            </w:tcMar>
          </w:tcPr>
          <w:p>
            <w:r>
              <w:rPr>
                <w:b w:val="false"/>
                <w:bCs w:val="false"/>
                <w:color w:val="000000"/>
                <w:sz w:val="20"/>
                <w:szCs w:val="20"/>
              </w:rPr>
              <w:t xml:space="preserve">Power BI</w:t>
            </w:r>
          </w:p>
        </w:tc>
        <w:tc>
          <w:tcPr>
            <w:tcW w:type="dxa" w:w="2600"/>
            <w:tcMar>
              <w:top w:type="dxa" w:w="80"/>
              <w:left w:type="dxa" w:w="120"/>
              <w:bottom w:type="dxa" w:w="80"/>
              <w:right w:type="dxa" w:w="120"/>
            </w:tcMar>
          </w:tcPr>
          <w:p>
            <w:r>
              <w:rPr>
                <w:b w:val="false"/>
                <w:bCs w:val="false"/>
                <w:color w:val="000000"/>
                <w:sz w:val="20"/>
                <w:szCs w:val="20"/>
              </w:rPr>
              <w:t xml:space="preserve">478</w:t>
            </w:r>
          </w:p>
        </w:tc>
        <w:tc>
          <w:tcPr>
            <w:tcW w:type="dxa" w:w="2600"/>
            <w:tcMar>
              <w:top w:type="dxa" w:w="80"/>
              <w:left w:type="dxa" w:w="120"/>
              <w:bottom w:type="dxa" w:w="80"/>
              <w:right w:type="dxa" w:w="120"/>
            </w:tcMar>
          </w:tcPr>
          <w:p>
            <w:r>
              <w:rPr>
                <w:b w:val="false"/>
                <w:bCs w:val="false"/>
                <w:color w:val="000000"/>
                <w:sz w:val="20"/>
                <w:szCs w:val="20"/>
              </w:rPr>
              <w:t xml:space="preserve">$69.8K</w:t>
            </w:r>
          </w:p>
        </w:tc>
      </w:tr>
    </w:tbl>
    <w:p>
      <w:pPr>
        <w:spacing w:after="240" w:before="80"/>
      </w:pPr>
      <w:r>
        <w:rPr>
          <w:b/>
          <w:bCs/>
          <w:i/>
          <w:iCs/>
          <w:sz w:val="20"/>
          <w:szCs w:val="20"/>
        </w:rPr>
        <w:t xml:space="preserve">Note: </w:t>
      </w:r>
      <w:r>
        <w:rPr>
          <w:i/>
          <w:iCs/>
          <w:sz w:val="20"/>
          <w:szCs w:val="20"/>
        </w:rPr>
        <w:t xml:space="preserve">“Avg salary” is only available where the skill co-occurred with the salary field in the Data Analyst dataset; dashes mean the skill was frequent in the Indeed dataset, which doesn’t carry a comparable salary field.</w:t>
      </w:r>
    </w:p>
    <w:p>
      <w:pPr>
        <w:pStyle w:val="Heading1"/>
        <w:spacing w:after="160" w:before="320"/>
      </w:pPr>
      <w:r>
        <w:t xml:space="preserve">2. Fastest-Growing Industries</w:t>
      </w:r>
    </w:p>
    <w:p>
      <w:pPr>
        <w:spacing w:after="160"/>
      </w:pPr>
      <w:r>
        <w:t xml:space="preserve">From the AI job-market insights dataset (Job_Growth_Projection field), share of postings per industry flagged “Growth” vs. “Stable”/“Decline.”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3300"/>
        <w:gridCol w:w="1700"/>
      </w:tblGrid>
      <w:tr>
        <w:tc>
          <w:tcPr>
            <w:tcW w:type="dxa" w:w="900"/>
            <w:shd w:fill="1F4E78" w:color="auto" w:val="clear"/>
            <w:tcMar>
              <w:top w:type="dxa" w:w="80"/>
              <w:left w:type="dxa" w:w="120"/>
              <w:bottom w:type="dxa" w:w="80"/>
              <w:right w:type="dxa" w:w="120"/>
            </w:tcMar>
          </w:tcPr>
          <w:p>
            <w:r>
              <w:rPr>
                <w:b/>
                <w:bCs/>
                <w:color w:val="FFFFFF"/>
                <w:sz w:val="20"/>
                <w:szCs w:val="20"/>
              </w:rPr>
              <w:t xml:space="preserve">Rank</w:t>
            </w:r>
          </w:p>
        </w:tc>
        <w:tc>
          <w:tcPr>
            <w:tcW w:type="dxa" w:w="3800"/>
            <w:shd w:fill="1F4E78" w:color="auto" w:val="clear"/>
            <w:tcMar>
              <w:top w:type="dxa" w:w="80"/>
              <w:left w:type="dxa" w:w="120"/>
              <w:bottom w:type="dxa" w:w="80"/>
              <w:right w:type="dxa" w:w="120"/>
            </w:tcMar>
          </w:tcPr>
          <w:p>
            <w:r>
              <w:rPr>
                <w:b/>
                <w:bCs/>
                <w:color w:val="FFFFFF"/>
                <w:sz w:val="20"/>
                <w:szCs w:val="20"/>
              </w:rPr>
              <w:t xml:space="preserve">Industry</w:t>
            </w:r>
          </w:p>
        </w:tc>
        <w:tc>
          <w:tcPr>
            <w:tcW w:type="dxa" w:w="3300"/>
            <w:shd w:fill="1F4E78" w:color="auto" w:val="clear"/>
            <w:tcMar>
              <w:top w:type="dxa" w:w="80"/>
              <w:left w:type="dxa" w:w="120"/>
              <w:bottom w:type="dxa" w:w="80"/>
              <w:right w:type="dxa" w:w="120"/>
            </w:tcMar>
          </w:tcPr>
          <w:p>
            <w:r>
              <w:rPr>
                <w:b/>
                <w:bCs/>
                <w:color w:val="FFFFFF"/>
                <w:sz w:val="20"/>
                <w:szCs w:val="20"/>
              </w:rPr>
              <w:t xml:space="preserve">% of postings flagged “Growth”</w:t>
            </w:r>
          </w:p>
        </w:tc>
        <w:tc>
          <w:tcPr>
            <w:tcW w:type="dxa" w:w="1700"/>
            <w:shd w:fill="1F4E78" w:color="auto" w:val="clear"/>
            <w:tcMar>
              <w:top w:type="dxa" w:w="80"/>
              <w:left w:type="dxa" w:w="120"/>
              <w:bottom w:type="dxa" w:w="80"/>
              <w:right w:type="dxa" w:w="120"/>
            </w:tcMar>
          </w:tcPr>
          <w:p>
            <w:r>
              <w:rPr>
                <w:b/>
                <w:bCs/>
                <w:color w:val="FFFFFF"/>
                <w:sz w:val="20"/>
                <w:szCs w:val="20"/>
              </w:rPr>
              <w:t xml:space="preserve">Sample size</w:t>
            </w:r>
          </w:p>
        </w:tc>
      </w:tr>
      <w:tr>
        <w:tc>
          <w:tcPr>
            <w:tcW w:type="dxa" w:w="900"/>
            <w:tcMar>
              <w:top w:type="dxa" w:w="80"/>
              <w:left w:type="dxa" w:w="120"/>
              <w:bottom w:type="dxa" w:w="80"/>
              <w:right w:type="dxa" w:w="120"/>
            </w:tcMar>
          </w:tcPr>
          <w:p>
            <w:r>
              <w:rPr>
                <w:b w:val="false"/>
                <w:bCs w:val="false"/>
                <w:color w:val="000000"/>
                <w:sz w:val="20"/>
                <w:szCs w:val="20"/>
              </w:rPr>
              <w:t xml:space="preserve">1</w:t>
            </w:r>
          </w:p>
        </w:tc>
        <w:tc>
          <w:tcPr>
            <w:tcW w:type="dxa" w:w="3800"/>
            <w:tcMar>
              <w:top w:type="dxa" w:w="80"/>
              <w:left w:type="dxa" w:w="120"/>
              <w:bottom w:type="dxa" w:w="80"/>
              <w:right w:type="dxa" w:w="120"/>
            </w:tcMar>
          </w:tcPr>
          <w:p>
            <w:r>
              <w:rPr>
                <w:b w:val="false"/>
                <w:bCs w:val="false"/>
                <w:color w:val="000000"/>
                <w:sz w:val="20"/>
                <w:szCs w:val="20"/>
              </w:rPr>
              <w:t xml:space="preserve">Finance</w:t>
            </w:r>
          </w:p>
        </w:tc>
        <w:tc>
          <w:tcPr>
            <w:tcW w:type="dxa" w:w="3300"/>
            <w:tcMar>
              <w:top w:type="dxa" w:w="80"/>
              <w:left w:type="dxa" w:w="120"/>
              <w:bottom w:type="dxa" w:w="80"/>
              <w:right w:type="dxa" w:w="120"/>
            </w:tcMar>
          </w:tcPr>
          <w:p>
            <w:r>
              <w:rPr>
                <w:b w:val="false"/>
                <w:bCs w:val="false"/>
                <w:color w:val="000000"/>
                <w:sz w:val="20"/>
                <w:szCs w:val="20"/>
              </w:rPr>
              <w:t xml:space="preserve">43.4%</w:t>
            </w:r>
          </w:p>
        </w:tc>
        <w:tc>
          <w:tcPr>
            <w:tcW w:type="dxa" w:w="1700"/>
            <w:tcMar>
              <w:top w:type="dxa" w:w="80"/>
              <w:left w:type="dxa" w:w="120"/>
              <w:bottom w:type="dxa" w:w="80"/>
              <w:right w:type="dxa" w:w="120"/>
            </w:tcMar>
          </w:tcPr>
          <w:p>
            <w:r>
              <w:rPr>
                <w:b w:val="false"/>
                <w:bCs w:val="false"/>
                <w:color w:val="000000"/>
                <w:sz w:val="20"/>
                <w:szCs w:val="20"/>
              </w:rPr>
              <w:t xml:space="preserve">53</w:t>
            </w:r>
          </w:p>
        </w:tc>
      </w:tr>
      <w:tr>
        <w:tc>
          <w:tcPr>
            <w:tcW w:type="dxa" w:w="900"/>
            <w:tcMar>
              <w:top w:type="dxa" w:w="80"/>
              <w:left w:type="dxa" w:w="120"/>
              <w:bottom w:type="dxa" w:w="80"/>
              <w:right w:type="dxa" w:w="120"/>
            </w:tcMar>
          </w:tcPr>
          <w:p>
            <w:r>
              <w:rPr>
                <w:b w:val="false"/>
                <w:bCs w:val="false"/>
                <w:color w:val="000000"/>
                <w:sz w:val="20"/>
                <w:szCs w:val="20"/>
              </w:rPr>
              <w:t xml:space="preserve">2</w:t>
            </w:r>
          </w:p>
        </w:tc>
        <w:tc>
          <w:tcPr>
            <w:tcW w:type="dxa" w:w="3800"/>
            <w:tcMar>
              <w:top w:type="dxa" w:w="80"/>
              <w:left w:type="dxa" w:w="120"/>
              <w:bottom w:type="dxa" w:w="80"/>
              <w:right w:type="dxa" w:w="120"/>
            </w:tcMar>
          </w:tcPr>
          <w:p>
            <w:r>
              <w:rPr>
                <w:b w:val="false"/>
                <w:bCs w:val="false"/>
                <w:color w:val="000000"/>
                <w:sz w:val="20"/>
                <w:szCs w:val="20"/>
              </w:rPr>
              <w:t xml:space="preserve">Education</w:t>
            </w:r>
          </w:p>
        </w:tc>
        <w:tc>
          <w:tcPr>
            <w:tcW w:type="dxa" w:w="3300"/>
            <w:tcMar>
              <w:top w:type="dxa" w:w="80"/>
              <w:left w:type="dxa" w:w="120"/>
              <w:bottom w:type="dxa" w:w="80"/>
              <w:right w:type="dxa" w:w="120"/>
            </w:tcMar>
          </w:tcPr>
          <w:p>
            <w:r>
              <w:rPr>
                <w:b w:val="false"/>
                <w:bCs w:val="false"/>
                <w:color w:val="000000"/>
                <w:sz w:val="20"/>
                <w:szCs w:val="20"/>
              </w:rPr>
              <w:t xml:space="preserve">42.1%</w:t>
            </w:r>
          </w:p>
        </w:tc>
        <w:tc>
          <w:tcPr>
            <w:tcW w:type="dxa" w:w="1700"/>
            <w:tcMar>
              <w:top w:type="dxa" w:w="80"/>
              <w:left w:type="dxa" w:w="120"/>
              <w:bottom w:type="dxa" w:w="80"/>
              <w:right w:type="dxa" w:w="120"/>
            </w:tcMar>
          </w:tcPr>
          <w:p>
            <w:r>
              <w:rPr>
                <w:b w:val="false"/>
                <w:bCs w:val="false"/>
                <w:color w:val="000000"/>
                <w:sz w:val="20"/>
                <w:szCs w:val="20"/>
              </w:rPr>
              <w:t xml:space="preserve">57</w:t>
            </w:r>
          </w:p>
        </w:tc>
      </w:tr>
      <w:tr>
        <w:tc>
          <w:tcPr>
            <w:tcW w:type="dxa" w:w="900"/>
            <w:tcMar>
              <w:top w:type="dxa" w:w="80"/>
              <w:left w:type="dxa" w:w="120"/>
              <w:bottom w:type="dxa" w:w="80"/>
              <w:right w:type="dxa" w:w="120"/>
            </w:tcMar>
          </w:tcPr>
          <w:p>
            <w:r>
              <w:rPr>
                <w:b w:val="false"/>
                <w:bCs w:val="false"/>
                <w:color w:val="000000"/>
                <w:sz w:val="20"/>
                <w:szCs w:val="20"/>
              </w:rPr>
              <w:t xml:space="preserve">3</w:t>
            </w:r>
          </w:p>
        </w:tc>
        <w:tc>
          <w:tcPr>
            <w:tcW w:type="dxa" w:w="3800"/>
            <w:tcMar>
              <w:top w:type="dxa" w:w="80"/>
              <w:left w:type="dxa" w:w="120"/>
              <w:bottom w:type="dxa" w:w="80"/>
              <w:right w:type="dxa" w:w="120"/>
            </w:tcMar>
          </w:tcPr>
          <w:p>
            <w:r>
              <w:rPr>
                <w:b w:val="false"/>
                <w:bCs w:val="false"/>
                <w:color w:val="000000"/>
                <w:sz w:val="20"/>
                <w:szCs w:val="20"/>
              </w:rPr>
              <w:t xml:space="preserve">Entertainment</w:t>
            </w:r>
          </w:p>
        </w:tc>
        <w:tc>
          <w:tcPr>
            <w:tcW w:type="dxa" w:w="3300"/>
            <w:tcMar>
              <w:top w:type="dxa" w:w="80"/>
              <w:left w:type="dxa" w:w="120"/>
              <w:bottom w:type="dxa" w:w="80"/>
              <w:right w:type="dxa" w:w="120"/>
            </w:tcMar>
          </w:tcPr>
          <w:p>
            <w:r>
              <w:rPr>
                <w:b w:val="false"/>
                <w:bCs w:val="false"/>
                <w:color w:val="000000"/>
                <w:sz w:val="20"/>
                <w:szCs w:val="20"/>
              </w:rPr>
              <w:t xml:space="preserve">36.2%</w:t>
            </w:r>
          </w:p>
        </w:tc>
        <w:tc>
          <w:tcPr>
            <w:tcW w:type="dxa" w:w="1700"/>
            <w:tcMar>
              <w:top w:type="dxa" w:w="80"/>
              <w:left w:type="dxa" w:w="120"/>
              <w:bottom w:type="dxa" w:w="80"/>
              <w:right w:type="dxa" w:w="120"/>
            </w:tcMar>
          </w:tcPr>
          <w:p>
            <w:r>
              <w:rPr>
                <w:b w:val="false"/>
                <w:bCs w:val="false"/>
                <w:color w:val="000000"/>
                <w:sz w:val="20"/>
                <w:szCs w:val="20"/>
              </w:rPr>
              <w:t xml:space="preserve">47</w:t>
            </w:r>
          </w:p>
        </w:tc>
      </w:tr>
      <w:tr>
        <w:tc>
          <w:tcPr>
            <w:tcW w:type="dxa" w:w="900"/>
            <w:tcMar>
              <w:top w:type="dxa" w:w="80"/>
              <w:left w:type="dxa" w:w="120"/>
              <w:bottom w:type="dxa" w:w="80"/>
              <w:right w:type="dxa" w:w="120"/>
            </w:tcMar>
          </w:tcPr>
          <w:p>
            <w:r>
              <w:rPr>
                <w:b w:val="false"/>
                <w:bCs w:val="false"/>
                <w:color w:val="000000"/>
                <w:sz w:val="20"/>
                <w:szCs w:val="20"/>
              </w:rPr>
              <w:t xml:space="preserve">4</w:t>
            </w:r>
          </w:p>
        </w:tc>
        <w:tc>
          <w:tcPr>
            <w:tcW w:type="dxa" w:w="3800"/>
            <w:tcMar>
              <w:top w:type="dxa" w:w="80"/>
              <w:left w:type="dxa" w:w="120"/>
              <w:bottom w:type="dxa" w:w="80"/>
              <w:right w:type="dxa" w:w="120"/>
            </w:tcMar>
          </w:tcPr>
          <w:p>
            <w:r>
              <w:rPr>
                <w:b w:val="false"/>
                <w:bCs w:val="false"/>
                <w:color w:val="000000"/>
                <w:sz w:val="20"/>
                <w:szCs w:val="20"/>
              </w:rPr>
              <w:t xml:space="preserve">Transportation</w:t>
            </w:r>
          </w:p>
        </w:tc>
        <w:tc>
          <w:tcPr>
            <w:tcW w:type="dxa" w:w="3300"/>
            <w:tcMar>
              <w:top w:type="dxa" w:w="80"/>
              <w:left w:type="dxa" w:w="120"/>
              <w:bottom w:type="dxa" w:w="80"/>
              <w:right w:type="dxa" w:w="120"/>
            </w:tcMar>
          </w:tcPr>
          <w:p>
            <w:r>
              <w:rPr>
                <w:b w:val="false"/>
                <w:bCs w:val="false"/>
                <w:color w:val="000000"/>
                <w:sz w:val="20"/>
                <w:szCs w:val="20"/>
              </w:rPr>
              <w:t xml:space="preserve">35.9%</w:t>
            </w:r>
          </w:p>
        </w:tc>
        <w:tc>
          <w:tcPr>
            <w:tcW w:type="dxa" w:w="1700"/>
            <w:tcMar>
              <w:top w:type="dxa" w:w="80"/>
              <w:left w:type="dxa" w:w="120"/>
              <w:bottom w:type="dxa" w:w="80"/>
              <w:right w:type="dxa" w:w="120"/>
            </w:tcMar>
          </w:tcPr>
          <w:p>
            <w:r>
              <w:rPr>
                <w:b w:val="false"/>
                <w:bCs w:val="false"/>
                <w:color w:val="000000"/>
                <w:sz w:val="20"/>
                <w:szCs w:val="20"/>
              </w:rPr>
              <w:t xml:space="preserve">39</w:t>
            </w:r>
          </w:p>
        </w:tc>
      </w:tr>
      <w:tr>
        <w:tc>
          <w:tcPr>
            <w:tcW w:type="dxa" w:w="900"/>
            <w:tcMar>
              <w:top w:type="dxa" w:w="80"/>
              <w:left w:type="dxa" w:w="120"/>
              <w:bottom w:type="dxa" w:w="80"/>
              <w:right w:type="dxa" w:w="120"/>
            </w:tcMar>
          </w:tcPr>
          <w:p>
            <w:r>
              <w:rPr>
                <w:b w:val="false"/>
                <w:bCs w:val="false"/>
                <w:color w:val="000000"/>
                <w:sz w:val="20"/>
                <w:szCs w:val="20"/>
              </w:rPr>
              <w:t xml:space="preserve">5</w:t>
            </w:r>
          </w:p>
        </w:tc>
        <w:tc>
          <w:tcPr>
            <w:tcW w:type="dxa" w:w="3800"/>
            <w:tcMar>
              <w:top w:type="dxa" w:w="80"/>
              <w:left w:type="dxa" w:w="120"/>
              <w:bottom w:type="dxa" w:w="80"/>
              <w:right w:type="dxa" w:w="120"/>
            </w:tcMar>
          </w:tcPr>
          <w:p>
            <w:r>
              <w:rPr>
                <w:b w:val="false"/>
                <w:bCs w:val="false"/>
                <w:color w:val="000000"/>
                <w:sz w:val="20"/>
                <w:szCs w:val="20"/>
              </w:rPr>
              <w:t xml:space="preserve">Healthcare</w:t>
            </w:r>
          </w:p>
        </w:tc>
        <w:tc>
          <w:tcPr>
            <w:tcW w:type="dxa" w:w="3300"/>
            <w:tcMar>
              <w:top w:type="dxa" w:w="80"/>
              <w:left w:type="dxa" w:w="120"/>
              <w:bottom w:type="dxa" w:w="80"/>
              <w:right w:type="dxa" w:w="120"/>
            </w:tcMar>
          </w:tcPr>
          <w:p>
            <w:r>
              <w:rPr>
                <w:b w:val="false"/>
                <w:bCs w:val="false"/>
                <w:color w:val="000000"/>
                <w:sz w:val="20"/>
                <w:szCs w:val="20"/>
              </w:rPr>
              <w:t xml:space="preserve">35.7%</w:t>
            </w:r>
          </w:p>
        </w:tc>
        <w:tc>
          <w:tcPr>
            <w:tcW w:type="dxa" w:w="1700"/>
            <w:tcMar>
              <w:top w:type="dxa" w:w="80"/>
              <w:left w:type="dxa" w:w="120"/>
              <w:bottom w:type="dxa" w:w="80"/>
              <w:right w:type="dxa" w:w="120"/>
            </w:tcMar>
          </w:tcPr>
          <w:p>
            <w:r>
              <w:rPr>
                <w:b w:val="false"/>
                <w:bCs w:val="false"/>
                <w:color w:val="000000"/>
                <w:sz w:val="20"/>
                <w:szCs w:val="20"/>
              </w:rPr>
              <w:t xml:space="preserve">42</w:t>
            </w:r>
          </w:p>
        </w:tc>
      </w:tr>
    </w:tbl>
    <w:p>
      <w:pPr>
        <w:spacing w:after="240" w:before="80"/>
      </w:pPr>
      <w:r>
        <w:rPr>
          <w:b/>
          <w:bCs/>
          <w:i/>
          <w:iCs/>
          <w:sz w:val="20"/>
          <w:szCs w:val="20"/>
        </w:rPr>
        <w:t xml:space="preserve">Note: </w:t>
      </w:r>
      <w:r>
        <w:rPr>
          <w:i/>
          <w:iCs/>
          <w:sz w:val="20"/>
          <w:szCs w:val="20"/>
        </w:rPr>
        <w:t xml:space="preserve">Sample sizes are modest (39–57 postings per industry) — treat this as a directional signal, not a precise forecast. Retail and Energy came in lowest (19.6% and 24.5% respectively).</w:t>
      </w:r>
    </w:p>
    <w:p>
      <w:pPr>
        <w:pStyle w:val="Heading1"/>
        <w:spacing w:after="160" w:before="320"/>
      </w:pPr>
      <w:r>
        <w:t xml:space="preserve">3. Highest-Paying Locations</w:t>
      </w:r>
    </w:p>
    <w:p>
      <w:pPr>
        <w:spacing w:after="160"/>
      </w:pPr>
      <w:r>
        <w:t xml:space="preserve">From the global salaries dataset (71,913 records), ranked by average salary among locations with at least 5 postings.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900"/>
        <w:gridCol w:w="2500"/>
      </w:tblGrid>
      <w:tr>
        <w:tc>
          <w:tcPr>
            <w:tcW w:type="dxa" w:w="900"/>
            <w:shd w:fill="1F4E78" w:color="auto" w:val="clear"/>
            <w:tcMar>
              <w:top w:type="dxa" w:w="80"/>
              <w:left w:type="dxa" w:w="120"/>
              <w:bottom w:type="dxa" w:w="80"/>
              <w:right w:type="dxa" w:w="120"/>
            </w:tcMar>
          </w:tcPr>
          <w:p>
            <w:r>
              <w:rPr>
                <w:b/>
                <w:bCs/>
                <w:color w:val="FFFFFF"/>
                <w:sz w:val="20"/>
                <w:szCs w:val="20"/>
              </w:rPr>
              <w:t xml:space="preserve">Rank</w:t>
            </w:r>
          </w:p>
        </w:tc>
        <w:tc>
          <w:tcPr>
            <w:tcW w:type="dxa" w:w="3400"/>
            <w:shd w:fill="1F4E78" w:color="auto" w:val="clear"/>
            <w:tcMar>
              <w:top w:type="dxa" w:w="80"/>
              <w:left w:type="dxa" w:w="120"/>
              <w:bottom w:type="dxa" w:w="80"/>
              <w:right w:type="dxa" w:w="120"/>
            </w:tcMar>
          </w:tcPr>
          <w:p>
            <w:r>
              <w:rPr>
                <w:b/>
                <w:bCs/>
                <w:color w:val="FFFFFF"/>
                <w:sz w:val="20"/>
                <w:szCs w:val="20"/>
              </w:rPr>
              <w:t xml:space="preserve">Location</w:t>
            </w:r>
          </w:p>
        </w:tc>
        <w:tc>
          <w:tcPr>
            <w:tcW w:type="dxa" w:w="2900"/>
            <w:shd w:fill="1F4E78" w:color="auto" w:val="clear"/>
            <w:tcMar>
              <w:top w:type="dxa" w:w="80"/>
              <w:left w:type="dxa" w:w="120"/>
              <w:bottom w:type="dxa" w:w="80"/>
              <w:right w:type="dxa" w:w="120"/>
            </w:tcMar>
          </w:tcPr>
          <w:p>
            <w:r>
              <w:rPr>
                <w:b/>
                <w:bCs/>
                <w:color w:val="FFFFFF"/>
                <w:sz w:val="20"/>
                <w:szCs w:val="20"/>
              </w:rPr>
              <w:t xml:space="preserve">Avg salary</w:t>
            </w:r>
          </w:p>
        </w:tc>
        <w:tc>
          <w:tcPr>
            <w:tcW w:type="dxa" w:w="2500"/>
            <w:shd w:fill="1F4E78" w:color="auto" w:val="clear"/>
            <w:tcMar>
              <w:top w:type="dxa" w:w="80"/>
              <w:left w:type="dxa" w:w="120"/>
              <w:bottom w:type="dxa" w:w="80"/>
              <w:right w:type="dxa" w:w="120"/>
            </w:tcMar>
          </w:tcPr>
          <w:p>
            <w:r>
              <w:rPr>
                <w:b/>
                <w:bCs/>
                <w:color w:val="FFFFFF"/>
                <w:sz w:val="20"/>
                <w:szCs w:val="20"/>
              </w:rPr>
              <w:t xml:space="preserve">Postings</w:t>
            </w:r>
          </w:p>
        </w:tc>
      </w:tr>
      <w:tr>
        <w:tc>
          <w:tcPr>
            <w:tcW w:type="dxa" w:w="900"/>
            <w:tcMar>
              <w:top w:type="dxa" w:w="80"/>
              <w:left w:type="dxa" w:w="120"/>
              <w:bottom w:type="dxa" w:w="80"/>
              <w:right w:type="dxa" w:w="120"/>
            </w:tcMar>
          </w:tcPr>
          <w:p>
            <w:r>
              <w:rPr>
                <w:b w:val="false"/>
                <w:bCs w:val="false"/>
                <w:color w:val="000000"/>
                <w:sz w:val="20"/>
                <w:szCs w:val="20"/>
              </w:rPr>
              <w:t xml:space="preserve">1</w:t>
            </w:r>
          </w:p>
        </w:tc>
        <w:tc>
          <w:tcPr>
            <w:tcW w:type="dxa" w:w="3400"/>
            <w:tcMar>
              <w:top w:type="dxa" w:w="80"/>
              <w:left w:type="dxa" w:w="120"/>
              <w:bottom w:type="dxa" w:w="80"/>
              <w:right w:type="dxa" w:w="120"/>
            </w:tcMar>
          </w:tcPr>
          <w:p>
            <w:r>
              <w:rPr>
                <w:b w:val="false"/>
                <w:bCs w:val="false"/>
                <w:color w:val="000000"/>
                <w:sz w:val="20"/>
                <w:szCs w:val="20"/>
              </w:rPr>
              <w:t xml:space="preserve">United States</w:t>
            </w:r>
          </w:p>
        </w:tc>
        <w:tc>
          <w:tcPr>
            <w:tcW w:type="dxa" w:w="2900"/>
            <w:tcMar>
              <w:top w:type="dxa" w:w="80"/>
              <w:left w:type="dxa" w:w="120"/>
              <w:bottom w:type="dxa" w:w="80"/>
              <w:right w:type="dxa" w:w="120"/>
            </w:tcMar>
          </w:tcPr>
          <w:p>
            <w:r>
              <w:rPr>
                <w:b w:val="false"/>
                <w:bCs w:val="false"/>
                <w:color w:val="000000"/>
                <w:sz w:val="20"/>
                <w:szCs w:val="20"/>
              </w:rPr>
              <w:t xml:space="preserve">$160,275</w:t>
            </w:r>
          </w:p>
        </w:tc>
        <w:tc>
          <w:tcPr>
            <w:tcW w:type="dxa" w:w="2500"/>
            <w:tcMar>
              <w:top w:type="dxa" w:w="80"/>
              <w:left w:type="dxa" w:w="120"/>
              <w:bottom w:type="dxa" w:w="80"/>
              <w:right w:type="dxa" w:w="120"/>
            </w:tcMar>
          </w:tcPr>
          <w:p>
            <w:r>
              <w:rPr>
                <w:b w:val="false"/>
                <w:bCs w:val="false"/>
                <w:color w:val="000000"/>
                <w:sz w:val="20"/>
                <w:szCs w:val="20"/>
              </w:rPr>
              <w:t xml:space="preserve">60,147</w:t>
            </w:r>
          </w:p>
        </w:tc>
      </w:tr>
      <w:tr>
        <w:tc>
          <w:tcPr>
            <w:tcW w:type="dxa" w:w="900"/>
            <w:tcMar>
              <w:top w:type="dxa" w:w="80"/>
              <w:left w:type="dxa" w:w="120"/>
              <w:bottom w:type="dxa" w:w="80"/>
              <w:right w:type="dxa" w:w="120"/>
            </w:tcMar>
          </w:tcPr>
          <w:p>
            <w:r>
              <w:rPr>
                <w:b w:val="false"/>
                <w:bCs w:val="false"/>
                <w:color w:val="000000"/>
                <w:sz w:val="20"/>
                <w:szCs w:val="20"/>
              </w:rPr>
              <w:t xml:space="preserve">2</w:t>
            </w:r>
          </w:p>
        </w:tc>
        <w:tc>
          <w:tcPr>
            <w:tcW w:type="dxa" w:w="3400"/>
            <w:tcMar>
              <w:top w:type="dxa" w:w="80"/>
              <w:left w:type="dxa" w:w="120"/>
              <w:bottom w:type="dxa" w:w="80"/>
              <w:right w:type="dxa" w:w="120"/>
            </w:tcMar>
          </w:tcPr>
          <w:p>
            <w:r>
              <w:rPr>
                <w:b w:val="false"/>
                <w:bCs w:val="false"/>
                <w:color w:val="000000"/>
                <w:sz w:val="20"/>
                <w:szCs w:val="20"/>
              </w:rPr>
              <w:t xml:space="preserve">Israel</w:t>
            </w:r>
          </w:p>
        </w:tc>
        <w:tc>
          <w:tcPr>
            <w:tcW w:type="dxa" w:w="2900"/>
            <w:tcMar>
              <w:top w:type="dxa" w:w="80"/>
              <w:left w:type="dxa" w:w="120"/>
              <w:bottom w:type="dxa" w:w="80"/>
              <w:right w:type="dxa" w:w="120"/>
            </w:tcMar>
          </w:tcPr>
          <w:p>
            <w:r>
              <w:rPr>
                <w:b w:val="false"/>
                <w:bCs w:val="false"/>
                <w:color w:val="000000"/>
                <w:sz w:val="20"/>
                <w:szCs w:val="20"/>
              </w:rPr>
              <w:t xml:space="preserve">$150,897</w:t>
            </w:r>
          </w:p>
        </w:tc>
        <w:tc>
          <w:tcPr>
            <w:tcW w:type="dxa" w:w="2500"/>
            <w:tcMar>
              <w:top w:type="dxa" w:w="80"/>
              <w:left w:type="dxa" w:w="120"/>
              <w:bottom w:type="dxa" w:w="80"/>
              <w:right w:type="dxa" w:w="120"/>
            </w:tcMar>
          </w:tcPr>
          <w:p>
            <w:r>
              <w:rPr>
                <w:b w:val="false"/>
                <w:bCs w:val="false"/>
                <w:color w:val="000000"/>
                <w:sz w:val="20"/>
                <w:szCs w:val="20"/>
              </w:rPr>
              <w:t xml:space="preserve">11</w:t>
            </w:r>
          </w:p>
        </w:tc>
      </w:tr>
      <w:tr>
        <w:tc>
          <w:tcPr>
            <w:tcW w:type="dxa" w:w="900"/>
            <w:tcMar>
              <w:top w:type="dxa" w:w="80"/>
              <w:left w:type="dxa" w:w="120"/>
              <w:bottom w:type="dxa" w:w="80"/>
              <w:right w:type="dxa" w:w="120"/>
            </w:tcMar>
          </w:tcPr>
          <w:p>
            <w:r>
              <w:rPr>
                <w:b w:val="false"/>
                <w:bCs w:val="false"/>
                <w:color w:val="000000"/>
                <w:sz w:val="20"/>
                <w:szCs w:val="20"/>
              </w:rPr>
              <w:t xml:space="preserve">3</w:t>
            </w:r>
          </w:p>
        </w:tc>
        <w:tc>
          <w:tcPr>
            <w:tcW w:type="dxa" w:w="3400"/>
            <w:tcMar>
              <w:top w:type="dxa" w:w="80"/>
              <w:left w:type="dxa" w:w="120"/>
              <w:bottom w:type="dxa" w:w="80"/>
              <w:right w:type="dxa" w:w="120"/>
            </w:tcMar>
          </w:tcPr>
          <w:p>
            <w:r>
              <w:rPr>
                <w:b w:val="false"/>
                <w:bCs w:val="false"/>
                <w:color w:val="000000"/>
                <w:sz w:val="20"/>
                <w:szCs w:val="20"/>
              </w:rPr>
              <w:t xml:space="preserve">Hong Kong</w:t>
            </w:r>
          </w:p>
        </w:tc>
        <w:tc>
          <w:tcPr>
            <w:tcW w:type="dxa" w:w="2900"/>
            <w:tcMar>
              <w:top w:type="dxa" w:w="80"/>
              <w:left w:type="dxa" w:w="120"/>
              <w:bottom w:type="dxa" w:w="80"/>
              <w:right w:type="dxa" w:w="120"/>
            </w:tcMar>
          </w:tcPr>
          <w:p>
            <w:r>
              <w:rPr>
                <w:b w:val="false"/>
                <w:bCs w:val="false"/>
                <w:color w:val="000000"/>
                <w:sz w:val="20"/>
                <w:szCs w:val="20"/>
              </w:rPr>
              <w:t xml:space="preserve">$136,853</w:t>
            </w:r>
          </w:p>
        </w:tc>
        <w:tc>
          <w:tcPr>
            <w:tcW w:type="dxa" w:w="2500"/>
            <w:tcMar>
              <w:top w:type="dxa" w:w="80"/>
              <w:left w:type="dxa" w:w="120"/>
              <w:bottom w:type="dxa" w:w="80"/>
              <w:right w:type="dxa" w:w="120"/>
            </w:tcMar>
          </w:tcPr>
          <w:p>
            <w:r>
              <w:rPr>
                <w:b w:val="false"/>
                <w:bCs w:val="false"/>
                <w:color w:val="000000"/>
                <w:sz w:val="20"/>
                <w:szCs w:val="20"/>
              </w:rPr>
              <w:t xml:space="preserve">5</w:t>
            </w:r>
          </w:p>
        </w:tc>
      </w:tr>
      <w:tr>
        <w:tc>
          <w:tcPr>
            <w:tcW w:type="dxa" w:w="900"/>
            <w:tcMar>
              <w:top w:type="dxa" w:w="80"/>
              <w:left w:type="dxa" w:w="120"/>
              <w:bottom w:type="dxa" w:w="80"/>
              <w:right w:type="dxa" w:w="120"/>
            </w:tcMar>
          </w:tcPr>
          <w:p>
            <w:r>
              <w:rPr>
                <w:b w:val="false"/>
                <w:bCs w:val="false"/>
                <w:color w:val="000000"/>
                <w:sz w:val="20"/>
                <w:szCs w:val="20"/>
              </w:rPr>
              <w:t xml:space="preserve">4</w:t>
            </w:r>
          </w:p>
        </w:tc>
        <w:tc>
          <w:tcPr>
            <w:tcW w:type="dxa" w:w="3400"/>
            <w:tcMar>
              <w:top w:type="dxa" w:w="80"/>
              <w:left w:type="dxa" w:w="120"/>
              <w:bottom w:type="dxa" w:w="80"/>
              <w:right w:type="dxa" w:w="120"/>
            </w:tcMar>
          </w:tcPr>
          <w:p>
            <w:r>
              <w:rPr>
                <w:b w:val="false"/>
                <w:bCs w:val="false"/>
                <w:color w:val="000000"/>
                <w:sz w:val="20"/>
                <w:szCs w:val="20"/>
              </w:rPr>
              <w:t xml:space="preserve">Canada</w:t>
            </w:r>
          </w:p>
        </w:tc>
        <w:tc>
          <w:tcPr>
            <w:tcW w:type="dxa" w:w="2900"/>
            <w:tcMar>
              <w:top w:type="dxa" w:w="80"/>
              <w:left w:type="dxa" w:w="120"/>
              <w:bottom w:type="dxa" w:w="80"/>
              <w:right w:type="dxa" w:w="120"/>
            </w:tcMar>
          </w:tcPr>
          <w:p>
            <w:r>
              <w:rPr>
                <w:b w:val="false"/>
                <w:bCs w:val="false"/>
                <w:color w:val="000000"/>
                <w:sz w:val="20"/>
                <w:szCs w:val="20"/>
              </w:rPr>
              <w:t xml:space="preserve">$130,320</w:t>
            </w:r>
          </w:p>
        </w:tc>
        <w:tc>
          <w:tcPr>
            <w:tcW w:type="dxa" w:w="2500"/>
            <w:tcMar>
              <w:top w:type="dxa" w:w="80"/>
              <w:left w:type="dxa" w:w="120"/>
              <w:bottom w:type="dxa" w:w="80"/>
              <w:right w:type="dxa" w:w="120"/>
            </w:tcMar>
          </w:tcPr>
          <w:p>
            <w:r>
              <w:rPr>
                <w:b w:val="false"/>
                <w:bCs w:val="false"/>
                <w:color w:val="000000"/>
                <w:sz w:val="20"/>
                <w:szCs w:val="20"/>
              </w:rPr>
              <w:t xml:space="preserve">4,571</w:t>
            </w:r>
          </w:p>
        </w:tc>
      </w:tr>
      <w:tr>
        <w:tc>
          <w:tcPr>
            <w:tcW w:type="dxa" w:w="900"/>
            <w:tcMar>
              <w:top w:type="dxa" w:w="80"/>
              <w:left w:type="dxa" w:w="120"/>
              <w:bottom w:type="dxa" w:w="80"/>
              <w:right w:type="dxa" w:w="120"/>
            </w:tcMar>
          </w:tcPr>
          <w:p>
            <w:r>
              <w:rPr>
                <w:b w:val="false"/>
                <w:bCs w:val="false"/>
                <w:color w:val="000000"/>
                <w:sz w:val="20"/>
                <w:szCs w:val="20"/>
              </w:rPr>
              <w:t xml:space="preserve">5</w:t>
            </w:r>
          </w:p>
        </w:tc>
        <w:tc>
          <w:tcPr>
            <w:tcW w:type="dxa" w:w="3400"/>
            <w:tcMar>
              <w:top w:type="dxa" w:w="80"/>
              <w:left w:type="dxa" w:w="120"/>
              <w:bottom w:type="dxa" w:w="80"/>
              <w:right w:type="dxa" w:w="120"/>
            </w:tcMar>
          </w:tcPr>
          <w:p>
            <w:r>
              <w:rPr>
                <w:b w:val="false"/>
                <w:bCs w:val="false"/>
                <w:color w:val="000000"/>
                <w:sz w:val="20"/>
                <w:szCs w:val="20"/>
              </w:rPr>
              <w:t xml:space="preserve">Switzerland</w:t>
            </w:r>
          </w:p>
        </w:tc>
        <w:tc>
          <w:tcPr>
            <w:tcW w:type="dxa" w:w="2900"/>
            <w:tcMar>
              <w:top w:type="dxa" w:w="80"/>
              <w:left w:type="dxa" w:w="120"/>
              <w:bottom w:type="dxa" w:w="80"/>
              <w:right w:type="dxa" w:w="120"/>
            </w:tcMar>
          </w:tcPr>
          <w:p>
            <w:r>
              <w:rPr>
                <w:b w:val="false"/>
                <w:bCs w:val="false"/>
                <w:color w:val="000000"/>
                <w:sz w:val="20"/>
                <w:szCs w:val="20"/>
              </w:rPr>
              <w:t xml:space="preserve">$126,415</w:t>
            </w:r>
          </w:p>
        </w:tc>
        <w:tc>
          <w:tcPr>
            <w:tcW w:type="dxa" w:w="2500"/>
            <w:tcMar>
              <w:top w:type="dxa" w:w="80"/>
              <w:left w:type="dxa" w:w="120"/>
              <w:bottom w:type="dxa" w:w="80"/>
              <w:right w:type="dxa" w:w="120"/>
            </w:tcMar>
          </w:tcPr>
          <w:p>
            <w:r>
              <w:rPr>
                <w:b w:val="false"/>
                <w:bCs w:val="false"/>
                <w:color w:val="000000"/>
                <w:sz w:val="20"/>
                <w:szCs w:val="20"/>
              </w:rPr>
              <w:t xml:space="preserve">49</w:t>
            </w:r>
          </w:p>
        </w:tc>
      </w:tr>
    </w:tbl>
    <w:p>
      <w:pPr>
        <w:spacing w:after="240" w:before="80"/>
      </w:pPr>
      <w:r>
        <w:rPr>
          <w:b/>
          <w:bCs/>
          <w:i/>
          <w:iCs/>
          <w:sz w:val="20"/>
          <w:szCs w:val="20"/>
        </w:rPr>
        <w:t xml:space="preserve">Note: </w:t>
      </w:r>
      <w:r>
        <w:rPr>
          <w:i/>
          <w:iCs/>
          <w:sz w:val="20"/>
          <w:szCs w:val="20"/>
        </w:rPr>
        <w:t xml:space="preserve">The US and Canada are the only entries here with a sample size large enough to trust as a stable average; Israel, Hong Kong, and Switzerland are small samples and could shift with more data — use them as leads to investigate, not settled conclusions.</w:t>
      </w:r>
    </w:p>
    <w:p>
      <w:pPr>
        <w:pStyle w:val="Heading1"/>
        <w:spacing w:after="160" w:before="320"/>
      </w:pPr>
      <w:r>
        <w:t xml:space="preserve">4. Most-Requested Cloud Platforms</w:t>
      </w:r>
    </w:p>
    <w:p>
      <w:pPr>
        <w:spacing w:after="160"/>
      </w:pPr>
      <w:r>
        <w:t xml:space="preserve">Mentions across 5,172 combined job descriptions (Data Analyst + Indeed raw text).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700"/>
      </w:tblGrid>
      <w:tr>
        <w:tc>
          <w:tcPr>
            <w:tcW w:type="dxa" w:w="900"/>
            <w:shd w:fill="1F4E78" w:color="auto" w:val="clear"/>
            <w:tcMar>
              <w:top w:type="dxa" w:w="80"/>
              <w:left w:type="dxa" w:w="120"/>
              <w:bottom w:type="dxa" w:w="80"/>
              <w:right w:type="dxa" w:w="120"/>
            </w:tcMar>
          </w:tcPr>
          <w:p>
            <w:r>
              <w:rPr>
                <w:b/>
                <w:bCs/>
                <w:color w:val="FFFFFF"/>
                <w:sz w:val="20"/>
                <w:szCs w:val="20"/>
              </w:rPr>
              <w:t xml:space="preserve">Rank</w:t>
            </w:r>
          </w:p>
        </w:tc>
        <w:tc>
          <w:tcPr>
            <w:tcW w:type="dxa" w:w="5500"/>
            <w:shd w:fill="1F4E78" w:color="auto" w:val="clear"/>
            <w:tcMar>
              <w:top w:type="dxa" w:w="80"/>
              <w:left w:type="dxa" w:w="120"/>
              <w:bottom w:type="dxa" w:w="80"/>
              <w:right w:type="dxa" w:w="120"/>
            </w:tcMar>
          </w:tcPr>
          <w:p>
            <w:r>
              <w:rPr>
                <w:b/>
                <w:bCs/>
                <w:color w:val="FFFFFF"/>
                <w:sz w:val="20"/>
                <w:szCs w:val="20"/>
              </w:rPr>
              <w:t xml:space="preserve">Platform</w:t>
            </w:r>
          </w:p>
        </w:tc>
        <w:tc>
          <w:tcPr>
            <w:tcW w:type="dxa" w:w="2700"/>
            <w:shd w:fill="1F4E78" w:color="auto" w:val="clear"/>
            <w:tcMar>
              <w:top w:type="dxa" w:w="80"/>
              <w:left w:type="dxa" w:w="120"/>
              <w:bottom w:type="dxa" w:w="80"/>
              <w:right w:type="dxa" w:w="120"/>
            </w:tcMar>
          </w:tcPr>
          <w:p>
            <w:r>
              <w:rPr>
                <w:b/>
                <w:bCs/>
                <w:color w:val="FFFFFF"/>
                <w:sz w:val="20"/>
                <w:szCs w:val="20"/>
              </w:rPr>
              <w:t xml:space="preserve">Mentions</w:t>
            </w:r>
          </w:p>
        </w:tc>
      </w:tr>
      <w:tr>
        <w:tc>
          <w:tcPr>
            <w:tcW w:type="dxa" w:w="900"/>
            <w:tcMar>
              <w:top w:type="dxa" w:w="80"/>
              <w:left w:type="dxa" w:w="120"/>
              <w:bottom w:type="dxa" w:w="80"/>
              <w:right w:type="dxa" w:w="120"/>
            </w:tcMar>
          </w:tcPr>
          <w:p>
            <w:r>
              <w:rPr>
                <w:b w:val="false"/>
                <w:bCs w:val="false"/>
                <w:color w:val="000000"/>
                <w:sz w:val="20"/>
                <w:szCs w:val="20"/>
              </w:rPr>
              <w:t xml:space="preserve">1</w:t>
            </w:r>
          </w:p>
        </w:tc>
        <w:tc>
          <w:tcPr>
            <w:tcW w:type="dxa" w:w="5500"/>
            <w:tcMar>
              <w:top w:type="dxa" w:w="80"/>
              <w:left w:type="dxa" w:w="120"/>
              <w:bottom w:type="dxa" w:w="80"/>
              <w:right w:type="dxa" w:w="120"/>
            </w:tcMar>
          </w:tcPr>
          <w:p>
            <w:r>
              <w:rPr>
                <w:b w:val="false"/>
                <w:bCs w:val="false"/>
                <w:color w:val="000000"/>
                <w:sz w:val="20"/>
                <w:szCs w:val="20"/>
              </w:rPr>
              <w:t xml:space="preserve">AWS / Amazon Web Services</w:t>
            </w:r>
          </w:p>
        </w:tc>
        <w:tc>
          <w:tcPr>
            <w:tcW w:type="dxa" w:w="2700"/>
            <w:tcMar>
              <w:top w:type="dxa" w:w="80"/>
              <w:left w:type="dxa" w:w="120"/>
              <w:bottom w:type="dxa" w:w="80"/>
              <w:right w:type="dxa" w:w="120"/>
            </w:tcMar>
          </w:tcPr>
          <w:p>
            <w:r>
              <w:rPr>
                <w:b w:val="false"/>
                <w:bCs w:val="false"/>
                <w:color w:val="000000"/>
                <w:sz w:val="20"/>
                <w:szCs w:val="20"/>
              </w:rPr>
              <w:t xml:space="preserve">1,939</w:t>
            </w:r>
          </w:p>
        </w:tc>
      </w:tr>
      <w:tr>
        <w:tc>
          <w:tcPr>
            <w:tcW w:type="dxa" w:w="900"/>
            <w:tcMar>
              <w:top w:type="dxa" w:w="80"/>
              <w:left w:type="dxa" w:w="120"/>
              <w:bottom w:type="dxa" w:w="80"/>
              <w:right w:type="dxa" w:w="120"/>
            </w:tcMar>
          </w:tcPr>
          <w:p>
            <w:r>
              <w:rPr>
                <w:b w:val="false"/>
                <w:bCs w:val="false"/>
                <w:color w:val="000000"/>
                <w:sz w:val="20"/>
                <w:szCs w:val="20"/>
              </w:rPr>
              <w:t xml:space="preserve">2</w:t>
            </w:r>
          </w:p>
        </w:tc>
        <w:tc>
          <w:tcPr>
            <w:tcW w:type="dxa" w:w="5500"/>
            <w:tcMar>
              <w:top w:type="dxa" w:w="80"/>
              <w:left w:type="dxa" w:w="120"/>
              <w:bottom w:type="dxa" w:w="80"/>
              <w:right w:type="dxa" w:w="120"/>
            </w:tcMar>
          </w:tcPr>
          <w:p>
            <w:r>
              <w:rPr>
                <w:b w:val="false"/>
                <w:bCs w:val="false"/>
                <w:color w:val="000000"/>
                <w:sz w:val="20"/>
                <w:szCs w:val="20"/>
              </w:rPr>
              <w:t xml:space="preserve">Microsoft Azure</w:t>
            </w:r>
          </w:p>
        </w:tc>
        <w:tc>
          <w:tcPr>
            <w:tcW w:type="dxa" w:w="2700"/>
            <w:tcMar>
              <w:top w:type="dxa" w:w="80"/>
              <w:left w:type="dxa" w:w="120"/>
              <w:bottom w:type="dxa" w:w="80"/>
              <w:right w:type="dxa" w:w="120"/>
            </w:tcMar>
          </w:tcPr>
          <w:p>
            <w:r>
              <w:rPr>
                <w:b w:val="false"/>
                <w:bCs w:val="false"/>
                <w:color w:val="000000"/>
                <w:sz w:val="20"/>
                <w:szCs w:val="20"/>
              </w:rPr>
              <w:t xml:space="preserve">1,348</w:t>
            </w:r>
          </w:p>
        </w:tc>
      </w:tr>
      <w:tr>
        <w:tc>
          <w:tcPr>
            <w:tcW w:type="dxa" w:w="900"/>
            <w:tcMar>
              <w:top w:type="dxa" w:w="80"/>
              <w:left w:type="dxa" w:w="120"/>
              <w:bottom w:type="dxa" w:w="80"/>
              <w:right w:type="dxa" w:w="120"/>
            </w:tcMar>
          </w:tcPr>
          <w:p>
            <w:r>
              <w:rPr>
                <w:b w:val="false"/>
                <w:bCs w:val="false"/>
                <w:color w:val="000000"/>
                <w:sz w:val="20"/>
                <w:szCs w:val="20"/>
              </w:rPr>
              <w:t xml:space="preserve">3</w:t>
            </w:r>
          </w:p>
        </w:tc>
        <w:tc>
          <w:tcPr>
            <w:tcW w:type="dxa" w:w="5500"/>
            <w:tcMar>
              <w:top w:type="dxa" w:w="80"/>
              <w:left w:type="dxa" w:w="120"/>
              <w:bottom w:type="dxa" w:w="80"/>
              <w:right w:type="dxa" w:w="120"/>
            </w:tcMar>
          </w:tcPr>
          <w:p>
            <w:r>
              <w:rPr>
                <w:b w:val="false"/>
                <w:bCs w:val="false"/>
                <w:color w:val="000000"/>
                <w:sz w:val="20"/>
                <w:szCs w:val="20"/>
              </w:rPr>
              <w:t xml:space="preserve">Google Cloud (GCP)</w:t>
            </w:r>
          </w:p>
        </w:tc>
        <w:tc>
          <w:tcPr>
            <w:tcW w:type="dxa" w:w="2700"/>
            <w:tcMar>
              <w:top w:type="dxa" w:w="80"/>
              <w:left w:type="dxa" w:w="120"/>
              <w:bottom w:type="dxa" w:w="80"/>
              <w:right w:type="dxa" w:w="120"/>
            </w:tcMar>
          </w:tcPr>
          <w:p>
            <w:r>
              <w:rPr>
                <w:b w:val="false"/>
                <w:bCs w:val="false"/>
                <w:color w:val="000000"/>
                <w:sz w:val="20"/>
                <w:szCs w:val="20"/>
              </w:rPr>
              <w:t xml:space="preserve">534</w:t>
            </w:r>
          </w:p>
        </w:tc>
      </w:tr>
      <w:tr>
        <w:tc>
          <w:tcPr>
            <w:tcW w:type="dxa" w:w="900"/>
            <w:tcMar>
              <w:top w:type="dxa" w:w="80"/>
              <w:left w:type="dxa" w:w="120"/>
              <w:bottom w:type="dxa" w:w="80"/>
              <w:right w:type="dxa" w:w="120"/>
            </w:tcMar>
          </w:tcPr>
          <w:p>
            <w:r>
              <w:rPr>
                <w:b w:val="false"/>
                <w:bCs w:val="false"/>
                <w:color w:val="000000"/>
                <w:sz w:val="20"/>
                <w:szCs w:val="20"/>
              </w:rPr>
              <w:t xml:space="preserve">4</w:t>
            </w:r>
          </w:p>
        </w:tc>
        <w:tc>
          <w:tcPr>
            <w:tcW w:type="dxa" w:w="5500"/>
            <w:tcMar>
              <w:top w:type="dxa" w:w="80"/>
              <w:left w:type="dxa" w:w="120"/>
              <w:bottom w:type="dxa" w:w="80"/>
              <w:right w:type="dxa" w:w="120"/>
            </w:tcMar>
          </w:tcPr>
          <w:p>
            <w:r>
              <w:rPr>
                <w:b w:val="false"/>
                <w:bCs w:val="false"/>
                <w:color w:val="000000"/>
                <w:sz w:val="20"/>
                <w:szCs w:val="20"/>
              </w:rPr>
              <w:t xml:space="preserve">Snowflake</w:t>
            </w:r>
          </w:p>
        </w:tc>
        <w:tc>
          <w:tcPr>
            <w:tcW w:type="dxa" w:w="2700"/>
            <w:tcMar>
              <w:top w:type="dxa" w:w="80"/>
              <w:left w:type="dxa" w:w="120"/>
              <w:bottom w:type="dxa" w:w="80"/>
              <w:right w:type="dxa" w:w="120"/>
            </w:tcMar>
          </w:tcPr>
          <w:p>
            <w:r>
              <w:rPr>
                <w:b w:val="false"/>
                <w:bCs w:val="false"/>
                <w:color w:val="000000"/>
                <w:sz w:val="20"/>
                <w:szCs w:val="20"/>
              </w:rPr>
              <w:t xml:space="preserve">461</w:t>
            </w:r>
          </w:p>
        </w:tc>
      </w:tr>
      <w:tr>
        <w:tc>
          <w:tcPr>
            <w:tcW w:type="dxa" w:w="900"/>
            <w:tcMar>
              <w:top w:type="dxa" w:w="80"/>
              <w:left w:type="dxa" w:w="120"/>
              <w:bottom w:type="dxa" w:w="80"/>
              <w:right w:type="dxa" w:w="120"/>
            </w:tcMar>
          </w:tcPr>
          <w:p>
            <w:r>
              <w:rPr>
                <w:b w:val="false"/>
                <w:bCs w:val="false"/>
                <w:color w:val="000000"/>
                <w:sz w:val="20"/>
                <w:szCs w:val="20"/>
              </w:rPr>
              <w:t xml:space="preserve">5</w:t>
            </w:r>
          </w:p>
        </w:tc>
        <w:tc>
          <w:tcPr>
            <w:tcW w:type="dxa" w:w="5500"/>
            <w:tcMar>
              <w:top w:type="dxa" w:w="80"/>
              <w:left w:type="dxa" w:w="120"/>
              <w:bottom w:type="dxa" w:w="80"/>
              <w:right w:type="dxa" w:w="120"/>
            </w:tcMar>
          </w:tcPr>
          <w:p>
            <w:r>
              <w:rPr>
                <w:b w:val="false"/>
                <w:bCs w:val="false"/>
                <w:color w:val="000000"/>
                <w:sz w:val="20"/>
                <w:szCs w:val="20"/>
              </w:rPr>
              <w:t xml:space="preserve">Oracle Cloud</w:t>
            </w:r>
          </w:p>
        </w:tc>
        <w:tc>
          <w:tcPr>
            <w:tcW w:type="dxa" w:w="2700"/>
            <w:tcMar>
              <w:top w:type="dxa" w:w="80"/>
              <w:left w:type="dxa" w:w="120"/>
              <w:bottom w:type="dxa" w:w="80"/>
              <w:right w:type="dxa" w:w="120"/>
            </w:tcMar>
          </w:tcPr>
          <w:p>
            <w:r>
              <w:rPr>
                <w:b w:val="false"/>
                <w:bCs w:val="false"/>
                <w:color w:val="000000"/>
                <w:sz w:val="20"/>
                <w:szCs w:val="20"/>
              </w:rPr>
              <w:t xml:space="preserve">36</w:t>
            </w:r>
          </w:p>
        </w:tc>
      </w:tr>
    </w:tbl>
    <w:p>
      <w:pPr>
        <w:spacing w:after="240" w:before="80"/>
      </w:pPr>
      <w:r>
        <w:rPr>
          <w:b/>
          <w:bCs/>
          <w:i/>
          <w:iCs/>
          <w:sz w:val="20"/>
          <w:szCs w:val="20"/>
        </w:rPr>
        <w:t xml:space="preserve">Note: </w:t>
      </w:r>
      <w:r>
        <w:rPr>
          <w:i/>
          <w:iCs/>
          <w:sz w:val="20"/>
          <w:szCs w:val="20"/>
        </w:rPr>
        <w:t xml:space="preserve">AWS leads by a wide margin — roughly 44% more mentions than Azure, and over 3.5x GCP. For a candidate choosing one cloud platform to learn first, AWS is the highest-leverage choice by this data.</w:t>
      </w:r>
    </w:p>
    <w:p>
      <w:pPr>
        <w:pStyle w:val="Heading1"/>
        <w:spacing w:after="160" w:before="320"/>
      </w:pPr>
      <w:r>
        <w:t xml:space="preserve">5. Most-Requested SQL Skills</w:t>
      </w:r>
    </w:p>
    <w:p>
      <w:pPr>
        <w:spacing w:after="160"/>
      </w:pPr>
      <w:r>
        <w:t xml:space="preserve">Specific SQL dialects/tools mentioned, distinct from generic “SQL” (4,746 mentions on its own).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00"/>
      </w:tblGrid>
      <w:tr>
        <w:tc>
          <w:tcPr>
            <w:tcW w:type="dxa" w:w="900"/>
            <w:shd w:fill="1F4E78" w:color="auto" w:val="clear"/>
            <w:tcMar>
              <w:top w:type="dxa" w:w="80"/>
              <w:left w:type="dxa" w:w="120"/>
              <w:bottom w:type="dxa" w:w="80"/>
              <w:right w:type="dxa" w:w="120"/>
            </w:tcMar>
          </w:tcPr>
          <w:p>
            <w:r>
              <w:rPr>
                <w:b/>
                <w:bCs/>
                <w:color w:val="FFFFFF"/>
                <w:sz w:val="20"/>
                <w:szCs w:val="20"/>
              </w:rPr>
              <w:t xml:space="preserve">Rank</w:t>
            </w:r>
          </w:p>
        </w:tc>
        <w:tc>
          <w:tcPr>
            <w:tcW w:type="dxa" w:w="4500"/>
            <w:shd w:fill="1F4E78" w:color="auto" w:val="clear"/>
            <w:tcMar>
              <w:top w:type="dxa" w:w="80"/>
              <w:left w:type="dxa" w:w="120"/>
              <w:bottom w:type="dxa" w:w="80"/>
              <w:right w:type="dxa" w:w="120"/>
            </w:tcMar>
          </w:tcPr>
          <w:p>
            <w:r>
              <w:rPr>
                <w:b/>
                <w:bCs/>
                <w:color w:val="FFFFFF"/>
                <w:sz w:val="20"/>
                <w:szCs w:val="20"/>
              </w:rPr>
              <w:t xml:space="preserve">SQL variant / tool</w:t>
            </w:r>
          </w:p>
        </w:tc>
        <w:tc>
          <w:tcPr>
            <w:tcW w:type="dxa" w:w="3900"/>
            <w:shd w:fill="1F4E78" w:color="auto" w:val="clear"/>
            <w:tcMar>
              <w:top w:type="dxa" w:w="80"/>
              <w:left w:type="dxa" w:w="120"/>
              <w:bottom w:type="dxa" w:w="80"/>
              <w:right w:type="dxa" w:w="120"/>
            </w:tcMar>
          </w:tcPr>
          <w:p>
            <w:r>
              <w:rPr>
                <w:b/>
                <w:bCs/>
                <w:color w:val="FFFFFF"/>
                <w:sz w:val="20"/>
                <w:szCs w:val="20"/>
              </w:rPr>
              <w:t xml:space="preserve">Mentions</w:t>
            </w:r>
          </w:p>
        </w:tc>
      </w:tr>
      <w:tr>
        <w:tc>
          <w:tcPr>
            <w:tcW w:type="dxa" w:w="900"/>
            <w:tcMar>
              <w:top w:type="dxa" w:w="80"/>
              <w:left w:type="dxa" w:w="120"/>
              <w:bottom w:type="dxa" w:w="80"/>
              <w:right w:type="dxa" w:w="120"/>
            </w:tcMar>
          </w:tcPr>
          <w:p>
            <w:r>
              <w:rPr>
                <w:b w:val="false"/>
                <w:bCs w:val="false"/>
                <w:color w:val="000000"/>
                <w:sz w:val="20"/>
                <w:szCs w:val="20"/>
              </w:rPr>
              <w:t xml:space="preserve">1</w:t>
            </w:r>
          </w:p>
        </w:tc>
        <w:tc>
          <w:tcPr>
            <w:tcW w:type="dxa" w:w="4500"/>
            <w:tcMar>
              <w:top w:type="dxa" w:w="80"/>
              <w:left w:type="dxa" w:w="120"/>
              <w:bottom w:type="dxa" w:w="80"/>
              <w:right w:type="dxa" w:w="120"/>
            </w:tcMar>
          </w:tcPr>
          <w:p>
            <w:r>
              <w:rPr>
                <w:b w:val="false"/>
                <w:bCs w:val="false"/>
                <w:color w:val="000000"/>
                <w:sz w:val="20"/>
                <w:szCs w:val="20"/>
              </w:rPr>
              <w:t xml:space="preserve">PL/SQL</w:t>
            </w:r>
          </w:p>
        </w:tc>
        <w:tc>
          <w:tcPr>
            <w:tcW w:type="dxa" w:w="3900"/>
            <w:tcMar>
              <w:top w:type="dxa" w:w="80"/>
              <w:left w:type="dxa" w:w="120"/>
              <w:bottom w:type="dxa" w:w="80"/>
              <w:right w:type="dxa" w:w="120"/>
            </w:tcMar>
          </w:tcPr>
          <w:p>
            <w:r>
              <w:rPr>
                <w:b w:val="false"/>
                <w:bCs w:val="false"/>
                <w:color w:val="000000"/>
                <w:sz w:val="20"/>
                <w:szCs w:val="20"/>
              </w:rPr>
              <w:t xml:space="preserve">151</w:t>
            </w:r>
          </w:p>
        </w:tc>
      </w:tr>
      <w:tr>
        <w:tc>
          <w:tcPr>
            <w:tcW w:type="dxa" w:w="900"/>
            <w:tcMar>
              <w:top w:type="dxa" w:w="80"/>
              <w:left w:type="dxa" w:w="120"/>
              <w:bottom w:type="dxa" w:w="80"/>
              <w:right w:type="dxa" w:w="120"/>
            </w:tcMar>
          </w:tcPr>
          <w:p>
            <w:r>
              <w:rPr>
                <w:b w:val="false"/>
                <w:bCs w:val="false"/>
                <w:color w:val="000000"/>
                <w:sz w:val="20"/>
                <w:szCs w:val="20"/>
              </w:rPr>
              <w:t xml:space="preserve">2</w:t>
            </w:r>
          </w:p>
        </w:tc>
        <w:tc>
          <w:tcPr>
            <w:tcW w:type="dxa" w:w="4500"/>
            <w:tcMar>
              <w:top w:type="dxa" w:w="80"/>
              <w:left w:type="dxa" w:w="120"/>
              <w:bottom w:type="dxa" w:w="80"/>
              <w:right w:type="dxa" w:w="120"/>
            </w:tcMar>
          </w:tcPr>
          <w:p>
            <w:r>
              <w:rPr>
                <w:b w:val="false"/>
                <w:bCs w:val="false"/>
                <w:color w:val="000000"/>
                <w:sz w:val="20"/>
                <w:szCs w:val="20"/>
              </w:rPr>
              <w:t xml:space="preserve">Microsoft SQL Server / T-SQL</w:t>
            </w:r>
          </w:p>
        </w:tc>
        <w:tc>
          <w:tcPr>
            <w:tcW w:type="dxa" w:w="3900"/>
            <w:tcMar>
              <w:top w:type="dxa" w:w="80"/>
              <w:left w:type="dxa" w:w="120"/>
              <w:bottom w:type="dxa" w:w="80"/>
              <w:right w:type="dxa" w:w="120"/>
            </w:tcMar>
          </w:tcPr>
          <w:p>
            <w:r>
              <w:rPr>
                <w:b w:val="false"/>
                <w:bCs w:val="false"/>
                <w:color w:val="000000"/>
                <w:sz w:val="20"/>
                <w:szCs w:val="20"/>
              </w:rPr>
              <w:t xml:space="preserve">569</w:t>
            </w:r>
          </w:p>
        </w:tc>
      </w:tr>
      <w:tr>
        <w:tc>
          <w:tcPr>
            <w:tcW w:type="dxa" w:w="900"/>
            <w:tcMar>
              <w:top w:type="dxa" w:w="80"/>
              <w:left w:type="dxa" w:w="120"/>
              <w:bottom w:type="dxa" w:w="80"/>
              <w:right w:type="dxa" w:w="120"/>
            </w:tcMar>
          </w:tcPr>
          <w:p>
            <w:r>
              <w:rPr>
                <w:b w:val="false"/>
                <w:bCs w:val="false"/>
                <w:color w:val="000000"/>
                <w:sz w:val="20"/>
                <w:szCs w:val="20"/>
              </w:rPr>
              <w:t xml:space="preserve">3</w:t>
            </w:r>
          </w:p>
        </w:tc>
        <w:tc>
          <w:tcPr>
            <w:tcW w:type="dxa" w:w="4500"/>
            <w:tcMar>
              <w:top w:type="dxa" w:w="80"/>
              <w:left w:type="dxa" w:w="120"/>
              <w:bottom w:type="dxa" w:w="80"/>
              <w:right w:type="dxa" w:w="120"/>
            </w:tcMar>
          </w:tcPr>
          <w:p>
            <w:r>
              <w:rPr>
                <w:b w:val="false"/>
                <w:bCs w:val="false"/>
                <w:color w:val="000000"/>
                <w:sz w:val="20"/>
                <w:szCs w:val="20"/>
              </w:rPr>
              <w:t xml:space="preserve">Amazon Redshift</w:t>
            </w:r>
          </w:p>
        </w:tc>
        <w:tc>
          <w:tcPr>
            <w:tcW w:type="dxa" w:w="3900"/>
            <w:tcMar>
              <w:top w:type="dxa" w:w="80"/>
              <w:left w:type="dxa" w:w="120"/>
              <w:bottom w:type="dxa" w:w="80"/>
              <w:right w:type="dxa" w:w="120"/>
            </w:tcMar>
          </w:tcPr>
          <w:p>
            <w:r>
              <w:rPr>
                <w:b w:val="false"/>
                <w:bCs w:val="false"/>
                <w:color w:val="000000"/>
                <w:sz w:val="20"/>
                <w:szCs w:val="20"/>
              </w:rPr>
              <w:t xml:space="preserve">302</w:t>
            </w:r>
          </w:p>
        </w:tc>
      </w:tr>
      <w:tr>
        <w:tc>
          <w:tcPr>
            <w:tcW w:type="dxa" w:w="900"/>
            <w:tcMar>
              <w:top w:type="dxa" w:w="80"/>
              <w:left w:type="dxa" w:w="120"/>
              <w:bottom w:type="dxa" w:w="80"/>
              <w:right w:type="dxa" w:w="120"/>
            </w:tcMar>
          </w:tcPr>
          <w:p>
            <w:r>
              <w:rPr>
                <w:b w:val="false"/>
                <w:bCs w:val="false"/>
                <w:color w:val="000000"/>
                <w:sz w:val="20"/>
                <w:szCs w:val="20"/>
              </w:rPr>
              <w:t xml:space="preserve">4</w:t>
            </w:r>
          </w:p>
        </w:tc>
        <w:tc>
          <w:tcPr>
            <w:tcW w:type="dxa" w:w="4500"/>
            <w:tcMar>
              <w:top w:type="dxa" w:w="80"/>
              <w:left w:type="dxa" w:w="120"/>
              <w:bottom w:type="dxa" w:w="80"/>
              <w:right w:type="dxa" w:w="120"/>
            </w:tcMar>
          </w:tcPr>
          <w:p>
            <w:r>
              <w:rPr>
                <w:b w:val="false"/>
                <w:bCs w:val="false"/>
                <w:color w:val="000000"/>
                <w:sz w:val="20"/>
                <w:szCs w:val="20"/>
              </w:rPr>
              <w:t xml:space="preserve">PostgreSQL</w:t>
            </w:r>
          </w:p>
        </w:tc>
        <w:tc>
          <w:tcPr>
            <w:tcW w:type="dxa" w:w="3900"/>
            <w:tcMar>
              <w:top w:type="dxa" w:w="80"/>
              <w:left w:type="dxa" w:w="120"/>
              <w:bottom w:type="dxa" w:w="80"/>
              <w:right w:type="dxa" w:w="120"/>
            </w:tcMar>
          </w:tcPr>
          <w:p>
            <w:r>
              <w:rPr>
                <w:b w:val="false"/>
                <w:bCs w:val="false"/>
                <w:color w:val="000000"/>
                <w:sz w:val="20"/>
                <w:szCs w:val="20"/>
              </w:rPr>
              <w:t xml:space="preserve">230</w:t>
            </w:r>
          </w:p>
        </w:tc>
      </w:tr>
      <w:tr>
        <w:tc>
          <w:tcPr>
            <w:tcW w:type="dxa" w:w="900"/>
            <w:tcMar>
              <w:top w:type="dxa" w:w="80"/>
              <w:left w:type="dxa" w:w="120"/>
              <w:bottom w:type="dxa" w:w="80"/>
              <w:right w:type="dxa" w:w="120"/>
            </w:tcMar>
          </w:tcPr>
          <w:p>
            <w:r>
              <w:rPr>
                <w:b w:val="false"/>
                <w:bCs w:val="false"/>
                <w:color w:val="000000"/>
                <w:sz w:val="20"/>
                <w:szCs w:val="20"/>
              </w:rPr>
              <w:t xml:space="preserve">5</w:t>
            </w:r>
          </w:p>
        </w:tc>
        <w:tc>
          <w:tcPr>
            <w:tcW w:type="dxa" w:w="4500"/>
            <w:tcMar>
              <w:top w:type="dxa" w:w="80"/>
              <w:left w:type="dxa" w:w="120"/>
              <w:bottom w:type="dxa" w:w="80"/>
              <w:right w:type="dxa" w:w="120"/>
            </w:tcMar>
          </w:tcPr>
          <w:p>
            <w:r>
              <w:rPr>
                <w:b w:val="false"/>
                <w:bCs w:val="false"/>
                <w:color w:val="000000"/>
                <w:sz w:val="20"/>
                <w:szCs w:val="20"/>
              </w:rPr>
              <w:t xml:space="preserve">MySQL</w:t>
            </w:r>
          </w:p>
        </w:tc>
        <w:tc>
          <w:tcPr>
            <w:tcW w:type="dxa" w:w="3900"/>
            <w:tcMar>
              <w:top w:type="dxa" w:w="80"/>
              <w:left w:type="dxa" w:w="120"/>
              <w:bottom w:type="dxa" w:w="80"/>
              <w:right w:type="dxa" w:w="120"/>
            </w:tcMar>
          </w:tcPr>
          <w:p>
            <w:r>
              <w:rPr>
                <w:b w:val="false"/>
                <w:bCs w:val="false"/>
                <w:color w:val="000000"/>
                <w:sz w:val="20"/>
                <w:szCs w:val="20"/>
              </w:rPr>
              <w:t xml:space="preserve">202</w:t>
            </w:r>
          </w:p>
        </w:tc>
      </w:tr>
      <w:tr>
        <w:tc>
          <w:tcPr>
            <w:tcW w:type="dxa" w:w="900"/>
            <w:tcMar>
              <w:top w:type="dxa" w:w="80"/>
              <w:left w:type="dxa" w:w="120"/>
              <w:bottom w:type="dxa" w:w="80"/>
              <w:right w:type="dxa" w:w="120"/>
            </w:tcMar>
          </w:tcPr>
          <w:p>
            <w:r>
              <w:rPr>
                <w:b w:val="false"/>
                <w:bCs w:val="false"/>
                <w:color w:val="000000"/>
                <w:sz w:val="20"/>
                <w:szCs w:val="20"/>
              </w:rPr>
              <w:t xml:space="preserve">6</w:t>
            </w:r>
          </w:p>
        </w:tc>
        <w:tc>
          <w:tcPr>
            <w:tcW w:type="dxa" w:w="4500"/>
            <w:tcMar>
              <w:top w:type="dxa" w:w="80"/>
              <w:left w:type="dxa" w:w="120"/>
              <w:bottom w:type="dxa" w:w="80"/>
              <w:right w:type="dxa" w:w="120"/>
            </w:tcMar>
          </w:tcPr>
          <w:p>
            <w:r>
              <w:rPr>
                <w:b w:val="false"/>
                <w:bCs w:val="false"/>
                <w:color w:val="000000"/>
                <w:sz w:val="20"/>
                <w:szCs w:val="20"/>
              </w:rPr>
              <w:t xml:space="preserve">NoSQL</w:t>
            </w:r>
          </w:p>
        </w:tc>
        <w:tc>
          <w:tcPr>
            <w:tcW w:type="dxa" w:w="3900"/>
            <w:tcMar>
              <w:top w:type="dxa" w:w="80"/>
              <w:left w:type="dxa" w:w="120"/>
              <w:bottom w:type="dxa" w:w="80"/>
              <w:right w:type="dxa" w:w="120"/>
            </w:tcMar>
          </w:tcPr>
          <w:p>
            <w:r>
              <w:rPr>
                <w:b w:val="false"/>
                <w:bCs w:val="false"/>
                <w:color w:val="000000"/>
                <w:sz w:val="20"/>
                <w:szCs w:val="20"/>
              </w:rPr>
              <w:t xml:space="preserve">193</w:t>
            </w:r>
          </w:p>
        </w:tc>
      </w:tr>
      <w:tr>
        <w:tc>
          <w:tcPr>
            <w:tcW w:type="dxa" w:w="900"/>
            <w:tcMar>
              <w:top w:type="dxa" w:w="80"/>
              <w:left w:type="dxa" w:w="120"/>
              <w:bottom w:type="dxa" w:w="80"/>
              <w:right w:type="dxa" w:w="120"/>
            </w:tcMar>
          </w:tcPr>
          <w:p>
            <w:r>
              <w:rPr>
                <w:b w:val="false"/>
                <w:bCs w:val="false"/>
                <w:color w:val="000000"/>
                <w:sz w:val="20"/>
                <w:szCs w:val="20"/>
              </w:rPr>
              <w:t xml:space="preserve">7</w:t>
            </w:r>
          </w:p>
        </w:tc>
        <w:tc>
          <w:tcPr>
            <w:tcW w:type="dxa" w:w="4500"/>
            <w:tcMar>
              <w:top w:type="dxa" w:w="80"/>
              <w:left w:type="dxa" w:w="120"/>
              <w:bottom w:type="dxa" w:w="80"/>
              <w:right w:type="dxa" w:w="120"/>
            </w:tcMar>
          </w:tcPr>
          <w:p>
            <w:r>
              <w:rPr>
                <w:b w:val="false"/>
                <w:bCs w:val="false"/>
                <w:color w:val="000000"/>
                <w:sz w:val="20"/>
                <w:szCs w:val="20"/>
              </w:rPr>
              <w:t xml:space="preserve">Google BigQuery</w:t>
            </w:r>
          </w:p>
        </w:tc>
        <w:tc>
          <w:tcPr>
            <w:tcW w:type="dxa" w:w="3900"/>
            <w:tcMar>
              <w:top w:type="dxa" w:w="80"/>
              <w:left w:type="dxa" w:w="120"/>
              <w:bottom w:type="dxa" w:w="80"/>
              <w:right w:type="dxa" w:w="120"/>
            </w:tcMar>
          </w:tcPr>
          <w:p>
            <w:r>
              <w:rPr>
                <w:b w:val="false"/>
                <w:bCs w:val="false"/>
                <w:color w:val="000000"/>
                <w:sz w:val="20"/>
                <w:szCs w:val="20"/>
              </w:rPr>
              <w:t xml:space="preserve">121</w:t>
            </w:r>
          </w:p>
        </w:tc>
      </w:tr>
    </w:tbl>
    <w:p>
      <w:pPr>
        <w:spacing w:after="240" w:before="80"/>
      </w:pPr>
      <w:r>
        <w:rPr>
          <w:b/>
          <w:bCs/>
          <w:i/>
          <w:iCs/>
          <w:sz w:val="20"/>
          <w:szCs w:val="20"/>
        </w:rPr>
        <w:t xml:space="preserve">Note: </w:t>
      </w:r>
      <w:r>
        <w:rPr>
          <w:i/>
          <w:iCs/>
          <w:sz w:val="20"/>
          <w:szCs w:val="20"/>
        </w:rPr>
        <w:t xml:space="preserve">Ranked here by Microsoft SQL Server / T-SQL over PL/SQL after correcting an initial overcount — a naive “oracle” keyword search matched 757 mentions, but most referred to Oracle as a company/product generally, not specifically its SQL variant; PL/SQL (151) is the reliable figure.</w:t>
      </w:r>
    </w:p>
    <w:p>
      <w:pPr>
        <w:pStyle w:val="Heading1"/>
        <w:spacing w:after="160" w:before="320"/>
      </w:pPr>
      <w:r>
        <w:t xml:space="preserve">6. Best Certifications</w:t>
      </w:r>
    </w:p>
    <w:p>
      <w:pPr>
        <w:spacing w:after="160"/>
      </w:pPr>
      <w:r>
        <w:t xml:space="preserve">Certification mentions across the same 5,172 job descriptions. Counts are notably lower than skill/tool mentions — most postings list required skills, not required certifications.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2700"/>
      </w:tblGrid>
      <w:tr>
        <w:tc>
          <w:tcPr>
            <w:tcW w:type="dxa" w:w="900"/>
            <w:shd w:fill="1F4E78" w:color="auto" w:val="clear"/>
            <w:tcMar>
              <w:top w:type="dxa" w:w="80"/>
              <w:left w:type="dxa" w:w="120"/>
              <w:bottom w:type="dxa" w:w="80"/>
              <w:right w:type="dxa" w:w="120"/>
            </w:tcMar>
          </w:tcPr>
          <w:p>
            <w:r>
              <w:rPr>
                <w:b/>
                <w:bCs/>
                <w:color w:val="FFFFFF"/>
                <w:sz w:val="20"/>
                <w:szCs w:val="20"/>
              </w:rPr>
              <w:t xml:space="preserve">Rank</w:t>
            </w:r>
          </w:p>
        </w:tc>
        <w:tc>
          <w:tcPr>
            <w:tcW w:type="dxa" w:w="4700"/>
            <w:shd w:fill="1F4E78" w:color="auto" w:val="clear"/>
            <w:tcMar>
              <w:top w:type="dxa" w:w="80"/>
              <w:left w:type="dxa" w:w="120"/>
              <w:bottom w:type="dxa" w:w="80"/>
              <w:right w:type="dxa" w:w="120"/>
            </w:tcMar>
          </w:tcPr>
          <w:p>
            <w:r>
              <w:rPr>
                <w:b/>
                <w:bCs/>
                <w:color w:val="FFFFFF"/>
                <w:sz w:val="20"/>
                <w:szCs w:val="20"/>
              </w:rPr>
              <w:t xml:space="preserve">Certification</w:t>
            </w:r>
          </w:p>
        </w:tc>
        <w:tc>
          <w:tcPr>
            <w:tcW w:type="dxa" w:w="2700"/>
            <w:shd w:fill="1F4E78" w:color="auto" w:val="clear"/>
            <w:tcMar>
              <w:top w:type="dxa" w:w="80"/>
              <w:left w:type="dxa" w:w="120"/>
              <w:bottom w:type="dxa" w:w="80"/>
              <w:right w:type="dxa" w:w="120"/>
            </w:tcMar>
          </w:tcPr>
          <w:p>
            <w:r>
              <w:rPr>
                <w:b/>
                <w:bCs/>
                <w:color w:val="FFFFFF"/>
                <w:sz w:val="20"/>
                <w:szCs w:val="20"/>
              </w:rPr>
              <w:t xml:space="preserve">Mentions</w:t>
            </w:r>
          </w:p>
        </w:tc>
      </w:tr>
      <w:tr>
        <w:tc>
          <w:tcPr>
            <w:tcW w:type="dxa" w:w="900"/>
            <w:tcMar>
              <w:top w:type="dxa" w:w="80"/>
              <w:left w:type="dxa" w:w="120"/>
              <w:bottom w:type="dxa" w:w="80"/>
              <w:right w:type="dxa" w:w="120"/>
            </w:tcMar>
          </w:tcPr>
          <w:p>
            <w:r>
              <w:rPr>
                <w:b w:val="false"/>
                <w:bCs w:val="false"/>
                <w:color w:val="000000"/>
                <w:sz w:val="20"/>
                <w:szCs w:val="20"/>
              </w:rPr>
              <w:t xml:space="preserve">1</w:t>
            </w:r>
          </w:p>
        </w:tc>
        <w:tc>
          <w:tcPr>
            <w:tcW w:type="dxa" w:w="4700"/>
            <w:tcMar>
              <w:top w:type="dxa" w:w="80"/>
              <w:left w:type="dxa" w:w="120"/>
              <w:bottom w:type="dxa" w:w="80"/>
              <w:right w:type="dxa" w:w="120"/>
            </w:tcMar>
          </w:tcPr>
          <w:p>
            <w:r>
              <w:rPr>
                <w:b w:val="false"/>
                <w:bCs w:val="false"/>
                <w:color w:val="000000"/>
                <w:sz w:val="20"/>
                <w:szCs w:val="20"/>
              </w:rPr>
              <w:t xml:space="preserve">Six Sigma</w:t>
            </w:r>
          </w:p>
        </w:tc>
        <w:tc>
          <w:tcPr>
            <w:tcW w:type="dxa" w:w="2700"/>
            <w:tcMar>
              <w:top w:type="dxa" w:w="80"/>
              <w:left w:type="dxa" w:w="120"/>
              <w:bottom w:type="dxa" w:w="80"/>
              <w:right w:type="dxa" w:w="120"/>
            </w:tcMar>
          </w:tcPr>
          <w:p>
            <w:r>
              <w:rPr>
                <w:b w:val="false"/>
                <w:bCs w:val="false"/>
                <w:color w:val="000000"/>
                <w:sz w:val="20"/>
                <w:szCs w:val="20"/>
              </w:rPr>
              <w:t xml:space="preserve">49</w:t>
            </w:r>
          </w:p>
        </w:tc>
      </w:tr>
      <w:tr>
        <w:tc>
          <w:tcPr>
            <w:tcW w:type="dxa" w:w="900"/>
            <w:tcMar>
              <w:top w:type="dxa" w:w="80"/>
              <w:left w:type="dxa" w:w="120"/>
              <w:bottom w:type="dxa" w:w="80"/>
              <w:right w:type="dxa" w:w="120"/>
            </w:tcMar>
          </w:tcPr>
          <w:p>
            <w:r>
              <w:rPr>
                <w:b w:val="false"/>
                <w:bCs w:val="false"/>
                <w:color w:val="000000"/>
                <w:sz w:val="20"/>
                <w:szCs w:val="20"/>
              </w:rPr>
              <w:t xml:space="preserve">2</w:t>
            </w:r>
          </w:p>
        </w:tc>
        <w:tc>
          <w:tcPr>
            <w:tcW w:type="dxa" w:w="4700"/>
            <w:tcMar>
              <w:top w:type="dxa" w:w="80"/>
              <w:left w:type="dxa" w:w="120"/>
              <w:bottom w:type="dxa" w:w="80"/>
              <w:right w:type="dxa" w:w="120"/>
            </w:tcMar>
          </w:tcPr>
          <w:p>
            <w:r>
              <w:rPr>
                <w:b w:val="false"/>
                <w:bCs w:val="false"/>
                <w:color w:val="000000"/>
                <w:sz w:val="20"/>
                <w:szCs w:val="20"/>
              </w:rPr>
              <w:t xml:space="preserve">Generic “certified data/analytics/business”</w:t>
            </w:r>
          </w:p>
        </w:tc>
        <w:tc>
          <w:tcPr>
            <w:tcW w:type="dxa" w:w="2700"/>
            <w:tcMar>
              <w:top w:type="dxa" w:w="80"/>
              <w:left w:type="dxa" w:w="120"/>
              <w:bottom w:type="dxa" w:w="80"/>
              <w:right w:type="dxa" w:w="120"/>
            </w:tcMar>
          </w:tcPr>
          <w:p>
            <w:r>
              <w:rPr>
                <w:b w:val="false"/>
                <w:bCs w:val="false"/>
                <w:color w:val="000000"/>
                <w:sz w:val="20"/>
                <w:szCs w:val="20"/>
              </w:rPr>
              <w:t xml:space="preserve">47</w:t>
            </w:r>
          </w:p>
        </w:tc>
      </w:tr>
      <w:tr>
        <w:tc>
          <w:tcPr>
            <w:tcW w:type="dxa" w:w="900"/>
            <w:tcMar>
              <w:top w:type="dxa" w:w="80"/>
              <w:left w:type="dxa" w:w="120"/>
              <w:bottom w:type="dxa" w:w="80"/>
              <w:right w:type="dxa" w:w="120"/>
            </w:tcMar>
          </w:tcPr>
          <w:p>
            <w:r>
              <w:rPr>
                <w:b w:val="false"/>
                <w:bCs w:val="false"/>
                <w:color w:val="000000"/>
                <w:sz w:val="20"/>
                <w:szCs w:val="20"/>
              </w:rPr>
              <w:t xml:space="preserve">3</w:t>
            </w:r>
          </w:p>
        </w:tc>
        <w:tc>
          <w:tcPr>
            <w:tcW w:type="dxa" w:w="4700"/>
            <w:tcMar>
              <w:top w:type="dxa" w:w="80"/>
              <w:left w:type="dxa" w:w="120"/>
              <w:bottom w:type="dxa" w:w="80"/>
              <w:right w:type="dxa" w:w="120"/>
            </w:tcMar>
          </w:tcPr>
          <w:p>
            <w:r>
              <w:rPr>
                <w:b w:val="false"/>
                <w:bCs w:val="false"/>
                <w:color w:val="000000"/>
                <w:sz w:val="20"/>
                <w:szCs w:val="20"/>
              </w:rPr>
              <w:t xml:space="preserve">Microsoft / Azure Certified</w:t>
            </w:r>
          </w:p>
        </w:tc>
        <w:tc>
          <w:tcPr>
            <w:tcW w:type="dxa" w:w="2700"/>
            <w:tcMar>
              <w:top w:type="dxa" w:w="80"/>
              <w:left w:type="dxa" w:w="120"/>
              <w:bottom w:type="dxa" w:w="80"/>
              <w:right w:type="dxa" w:w="120"/>
            </w:tcMar>
          </w:tcPr>
          <w:p>
            <w:r>
              <w:rPr>
                <w:b w:val="false"/>
                <w:bCs w:val="false"/>
                <w:color w:val="000000"/>
                <w:sz w:val="20"/>
                <w:szCs w:val="20"/>
              </w:rPr>
              <w:t xml:space="preserve">42</w:t>
            </w:r>
          </w:p>
        </w:tc>
      </w:tr>
      <w:tr>
        <w:tc>
          <w:tcPr>
            <w:tcW w:type="dxa" w:w="900"/>
            <w:tcMar>
              <w:top w:type="dxa" w:w="80"/>
              <w:left w:type="dxa" w:w="120"/>
              <w:bottom w:type="dxa" w:w="80"/>
              <w:right w:type="dxa" w:w="120"/>
            </w:tcMar>
          </w:tcPr>
          <w:p>
            <w:r>
              <w:rPr>
                <w:b w:val="false"/>
                <w:bCs w:val="false"/>
                <w:color w:val="000000"/>
                <w:sz w:val="20"/>
                <w:szCs w:val="20"/>
              </w:rPr>
              <w:t xml:space="preserve">4</w:t>
            </w:r>
          </w:p>
        </w:tc>
        <w:tc>
          <w:tcPr>
            <w:tcW w:type="dxa" w:w="4700"/>
            <w:tcMar>
              <w:top w:type="dxa" w:w="80"/>
              <w:left w:type="dxa" w:w="120"/>
              <w:bottom w:type="dxa" w:w="80"/>
              <w:right w:type="dxa" w:w="120"/>
            </w:tcMar>
          </w:tcPr>
          <w:p>
            <w:r>
              <w:rPr>
                <w:b w:val="false"/>
                <w:bCs w:val="false"/>
                <w:color w:val="000000"/>
                <w:sz w:val="20"/>
                <w:szCs w:val="20"/>
              </w:rPr>
              <w:t xml:space="preserve">PMP (Project Management Professional)</w:t>
            </w:r>
          </w:p>
        </w:tc>
        <w:tc>
          <w:tcPr>
            <w:tcW w:type="dxa" w:w="2700"/>
            <w:tcMar>
              <w:top w:type="dxa" w:w="80"/>
              <w:left w:type="dxa" w:w="120"/>
              <w:bottom w:type="dxa" w:w="80"/>
              <w:right w:type="dxa" w:w="120"/>
            </w:tcMar>
          </w:tcPr>
          <w:p>
            <w:r>
              <w:rPr>
                <w:b w:val="false"/>
                <w:bCs w:val="false"/>
                <w:color w:val="000000"/>
                <w:sz w:val="20"/>
                <w:szCs w:val="20"/>
              </w:rPr>
              <w:t xml:space="preserve">38</w:t>
            </w:r>
          </w:p>
        </w:tc>
      </w:tr>
      <w:tr>
        <w:tc>
          <w:tcPr>
            <w:tcW w:type="dxa" w:w="900"/>
            <w:tcMar>
              <w:top w:type="dxa" w:w="80"/>
              <w:left w:type="dxa" w:w="120"/>
              <w:bottom w:type="dxa" w:w="80"/>
              <w:right w:type="dxa" w:w="120"/>
            </w:tcMar>
          </w:tcPr>
          <w:p>
            <w:r>
              <w:rPr>
                <w:b w:val="false"/>
                <w:bCs w:val="false"/>
                <w:color w:val="000000"/>
                <w:sz w:val="20"/>
                <w:szCs w:val="20"/>
              </w:rPr>
              <w:t xml:space="preserve">5</w:t>
            </w:r>
          </w:p>
        </w:tc>
        <w:tc>
          <w:tcPr>
            <w:tcW w:type="dxa" w:w="4700"/>
            <w:tcMar>
              <w:top w:type="dxa" w:w="80"/>
              <w:left w:type="dxa" w:w="120"/>
              <w:bottom w:type="dxa" w:w="80"/>
              <w:right w:type="dxa" w:w="120"/>
            </w:tcMar>
          </w:tcPr>
          <w:p>
            <w:r>
              <w:rPr>
                <w:b w:val="false"/>
                <w:bCs w:val="false"/>
                <w:color w:val="000000"/>
                <w:sz w:val="20"/>
                <w:szCs w:val="20"/>
              </w:rPr>
              <w:t xml:space="preserve">CPA</w:t>
            </w:r>
          </w:p>
        </w:tc>
        <w:tc>
          <w:tcPr>
            <w:tcW w:type="dxa" w:w="2700"/>
            <w:tcMar>
              <w:top w:type="dxa" w:w="80"/>
              <w:left w:type="dxa" w:w="120"/>
              <w:bottom w:type="dxa" w:w="80"/>
              <w:right w:type="dxa" w:w="120"/>
            </w:tcMar>
          </w:tcPr>
          <w:p>
            <w:r>
              <w:rPr>
                <w:b w:val="false"/>
                <w:bCs w:val="false"/>
                <w:color w:val="000000"/>
                <w:sz w:val="20"/>
                <w:szCs w:val="20"/>
              </w:rPr>
              <w:t xml:space="preserve">30</w:t>
            </w:r>
          </w:p>
        </w:tc>
      </w:tr>
      <w:tr>
        <w:tc>
          <w:tcPr>
            <w:tcW w:type="dxa" w:w="900"/>
            <w:tcMar>
              <w:top w:type="dxa" w:w="80"/>
              <w:left w:type="dxa" w:w="120"/>
              <w:bottom w:type="dxa" w:w="80"/>
              <w:right w:type="dxa" w:w="120"/>
            </w:tcMar>
          </w:tcPr>
          <w:p>
            <w:r>
              <w:rPr>
                <w:b w:val="false"/>
                <w:bCs w:val="false"/>
                <w:color w:val="000000"/>
                <w:sz w:val="20"/>
                <w:szCs w:val="20"/>
              </w:rPr>
              <w:t xml:space="preserve">6</w:t>
            </w:r>
          </w:p>
        </w:tc>
        <w:tc>
          <w:tcPr>
            <w:tcW w:type="dxa" w:w="4700"/>
            <w:tcMar>
              <w:top w:type="dxa" w:w="80"/>
              <w:left w:type="dxa" w:w="120"/>
              <w:bottom w:type="dxa" w:w="80"/>
              <w:right w:type="dxa" w:w="120"/>
            </w:tcMar>
          </w:tcPr>
          <w:p>
            <w:r>
              <w:rPr>
                <w:b w:val="false"/>
                <w:bCs w:val="false"/>
                <w:color w:val="000000"/>
                <w:sz w:val="20"/>
                <w:szCs w:val="20"/>
              </w:rPr>
              <w:t xml:space="preserve">AWS Certified</w:t>
            </w:r>
          </w:p>
        </w:tc>
        <w:tc>
          <w:tcPr>
            <w:tcW w:type="dxa" w:w="2700"/>
            <w:tcMar>
              <w:top w:type="dxa" w:w="80"/>
              <w:left w:type="dxa" w:w="120"/>
              <w:bottom w:type="dxa" w:w="80"/>
              <w:right w:type="dxa" w:w="120"/>
            </w:tcMar>
          </w:tcPr>
          <w:p>
            <w:r>
              <w:rPr>
                <w:b w:val="false"/>
                <w:bCs w:val="false"/>
                <w:color w:val="000000"/>
                <w:sz w:val="20"/>
                <w:szCs w:val="20"/>
              </w:rPr>
              <w:t xml:space="preserve">28</w:t>
            </w:r>
          </w:p>
        </w:tc>
      </w:tr>
    </w:tbl>
    <w:p>
      <w:pPr>
        <w:spacing w:after="240" w:before="80"/>
      </w:pPr>
      <w:r>
        <w:rPr>
          <w:b/>
          <w:bCs/>
          <w:i/>
          <w:iCs/>
          <w:sz w:val="20"/>
          <w:szCs w:val="20"/>
        </w:rPr>
        <w:t xml:space="preserve">Note: </w:t>
      </w:r>
      <w:r>
        <w:rPr>
          <w:i/>
          <w:iCs/>
          <w:sz w:val="20"/>
          <w:szCs w:val="20"/>
        </w:rPr>
        <w:t xml:space="preserve">Low absolute counts mean this list is a weaker signal than the skills/platform rankings above — treat it as “these come up more than others,” not “you need one of these to get hired.” Most Data Analyst postings emphasize demonstrable skills over formal certification.</w:t>
      </w:r>
    </w:p>
    <w:p>
      <w:pPr>
        <w:pStyle w:val="Heading1"/>
        <w:spacing w:after="160" w:before="320"/>
      </w:pPr>
      <w:r>
        <w:t xml:space="preserve">7. Emerging Roles</w:t>
      </w:r>
    </w:p>
    <w:p>
      <w:pPr>
        <w:spacing w:after="160"/>
      </w:pPr>
      <w:r>
        <w:t xml:space="preserve">Rather than ranking raw posting growth — which is misleading here since the underlying salary survey itself grew roughly 500x in sample size between 2020 and 2025, inflating growth numbers for every role roughly equally — this instead identifies roles that are genuinely new to the dataset, tracked by the year each first appears.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200"/>
        <w:gridCol w:w="2200"/>
      </w:tblGrid>
      <w:tr>
        <w:tc>
          <w:tcPr>
            <w:tcW w:type="dxa" w:w="3200"/>
            <w:shd w:fill="1F4E78" w:color="auto" w:val="clear"/>
            <w:tcMar>
              <w:top w:type="dxa" w:w="80"/>
              <w:left w:type="dxa" w:w="120"/>
              <w:bottom w:type="dxa" w:w="80"/>
              <w:right w:type="dxa" w:w="120"/>
            </w:tcMar>
          </w:tcPr>
          <w:p>
            <w:r>
              <w:rPr>
                <w:b/>
                <w:bCs/>
                <w:color w:val="FFFFFF"/>
                <w:sz w:val="20"/>
                <w:szCs w:val="20"/>
              </w:rPr>
              <w:t xml:space="preserve">Role</w:t>
            </w:r>
          </w:p>
        </w:tc>
        <w:tc>
          <w:tcPr>
            <w:tcW w:type="dxa" w:w="2000"/>
            <w:shd w:fill="1F4E78" w:color="auto" w:val="clear"/>
            <w:tcMar>
              <w:top w:type="dxa" w:w="80"/>
              <w:left w:type="dxa" w:w="120"/>
              <w:bottom w:type="dxa" w:w="80"/>
              <w:right w:type="dxa" w:w="120"/>
            </w:tcMar>
          </w:tcPr>
          <w:p>
            <w:r>
              <w:rPr>
                <w:b/>
                <w:bCs/>
                <w:color w:val="FFFFFF"/>
                <w:sz w:val="20"/>
                <w:szCs w:val="20"/>
              </w:rPr>
              <w:t xml:space="preserve">First appeared</w:t>
            </w:r>
          </w:p>
        </w:tc>
        <w:tc>
          <w:tcPr>
            <w:tcW w:type="dxa" w:w="3200"/>
            <w:shd w:fill="1F4E78" w:color="auto" w:val="clear"/>
            <w:tcMar>
              <w:top w:type="dxa" w:w="80"/>
              <w:left w:type="dxa" w:w="120"/>
              <w:bottom w:type="dxa" w:w="80"/>
              <w:right w:type="dxa" w:w="120"/>
            </w:tcMar>
          </w:tcPr>
          <w:p>
            <w:r>
              <w:rPr>
                <w:b/>
                <w:bCs/>
                <w:color w:val="FFFFFF"/>
                <w:sz w:val="20"/>
                <w:szCs w:val="20"/>
              </w:rPr>
              <w:t xml:space="preserve">Total postings (2020–2025)</w:t>
            </w:r>
          </w:p>
        </w:tc>
        <w:tc>
          <w:tcPr>
            <w:tcW w:type="dxa" w:w="2200"/>
            <w:shd w:fill="1F4E78" w:color="auto" w:val="clear"/>
            <w:tcMar>
              <w:top w:type="dxa" w:w="80"/>
              <w:left w:type="dxa" w:w="120"/>
              <w:bottom w:type="dxa" w:w="80"/>
              <w:right w:type="dxa" w:w="120"/>
            </w:tcMar>
          </w:tcPr>
          <w:p>
            <w:r>
              <w:rPr>
                <w:b/>
                <w:bCs/>
                <w:color w:val="FFFFFF"/>
                <w:sz w:val="20"/>
                <w:szCs w:val="20"/>
              </w:rPr>
              <w:t xml:space="preserve">Avg salary</w:t>
            </w:r>
          </w:p>
        </w:tc>
      </w:tr>
      <w:tr>
        <w:tc>
          <w:tcPr>
            <w:tcW w:type="dxa" w:w="3200"/>
            <w:tcMar>
              <w:top w:type="dxa" w:w="80"/>
              <w:left w:type="dxa" w:w="120"/>
              <w:bottom w:type="dxa" w:w="80"/>
              <w:right w:type="dxa" w:w="120"/>
            </w:tcMar>
          </w:tcPr>
          <w:p>
            <w:r>
              <w:rPr>
                <w:b w:val="false"/>
                <w:bCs w:val="false"/>
                <w:color w:val="000000"/>
                <w:sz w:val="20"/>
                <w:szCs w:val="20"/>
              </w:rPr>
              <w:t xml:space="preserve">AI Product Lead</w:t>
            </w:r>
          </w:p>
        </w:tc>
        <w:tc>
          <w:tcPr>
            <w:tcW w:type="dxa" w:w="2000"/>
            <w:tcMar>
              <w:top w:type="dxa" w:w="80"/>
              <w:left w:type="dxa" w:w="120"/>
              <w:bottom w:type="dxa" w:w="80"/>
              <w:right w:type="dxa" w:w="120"/>
            </w:tcMar>
          </w:tcPr>
          <w:p>
            <w:r>
              <w:rPr>
                <w:b w:val="false"/>
                <w:bCs w:val="false"/>
                <w:color w:val="000000"/>
                <w:sz w:val="20"/>
                <w:szCs w:val="20"/>
              </w:rPr>
              <w:t xml:space="preserve">2025</w:t>
            </w:r>
          </w:p>
        </w:tc>
        <w:tc>
          <w:tcPr>
            <w:tcW w:type="dxa" w:w="3200"/>
            <w:tcMar>
              <w:top w:type="dxa" w:w="80"/>
              <w:left w:type="dxa" w:w="120"/>
              <w:bottom w:type="dxa" w:w="80"/>
              <w:right w:type="dxa" w:w="120"/>
            </w:tcMar>
          </w:tcPr>
          <w:p>
            <w:r>
              <w:rPr>
                <w:b w:val="false"/>
                <w:bCs w:val="false"/>
                <w:color w:val="000000"/>
                <w:sz w:val="20"/>
                <w:szCs w:val="20"/>
              </w:rPr>
              <w:t xml:space="preserve">10</w:t>
            </w:r>
          </w:p>
        </w:tc>
        <w:tc>
          <w:tcPr>
            <w:tcW w:type="dxa" w:w="2200"/>
            <w:tcMar>
              <w:top w:type="dxa" w:w="80"/>
              <w:left w:type="dxa" w:w="120"/>
              <w:bottom w:type="dxa" w:w="80"/>
              <w:right w:type="dxa" w:w="120"/>
            </w:tcMar>
          </w:tcPr>
          <w:p>
            <w:r>
              <w:rPr>
                <w:b w:val="false"/>
                <w:bCs w:val="false"/>
                <w:color w:val="000000"/>
                <w:sz w:val="20"/>
                <w:szCs w:val="20"/>
              </w:rPr>
              <w:t xml:space="preserve">$214,311</w:t>
            </w:r>
          </w:p>
        </w:tc>
      </w:tr>
      <w:tr>
        <w:tc>
          <w:tcPr>
            <w:tcW w:type="dxa" w:w="3200"/>
            <w:tcMar>
              <w:top w:type="dxa" w:w="80"/>
              <w:left w:type="dxa" w:w="120"/>
              <w:bottom w:type="dxa" w:w="80"/>
              <w:right w:type="dxa" w:w="120"/>
            </w:tcMar>
          </w:tcPr>
          <w:p>
            <w:r>
              <w:rPr>
                <w:b w:val="false"/>
                <w:bCs w:val="false"/>
                <w:color w:val="000000"/>
                <w:sz w:val="20"/>
                <w:szCs w:val="20"/>
              </w:rPr>
              <w:t xml:space="preserve">Prompt Engineer</w:t>
            </w:r>
          </w:p>
        </w:tc>
        <w:tc>
          <w:tcPr>
            <w:tcW w:type="dxa" w:w="2000"/>
            <w:tcMar>
              <w:top w:type="dxa" w:w="80"/>
              <w:left w:type="dxa" w:w="120"/>
              <w:bottom w:type="dxa" w:w="80"/>
              <w:right w:type="dxa" w:w="120"/>
            </w:tcMar>
          </w:tcPr>
          <w:p>
            <w:r>
              <w:rPr>
                <w:b w:val="false"/>
                <w:bCs w:val="false"/>
                <w:color w:val="000000"/>
                <w:sz w:val="20"/>
                <w:szCs w:val="20"/>
              </w:rPr>
              <w:t xml:space="preserve">2023</w:t>
            </w:r>
          </w:p>
        </w:tc>
        <w:tc>
          <w:tcPr>
            <w:tcW w:type="dxa" w:w="3200"/>
            <w:tcMar>
              <w:top w:type="dxa" w:w="80"/>
              <w:left w:type="dxa" w:w="120"/>
              <w:bottom w:type="dxa" w:w="80"/>
              <w:right w:type="dxa" w:w="120"/>
            </w:tcMar>
          </w:tcPr>
          <w:p>
            <w:r>
              <w:rPr>
                <w:b w:val="false"/>
                <w:bCs w:val="false"/>
                <w:color w:val="000000"/>
                <w:sz w:val="20"/>
                <w:szCs w:val="20"/>
              </w:rPr>
              <w:t xml:space="preserve">89</w:t>
            </w:r>
          </w:p>
        </w:tc>
        <w:tc>
          <w:tcPr>
            <w:tcW w:type="dxa" w:w="2200"/>
            <w:tcMar>
              <w:top w:type="dxa" w:w="80"/>
              <w:left w:type="dxa" w:w="120"/>
              <w:bottom w:type="dxa" w:w="80"/>
              <w:right w:type="dxa" w:w="120"/>
            </w:tcMar>
          </w:tcPr>
          <w:p>
            <w:r>
              <w:rPr>
                <w:b w:val="false"/>
                <w:bCs w:val="false"/>
                <w:color w:val="000000"/>
                <w:sz w:val="20"/>
                <w:szCs w:val="20"/>
              </w:rPr>
              <w:t xml:space="preserve">$154,316</w:t>
            </w:r>
          </w:p>
        </w:tc>
      </w:tr>
      <w:tr>
        <w:tc>
          <w:tcPr>
            <w:tcW w:type="dxa" w:w="3200"/>
            <w:tcMar>
              <w:top w:type="dxa" w:w="80"/>
              <w:left w:type="dxa" w:w="120"/>
              <w:bottom w:type="dxa" w:w="80"/>
              <w:right w:type="dxa" w:w="120"/>
            </w:tcMar>
          </w:tcPr>
          <w:p>
            <w:r>
              <w:rPr>
                <w:b w:val="false"/>
                <w:bCs w:val="false"/>
                <w:color w:val="000000"/>
                <w:sz w:val="20"/>
                <w:szCs w:val="20"/>
              </w:rPr>
              <w:t xml:space="preserve">AI Engineer</w:t>
            </w:r>
          </w:p>
        </w:tc>
        <w:tc>
          <w:tcPr>
            <w:tcW w:type="dxa" w:w="2000"/>
            <w:tcMar>
              <w:top w:type="dxa" w:w="80"/>
              <w:left w:type="dxa" w:w="120"/>
              <w:bottom w:type="dxa" w:w="80"/>
              <w:right w:type="dxa" w:w="120"/>
            </w:tcMar>
          </w:tcPr>
          <w:p>
            <w:r>
              <w:rPr>
                <w:b w:val="false"/>
                <w:bCs w:val="false"/>
                <w:color w:val="000000"/>
                <w:sz w:val="20"/>
                <w:szCs w:val="20"/>
              </w:rPr>
              <w:t xml:space="preserve">2022</w:t>
            </w:r>
          </w:p>
        </w:tc>
        <w:tc>
          <w:tcPr>
            <w:tcW w:type="dxa" w:w="3200"/>
            <w:tcMar>
              <w:top w:type="dxa" w:w="80"/>
              <w:left w:type="dxa" w:w="120"/>
              <w:bottom w:type="dxa" w:w="80"/>
              <w:right w:type="dxa" w:w="120"/>
            </w:tcMar>
          </w:tcPr>
          <w:p>
            <w:r>
              <w:rPr>
                <w:b w:val="false"/>
                <w:bCs w:val="false"/>
                <w:color w:val="000000"/>
                <w:sz w:val="20"/>
                <w:szCs w:val="20"/>
              </w:rPr>
              <w:t xml:space="preserve">1,163</w:t>
            </w:r>
          </w:p>
        </w:tc>
        <w:tc>
          <w:tcPr>
            <w:tcW w:type="dxa" w:w="2200"/>
            <w:tcMar>
              <w:top w:type="dxa" w:w="80"/>
              <w:left w:type="dxa" w:w="120"/>
              <w:bottom w:type="dxa" w:w="80"/>
              <w:right w:type="dxa" w:w="120"/>
            </w:tcMar>
          </w:tcPr>
          <w:p>
            <w:r>
              <w:rPr>
                <w:b w:val="false"/>
                <w:bCs w:val="false"/>
                <w:color w:val="000000"/>
                <w:sz w:val="20"/>
                <w:szCs w:val="20"/>
              </w:rPr>
              <w:t xml:space="preserve">$164,828</w:t>
            </w:r>
          </w:p>
        </w:tc>
      </w:tr>
      <w:tr>
        <w:tc>
          <w:tcPr>
            <w:tcW w:type="dxa" w:w="3200"/>
            <w:tcMar>
              <w:top w:type="dxa" w:w="80"/>
              <w:left w:type="dxa" w:w="120"/>
              <w:bottom w:type="dxa" w:w="80"/>
              <w:right w:type="dxa" w:w="120"/>
            </w:tcMar>
          </w:tcPr>
          <w:p>
            <w:r>
              <w:rPr>
                <w:b w:val="false"/>
                <w:bCs w:val="false"/>
                <w:color w:val="000000"/>
                <w:sz w:val="20"/>
                <w:szCs w:val="20"/>
              </w:rPr>
              <w:t xml:space="preserve">AI Architect</w:t>
            </w:r>
          </w:p>
        </w:tc>
        <w:tc>
          <w:tcPr>
            <w:tcW w:type="dxa" w:w="2000"/>
            <w:tcMar>
              <w:top w:type="dxa" w:w="80"/>
              <w:left w:type="dxa" w:w="120"/>
              <w:bottom w:type="dxa" w:w="80"/>
              <w:right w:type="dxa" w:w="120"/>
            </w:tcMar>
          </w:tcPr>
          <w:p>
            <w:r>
              <w:rPr>
                <w:b w:val="false"/>
                <w:bCs w:val="false"/>
                <w:color w:val="000000"/>
                <w:sz w:val="20"/>
                <w:szCs w:val="20"/>
              </w:rPr>
              <w:t xml:space="preserve">2022</w:t>
            </w:r>
          </w:p>
        </w:tc>
        <w:tc>
          <w:tcPr>
            <w:tcW w:type="dxa" w:w="3200"/>
            <w:tcMar>
              <w:top w:type="dxa" w:w="80"/>
              <w:left w:type="dxa" w:w="120"/>
              <w:bottom w:type="dxa" w:w="80"/>
              <w:right w:type="dxa" w:w="120"/>
            </w:tcMar>
          </w:tcPr>
          <w:p>
            <w:r>
              <w:rPr>
                <w:b w:val="false"/>
                <w:bCs w:val="false"/>
                <w:color w:val="000000"/>
                <w:sz w:val="20"/>
                <w:szCs w:val="20"/>
              </w:rPr>
              <w:t xml:space="preserve">215</w:t>
            </w:r>
          </w:p>
        </w:tc>
        <w:tc>
          <w:tcPr>
            <w:tcW w:type="dxa" w:w="2200"/>
            <w:tcMar>
              <w:top w:type="dxa" w:w="80"/>
              <w:left w:type="dxa" w:w="120"/>
              <w:bottom w:type="dxa" w:w="80"/>
              <w:right w:type="dxa" w:w="120"/>
            </w:tcMar>
          </w:tcPr>
          <w:p>
            <w:r>
              <w:rPr>
                <w:b w:val="false"/>
                <w:bCs w:val="false"/>
                <w:color w:val="000000"/>
                <w:sz w:val="20"/>
                <w:szCs w:val="20"/>
              </w:rPr>
              <w:t xml:space="preserve">$211,796</w:t>
            </w:r>
          </w:p>
        </w:tc>
      </w:tr>
    </w:tbl>
    <w:p>
      <w:pPr>
        <w:spacing w:after="240" w:before="80"/>
      </w:pPr>
      <w:r>
        <w:rPr>
          <w:b/>
          <w:bCs/>
          <w:i/>
          <w:iCs/>
          <w:sz w:val="20"/>
          <w:szCs w:val="20"/>
        </w:rPr>
        <w:t xml:space="preserve">Note: </w:t>
      </w:r>
      <w:r>
        <w:rPr>
          <w:i/>
          <w:iCs/>
          <w:sz w:val="20"/>
          <w:szCs w:val="20"/>
        </w:rPr>
        <w:t xml:space="preserve">“Machine Learning Engineer” and “AI Scientist” already existed in 2020 and were excluded from this “genuinely new” list despite high volume — they're established roles, not emerging ones, by this data.</w:t>
      </w:r>
    </w:p>
    <w:p>
      <w:pPr>
        <w:pStyle w:val="Heading1"/>
        <w:spacing w:after="160" w:before="320"/>
      </w:pPr>
      <w:r>
        <w:t xml:space="preserve">Strategic Recommendations</w:t>
      </w:r>
    </w:p>
    <w:p>
      <w:pPr>
        <w:pStyle w:val="Heading2"/>
        <w:spacing w:after="120" w:before="240"/>
      </w:pPr>
      <w:r>
        <w:t xml:space="preserve">For job seekers</w:t>
      </w:r>
    </w:p>
    <w:p>
      <w:pPr>
        <w:pStyle w:val="ListParagraph"/>
        <w:numPr>
          <w:ilvl w:val="0"/>
          <w:numId w:val="2"/>
        </w:numPr>
        <w:spacing w:after="80"/>
      </w:pPr>
      <w:r>
        <w:t xml:space="preserve">Treat SQL, Python, and Excel as table stakes — they appear in the majority of postings regardless of seniority, and gaps here will filter out an application before skill differentiation even matters.</w:t>
      </w:r>
    </w:p>
    <w:p>
      <w:pPr>
        <w:pStyle w:val="ListParagraph"/>
        <w:numPr>
          <w:ilvl w:val="0"/>
          <w:numId w:val="2"/>
        </w:numPr>
        <w:spacing w:after="80"/>
      </w:pPr>
      <w:r>
        <w:t xml:space="preserve">Add AWS before Azure or GCP if choosing one cloud platform to learn — it has the largest footprint in current postings by a wide margin.</w:t>
      </w:r>
    </w:p>
    <w:p>
      <w:pPr>
        <w:pStyle w:val="ListParagraph"/>
        <w:numPr>
          <w:ilvl w:val="0"/>
          <w:numId w:val="2"/>
        </w:numPr>
        <w:spacing w:after="80"/>
      </w:pPr>
      <w:r>
        <w:t xml:space="preserve">Prioritize Tableau and Power BI together over either alone — employers rarely specify a single BI tool preference, and covering both widens the applicant pool you qualify for.</w:t>
      </w:r>
    </w:p>
    <w:p>
      <w:pPr>
        <w:pStyle w:val="ListParagraph"/>
        <w:numPr>
          <w:ilvl w:val="0"/>
          <w:numId w:val="2"/>
        </w:numPr>
        <w:spacing w:after="80"/>
      </w:pPr>
      <w:r>
        <w:t xml:space="preserve">If pursuing certifications, PMP or a cloud-vendor certification (AWS/Azure) show up more often than niche or industry-specific ones — but don't over-invest here relative to demonstrable project experience, given how much less frequently certifications appear versus raw skills in postings.</w:t>
      </w:r>
    </w:p>
    <w:p>
      <w:pPr>
        <w:pStyle w:val="Heading2"/>
        <w:spacing w:after="120" w:before="240"/>
      </w:pPr>
      <w:r>
        <w:t xml:space="preserve">For hiring teams and L&amp;D / workforce planning</w:t>
      </w:r>
    </w:p>
    <w:p>
      <w:pPr>
        <w:pStyle w:val="ListParagraph"/>
        <w:numPr>
          <w:ilvl w:val="0"/>
          <w:numId w:val="2"/>
        </w:numPr>
        <w:spacing w:after="80"/>
      </w:pPr>
      <w:r>
        <w:t xml:space="preserve">Seniority is the strongest salary driver in this dataset — more than location, remote status, or company size — so internal promotion-readiness pipelines likely have more salary-budget leverage than external hiring for base-level skill gaps.</w:t>
      </w:r>
    </w:p>
    <w:p>
      <w:pPr>
        <w:pStyle w:val="ListParagraph"/>
        <w:numPr>
          <w:ilvl w:val="0"/>
          <w:numId w:val="2"/>
        </w:numPr>
        <w:spacing w:after="80"/>
      </w:pPr>
      <w:r>
        <w:t xml:space="preserve">Medium-sized companies paid the highest average salary in the salaries dataset (ahead of both Large and Small) — worth validating against internal compensation benchmarking rather than assuming “bigger company, bigger budget.”</w:t>
      </w:r>
    </w:p>
    <w:p>
      <w:pPr>
        <w:pStyle w:val="ListParagraph"/>
        <w:numPr>
          <w:ilvl w:val="0"/>
          <w:numId w:val="2"/>
        </w:numPr>
        <w:spacing w:after="80"/>
      </w:pPr>
      <w:r>
        <w:t xml:space="preserve">AI-adjacent roles (AI Engineer, AI Architect, Prompt Engineer) are new enough that job descriptions and leveling for them are still immature industry-wide — expect more variance and negotiation room than for established titles.</w:t>
      </w:r>
    </w:p>
    <w:p>
      <w:pPr>
        <w:pStyle w:val="ListParagraph"/>
        <w:numPr>
          <w:ilvl w:val="0"/>
          <w:numId w:val="2"/>
        </w:numPr>
        <w:spacing w:after="80"/>
      </w:pPr>
      <w:r>
        <w:t xml:space="preserve">Finance and Education show the highest “growth” signal among industries in this data, but on modest sample sizes (39–57 postings each) — worth a follow-up pull with a larger, more current dataset before committing budget on that basis alone.</w:t>
      </w:r>
    </w:p>
    <w:p>
      <w:pPr>
        <w:pStyle w:val="Heading1"/>
        <w:spacing w:after="160" w:before="320"/>
      </w:pPr>
      <w:r>
        <w:t xml:space="preserve">Data &amp; Methodology Notes</w:t>
      </w:r>
    </w:p>
    <w:p>
      <w:pPr>
        <w:spacing w:after="160"/>
      </w:pPr>
      <w:r>
        <w:t xml:space="preserve">This report is built entirely on the cleaned tables and SQL views produced in the earlier stages of this project (data cleaning → SQL analytics → Python analytics → AI-assisted features). Three important limitations carry through to every recommendation above:</w:t>
      </w:r>
    </w:p>
    <w:p>
      <w:pPr>
        <w:pStyle w:val="ListParagraph"/>
        <w:numPr>
          <w:ilvl w:val="0"/>
          <w:numId w:val="2"/>
        </w:numPr>
        <w:spacing w:after="80"/>
      </w:pPr>
      <w:r>
        <w:t xml:space="preserve">The datasets come from different original surveys/scrapes with no shared job ID — skill-salary figures (Data Analyst dataset), the industry-growth figures (AI job market insights dataset), and the long-run salary trend (global salaries dataset) are three separate samples, not one unified population. Cross-dataset comparisons here are directional, not statistically merged.</w:t>
      </w:r>
    </w:p>
    <w:p>
      <w:pPr>
        <w:pStyle w:val="ListParagraph"/>
        <w:numPr>
          <w:ilvl w:val="0"/>
          <w:numId w:val="2"/>
        </w:numPr>
        <w:spacing w:after="80"/>
      </w:pPr>
      <w:r>
        <w:t xml:space="preserve">Several figures (industry growth, some location averages) rest on sample sizes under 60 — flagged inline wherever that applies.</w:t>
      </w:r>
    </w:p>
    <w:p>
      <w:pPr>
        <w:pStyle w:val="ListParagraph"/>
        <w:numPr>
          <w:ilvl w:val="0"/>
          <w:numId w:val="2"/>
        </w:numPr>
        <w:spacing w:after="80"/>
      </w:pPr>
      <w:r>
        <w:t xml:space="preserve">Skill and certification extraction used dictionary/keyword matching against real job description text, validated by spot-checking (e.g. correcting an “Oracle” overcount) — but any keyword approach can still miss synonyms or non-standard phrasing not in the source dictionaries.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2026-07-12T16:02:03.191Z</dcterms:created>
  <dcterms:modified xsi:type="dcterms:W3CDTF">2026-07-12T16:02:03.201Z</dcterms:modified>
</cp:coreProperties>
</file>

<file path=docProps/custom.xml><?xml version="1.0" encoding="utf-8"?>
<Properties xmlns="http://schemas.openxmlformats.org/officeDocument/2006/custom-properties" xmlns:vt="http://schemas.openxmlformats.org/officeDocument/2006/docPropsVTypes"/>
</file>