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2000"/>
        <w:jc w:val="center"/>
      </w:pPr>
      <w:r>
        <w:t xml:space="preserve">Patient Health Records</w:t>
      </w:r>
    </w:p>
    <w:p>
      <w:pPr>
        <w:spacing w:after="400"/>
        <w:jc w:val="center"/>
      </w:pPr>
      <w:r>
        <w:rPr>
          <w:b/>
          <w:bCs/>
          <w:color w:val="2E75B6"/>
          <w:sz w:val="32"/>
          <w:szCs w:val="32"/>
        </w:rPr>
        <w:t xml:space="preserve">Data Analysis Report</w:t>
      </w:r>
    </w:p>
    <w:p>
      <w:pPr>
        <w:jc w:val="center"/>
      </w:pPr>
      <w:r>
        <w:rPr>
          <w:color w:val="666666"/>
          <w:sz w:val="22"/>
          <w:szCs w:val="22"/>
        </w:rPr>
        <w:t xml:space="preserve">Dataset: healthcare_dataset.csv  |  500 patient records  |  10 fields</w:t>
      </w:r>
    </w:p>
    <w:p>
      <w:pPr>
        <w:pageBreakBefore/>
      </w:pPr>
    </w:p>
    <w:p>
      <w:pPr>
        <w:pStyle w:val="Heading1"/>
        <w:spacing w:after="200" w:before="400"/>
      </w:pPr>
      <w:r>
        <w:t xml:space="preserve">1. Data Cleaning</w:t>
      </w:r>
    </w:p>
    <w:p>
      <w:pPr>
        <w:spacing w:after="120"/>
      </w:pPr>
      <w:r>
        <w:t xml:space="preserve">The raw dataset contains 500 rows and 10 columns. All string fields (Gender, Diagnosis, Treatment_Plan) were checked and trimmed of leading/trailing whitespace.</w:t>
      </w:r>
    </w:p>
    <w:p>
      <w:pPr>
        <w:spacing w:after="120"/>
      </w:pPr>
      <w:r>
        <w:t xml:space="preserve">Duplicate rows found: 0. After removing duplicates, the dataset retains 500 rows.</w:t>
      </w:r>
    </w:p>
    <w:p>
      <w:pPr>
        <w:pStyle w:val="Heading2"/>
        <w:spacing w:after="150" w:before="300"/>
      </w:pPr>
      <w:r>
        <w:t xml:space="preserve">Column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4E79" w:val="clear"/>
          </w:tcPr>
          <w:p>
            <w:r>
              <w:rPr>
                <w:b/>
                <w:bCs/>
                <w:color w:val="FFFFFF"/>
              </w:rPr>
              <w:t xml:space="preserve">Column</w:t>
            </w:r>
          </w:p>
        </w:tc>
        <w:tc>
          <w:tcPr>
            <w:tcW w:type="dxa" w:w="4680"/>
            <w:shd w:fill="1F4E79" w:val="clear"/>
          </w:tcPr>
          <w:p>
            <w:r>
              <w:rPr>
                <w:b/>
                <w:bCs/>
                <w:color w:val="FFFFFF"/>
              </w:rPr>
              <w:t xml:space="preserve">Data Type</w:t>
            </w:r>
          </w:p>
        </w:tc>
      </w:tr>
      <w:tr>
        <w:tc>
          <w:tcPr>
            <w:tcW w:type="dxa" w:w="4680"/>
            <w:shd w:fill="FFFFFF" w:val="clear"/>
          </w:tcPr>
          <w:p>
            <w:r>
              <w:t xml:space="preserve">Patient_ID</w:t>
            </w:r>
          </w:p>
        </w:tc>
        <w:tc>
          <w:tcPr>
            <w:tcW w:type="dxa" w:w="4680"/>
            <w:shd w:fill="FFFFFF" w:val="clear"/>
          </w:tcPr>
          <w:p>
            <w:r>
              <w:t xml:space="preserve">int64</w:t>
            </w:r>
          </w:p>
        </w:tc>
      </w:tr>
      <w:tr>
        <w:tc>
          <w:tcPr>
            <w:tcW w:type="dxa" w:w="4680"/>
            <w:shd w:fill="DDEBF7" w:val="clear"/>
          </w:tcPr>
          <w:p>
            <w:r>
              <w:t xml:space="preserve">Age</w:t>
            </w:r>
          </w:p>
        </w:tc>
        <w:tc>
          <w:tcPr>
            <w:tcW w:type="dxa" w:w="4680"/>
            <w:shd w:fill="DDEBF7" w:val="clear"/>
          </w:tcPr>
          <w:p>
            <w:r>
              <w:t xml:space="preserve">int64</w:t>
            </w:r>
          </w:p>
        </w:tc>
      </w:tr>
      <w:tr>
        <w:tc>
          <w:tcPr>
            <w:tcW w:type="dxa" w:w="4680"/>
            <w:shd w:fill="FFFFFF" w:val="clear"/>
          </w:tcPr>
          <w:p>
            <w:r>
              <w:t xml:space="preserve">Gender</w:t>
            </w:r>
          </w:p>
        </w:tc>
        <w:tc>
          <w:tcPr>
            <w:tcW w:type="dxa" w:w="4680"/>
            <w:shd w:fill="FFFFFF" w:val="clear"/>
          </w:tcPr>
          <w:p>
            <w:r>
              <w:t xml:space="preserve">str</w:t>
            </w:r>
          </w:p>
        </w:tc>
      </w:tr>
      <w:tr>
        <w:tc>
          <w:tcPr>
            <w:tcW w:type="dxa" w:w="4680"/>
            <w:shd w:fill="DDEBF7" w:val="clear"/>
          </w:tcPr>
          <w:p>
            <w:r>
              <w:t xml:space="preserve">Blood_Pressure</w:t>
            </w:r>
          </w:p>
        </w:tc>
        <w:tc>
          <w:tcPr>
            <w:tcW w:type="dxa" w:w="4680"/>
            <w:shd w:fill="DDEBF7" w:val="clear"/>
          </w:tcPr>
          <w:p>
            <w:r>
              <w:t xml:space="preserve">int64</w:t>
            </w:r>
          </w:p>
        </w:tc>
      </w:tr>
      <w:tr>
        <w:tc>
          <w:tcPr>
            <w:tcW w:type="dxa" w:w="4680"/>
            <w:shd w:fill="FFFFFF" w:val="clear"/>
          </w:tcPr>
          <w:p>
            <w:r>
              <w:t xml:space="preserve">Heart_Rate</w:t>
            </w:r>
          </w:p>
        </w:tc>
        <w:tc>
          <w:tcPr>
            <w:tcW w:type="dxa" w:w="4680"/>
            <w:shd w:fill="FFFFFF" w:val="clear"/>
          </w:tcPr>
          <w:p>
            <w:r>
              <w:t xml:space="preserve">int64</w:t>
            </w:r>
          </w:p>
        </w:tc>
      </w:tr>
      <w:tr>
        <w:tc>
          <w:tcPr>
            <w:tcW w:type="dxa" w:w="4680"/>
            <w:shd w:fill="DDEBF7" w:val="clear"/>
          </w:tcPr>
          <w:p>
            <w:r>
              <w:t xml:space="preserve">Cholesterol_Level</w:t>
            </w:r>
          </w:p>
        </w:tc>
        <w:tc>
          <w:tcPr>
            <w:tcW w:type="dxa" w:w="4680"/>
            <w:shd w:fill="DDEBF7" w:val="clear"/>
          </w:tcPr>
          <w:p>
            <w:r>
              <w:t xml:space="preserve">int64</w:t>
            </w:r>
          </w:p>
        </w:tc>
      </w:tr>
      <w:tr>
        <w:tc>
          <w:tcPr>
            <w:tcW w:type="dxa" w:w="4680"/>
            <w:shd w:fill="FFFFFF" w:val="clear"/>
          </w:tcPr>
          <w:p>
            <w:r>
              <w:t xml:space="preserve">BMI</w:t>
            </w:r>
          </w:p>
        </w:tc>
        <w:tc>
          <w:tcPr>
            <w:tcW w:type="dxa" w:w="4680"/>
            <w:shd w:fill="FFFFFF" w:val="clear"/>
          </w:tcPr>
          <w:p>
            <w:r>
              <w:t xml:space="preserve">float64</w:t>
            </w:r>
          </w:p>
        </w:tc>
      </w:tr>
      <w:tr>
        <w:tc>
          <w:tcPr>
            <w:tcW w:type="dxa" w:w="4680"/>
            <w:shd w:fill="DDEBF7" w:val="clear"/>
          </w:tcPr>
          <w:p>
            <w:r>
              <w:t xml:space="preserve">Diagnosis</w:t>
            </w:r>
          </w:p>
        </w:tc>
        <w:tc>
          <w:tcPr>
            <w:tcW w:type="dxa" w:w="4680"/>
            <w:shd w:fill="DDEBF7" w:val="clear"/>
          </w:tcPr>
          <w:p>
            <w:r>
              <w:t xml:space="preserve">str</w:t>
            </w:r>
          </w:p>
        </w:tc>
      </w:tr>
      <w:tr>
        <w:tc>
          <w:tcPr>
            <w:tcW w:type="dxa" w:w="4680"/>
            <w:shd w:fill="FFFFFF" w:val="clear"/>
          </w:tcPr>
          <w:p>
            <w:r>
              <w:t xml:space="preserve">Treatment_Plan</w:t>
            </w:r>
          </w:p>
        </w:tc>
        <w:tc>
          <w:tcPr>
            <w:tcW w:type="dxa" w:w="4680"/>
            <w:shd w:fill="FFFFFF" w:val="clear"/>
          </w:tcPr>
          <w:p>
            <w:r>
              <w:t xml:space="preserve">str</w:t>
            </w:r>
          </w:p>
        </w:tc>
      </w:tr>
      <w:tr>
        <w:tc>
          <w:tcPr>
            <w:tcW w:type="dxa" w:w="4680"/>
            <w:shd w:fill="DDEBF7" w:val="clear"/>
          </w:tcPr>
          <w:p>
            <w:r>
              <w:t xml:space="preserve">Follow_Up_Date</w:t>
            </w:r>
          </w:p>
        </w:tc>
        <w:tc>
          <w:tcPr>
            <w:tcW w:type="dxa" w:w="4680"/>
            <w:shd w:fill="DDEBF7" w:val="clear"/>
          </w:tcPr>
          <w:p>
            <w:r>
              <w:t xml:space="preserve">str</w:t>
            </w:r>
          </w:p>
        </w:tc>
      </w:tr>
    </w:tbl>
    <w:p>
      <w:pPr>
        <w:pStyle w:val="Heading1"/>
        <w:spacing w:after="200" w:before="400"/>
      </w:pPr>
      <w:r>
        <w:t xml:space="preserve">2. Missing Value Handling</w:t>
      </w:r>
    </w:p>
    <w:p>
      <w:pPr>
        <w:spacing w:after="120"/>
      </w:pPr>
      <w:r>
        <w:t xml:space="preserve">The following columns contained missing values before cleaning: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4E79" w:val="clear"/>
          </w:tcPr>
          <w:p>
            <w:r>
              <w:rPr>
                <w:b/>
                <w:bCs/>
                <w:color w:val="FFFFFF"/>
              </w:rPr>
              <w:t xml:space="preserve">Column</w:t>
            </w:r>
          </w:p>
        </w:tc>
        <w:tc>
          <w:tcPr>
            <w:tcW w:type="dxa" w:w="3120"/>
            <w:shd w:fill="1F4E79" w:val="clear"/>
          </w:tcPr>
          <w:p>
            <w:r>
              <w:rPr>
                <w:b/>
                <w:bCs/>
                <w:color w:val="FFFFFF"/>
              </w:rPr>
              <w:t xml:space="preserve">Missing Count</w:t>
            </w:r>
          </w:p>
        </w:tc>
        <w:tc>
          <w:tcPr>
            <w:tcW w:type="dxa" w:w="3120"/>
            <w:shd w:fill="1F4E79" w:val="clear"/>
          </w:tcPr>
          <w:p>
            <w:r>
              <w:rPr>
                <w:b/>
                <w:bCs/>
                <w:color w:val="FFFFFF"/>
              </w:rPr>
              <w:t xml:space="preserve">Missing %</w:t>
            </w:r>
          </w:p>
        </w:tc>
      </w:tr>
      <w:tr>
        <w:tc>
          <w:tcPr>
            <w:tcW w:type="dxa" w:w="3120"/>
            <w:shd w:fill="FFFFFF" w:val="clear"/>
          </w:tcPr>
          <w:p>
            <w:r>
              <w:t xml:space="preserve">Treatment_Plan</w:t>
            </w:r>
          </w:p>
        </w:tc>
        <w:tc>
          <w:tcPr>
            <w:tcW w:type="dxa" w:w="3120"/>
            <w:shd w:fill="FFFFFF" w:val="clear"/>
          </w:tcPr>
          <w:p>
            <w:r>
              <w:t xml:space="preserve">95</w:t>
            </w:r>
          </w:p>
        </w:tc>
        <w:tc>
          <w:tcPr>
            <w:tcW w:type="dxa" w:w="3120"/>
            <w:shd w:fill="FFFFFF" w:val="clear"/>
          </w:tcPr>
          <w:p>
            <w:r>
              <w:t xml:space="preserve">19%</w:t>
            </w:r>
          </w:p>
        </w:tc>
      </w:tr>
    </w:tbl>
    <w:p>
      <w:pPr>
        <w:spacing w:after="120"/>
      </w:pPr>
      <w:r>
        <w:rPr>
          <w:i/>
          <w:iCs/>
        </w:rPr>
        <w:t xml:space="preserve">Handling strategy: numeric columns were imputed with the column median (robust to skew/outliers); categorical columns were imputed with the column mode (most frequent category). This preserves the overall distribution shape without discarding records.</w:t>
      </w:r>
    </w:p>
    <w:p>
      <w:pPr>
        <w:spacing w:after="120"/>
      </w:pPr>
      <w:r>
        <w:t xml:space="preserve">Missing values remaining after treatment: 0.</w:t>
      </w:r>
    </w:p>
    <w:p>
      <w:pPr>
        <w:pStyle w:val="Heading1"/>
        <w:spacing w:after="200" w:before="400"/>
      </w:pPr>
      <w:r>
        <w:t xml:space="preserve">3. Outlier Detection (IQR Method)</w:t>
      </w:r>
    </w:p>
    <w:p>
      <w:pPr>
        <w:spacing w:after="120"/>
      </w:pPr>
      <w:r>
        <w:t xml:space="preserve">Outliers were identified using the Interquartile Range (IQR) method: values falling below Q1 - 1.5*IQR or above Q3 + 1.5*IQR are flagged as outliers. This was applied to all key numeric health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shd w:fill="1F4E79" w:val="clear"/>
          </w:tcPr>
          <w:p>
            <w:r>
              <w:rPr>
                <w:b/>
                <w:bCs/>
                <w:color w:val="FFFFFF"/>
              </w:rPr>
              <w:t xml:space="preserve">Metric</w:t>
            </w:r>
          </w:p>
        </w:tc>
        <w:tc>
          <w:tcPr>
            <w:tcW w:type="dxa" w:w="1337"/>
            <w:shd w:fill="1F4E79" w:val="clear"/>
          </w:tcPr>
          <w:p>
            <w:r>
              <w:rPr>
                <w:b/>
                <w:bCs/>
                <w:color w:val="FFFFFF"/>
              </w:rPr>
              <w:t xml:space="preserve">Q1</w:t>
            </w:r>
          </w:p>
        </w:tc>
        <w:tc>
          <w:tcPr>
            <w:tcW w:type="dxa" w:w="1337"/>
            <w:shd w:fill="1F4E79" w:val="clear"/>
          </w:tcPr>
          <w:p>
            <w:r>
              <w:rPr>
                <w:b/>
                <w:bCs/>
                <w:color w:val="FFFFFF"/>
              </w:rPr>
              <w:t xml:space="preserve">Q3</w:t>
            </w:r>
          </w:p>
        </w:tc>
        <w:tc>
          <w:tcPr>
            <w:tcW w:type="dxa" w:w="1337"/>
            <w:shd w:fill="1F4E79" w:val="clear"/>
          </w:tcPr>
          <w:p>
            <w:r>
              <w:rPr>
                <w:b/>
                <w:bCs/>
                <w:color w:val="FFFFFF"/>
              </w:rPr>
              <w:t xml:space="preserve">IQR</w:t>
            </w:r>
          </w:p>
        </w:tc>
        <w:tc>
          <w:tcPr>
            <w:tcW w:type="dxa" w:w="1337"/>
            <w:shd w:fill="1F4E79" w:val="clear"/>
          </w:tcPr>
          <w:p>
            <w:r>
              <w:rPr>
                <w:b/>
                <w:bCs/>
                <w:color w:val="FFFFFF"/>
              </w:rPr>
              <w:t xml:space="preserve">Lower Bound</w:t>
            </w:r>
          </w:p>
        </w:tc>
        <w:tc>
          <w:tcPr>
            <w:tcW w:type="dxa" w:w="1337"/>
            <w:shd w:fill="1F4E79" w:val="clear"/>
          </w:tcPr>
          <w:p>
            <w:r>
              <w:rPr>
                <w:b/>
                <w:bCs/>
                <w:color w:val="FFFFFF"/>
              </w:rPr>
              <w:t xml:space="preserve">Upper Bound</w:t>
            </w:r>
          </w:p>
        </w:tc>
        <w:tc>
          <w:tcPr>
            <w:tcW w:type="dxa" w:w="1337"/>
            <w:shd w:fill="1F4E79" w:val="clear"/>
          </w:tcPr>
          <w:p>
            <w:r>
              <w:rPr>
                <w:b/>
                <w:bCs/>
                <w:color w:val="FFFFFF"/>
              </w:rPr>
              <w:t xml:space="preserve">Outliers</w:t>
            </w:r>
          </w:p>
        </w:tc>
      </w:tr>
      <w:tr>
        <w:tc>
          <w:tcPr>
            <w:tcW w:type="dxa" w:w="1337"/>
            <w:shd w:fill="FFFFFF" w:val="clear"/>
          </w:tcPr>
          <w:p>
            <w:r>
              <w:t xml:space="preserve">Age</w:t>
            </w:r>
          </w:p>
        </w:tc>
        <w:tc>
          <w:tcPr>
            <w:tcW w:type="dxa" w:w="1337"/>
            <w:shd w:fill="FFFFFF" w:val="clear"/>
          </w:tcPr>
          <w:p>
            <w:r>
              <w:t xml:space="preserve">23</w:t>
            </w:r>
          </w:p>
        </w:tc>
        <w:tc>
          <w:tcPr>
            <w:tcW w:type="dxa" w:w="1337"/>
            <w:shd w:fill="FFFFFF" w:val="clear"/>
          </w:tcPr>
          <w:p>
            <w:r>
              <w:t xml:space="preserve">72.25</w:t>
            </w:r>
          </w:p>
        </w:tc>
        <w:tc>
          <w:tcPr>
            <w:tcW w:type="dxa" w:w="1337"/>
            <w:shd w:fill="FFFFFF" w:val="clear"/>
          </w:tcPr>
          <w:p>
            <w:r>
              <w:t xml:space="preserve">49.25</w:t>
            </w:r>
          </w:p>
        </w:tc>
        <w:tc>
          <w:tcPr>
            <w:tcW w:type="dxa" w:w="1337"/>
            <w:shd w:fill="FFFFFF" w:val="clear"/>
          </w:tcPr>
          <w:p>
            <w:r>
              <w:t xml:space="preserve">-50.88</w:t>
            </w:r>
          </w:p>
        </w:tc>
        <w:tc>
          <w:tcPr>
            <w:tcW w:type="dxa" w:w="1337"/>
            <w:shd w:fill="FFFFFF" w:val="clear"/>
          </w:tcPr>
          <w:p>
            <w:r>
              <w:t xml:space="preserve">146.12</w:t>
            </w:r>
          </w:p>
        </w:tc>
        <w:tc>
          <w:tcPr>
            <w:tcW w:type="dxa" w:w="1337"/>
            <w:shd w:fill="FFFFFF" w:val="clear"/>
          </w:tcPr>
          <w:p>
            <w:r>
              <w:t xml:space="preserve">0</w:t>
            </w:r>
          </w:p>
        </w:tc>
      </w:tr>
      <w:tr>
        <w:tc>
          <w:tcPr>
            <w:tcW w:type="dxa" w:w="1337"/>
            <w:shd w:fill="DDEBF7" w:val="clear"/>
          </w:tcPr>
          <w:p>
            <w:r>
              <w:t xml:space="preserve">Blood_Pressure</w:t>
            </w:r>
          </w:p>
        </w:tc>
        <w:tc>
          <w:tcPr>
            <w:tcW w:type="dxa" w:w="1337"/>
            <w:shd w:fill="DDEBF7" w:val="clear"/>
          </w:tcPr>
          <w:p>
            <w:r>
              <w:t xml:space="preserve">112</w:t>
            </w:r>
          </w:p>
        </w:tc>
        <w:tc>
          <w:tcPr>
            <w:tcW w:type="dxa" w:w="1337"/>
            <w:shd w:fill="DDEBF7" w:val="clear"/>
          </w:tcPr>
          <w:p>
            <w:r>
              <w:t xml:space="preserve">154</w:t>
            </w:r>
          </w:p>
        </w:tc>
        <w:tc>
          <w:tcPr>
            <w:tcW w:type="dxa" w:w="1337"/>
            <w:shd w:fill="DDEBF7" w:val="clear"/>
          </w:tcPr>
          <w:p>
            <w:r>
              <w:t xml:space="preserve">42</w:t>
            </w:r>
          </w:p>
        </w:tc>
        <w:tc>
          <w:tcPr>
            <w:tcW w:type="dxa" w:w="1337"/>
            <w:shd w:fill="DDEBF7" w:val="clear"/>
          </w:tcPr>
          <w:p>
            <w:r>
              <w:t xml:space="preserve">49</w:t>
            </w:r>
          </w:p>
        </w:tc>
        <w:tc>
          <w:tcPr>
            <w:tcW w:type="dxa" w:w="1337"/>
            <w:shd w:fill="DDEBF7" w:val="clear"/>
          </w:tcPr>
          <w:p>
            <w:r>
              <w:t xml:space="preserve">217</w:t>
            </w:r>
          </w:p>
        </w:tc>
        <w:tc>
          <w:tcPr>
            <w:tcW w:type="dxa" w:w="1337"/>
            <w:shd w:fill="DDEBF7" w:val="clear"/>
          </w:tcPr>
          <w:p>
            <w:r>
              <w:t xml:space="preserve">0</w:t>
            </w:r>
          </w:p>
        </w:tc>
      </w:tr>
      <w:tr>
        <w:tc>
          <w:tcPr>
            <w:tcW w:type="dxa" w:w="1337"/>
            <w:shd w:fill="FFFFFF" w:val="clear"/>
          </w:tcPr>
          <w:p>
            <w:r>
              <w:t xml:space="preserve">Heart_Rate</w:t>
            </w:r>
          </w:p>
        </w:tc>
        <w:tc>
          <w:tcPr>
            <w:tcW w:type="dxa" w:w="1337"/>
            <w:shd w:fill="FFFFFF" w:val="clear"/>
          </w:tcPr>
          <w:p>
            <w:r>
              <w:t xml:space="preserve">70.75</w:t>
            </w:r>
          </w:p>
        </w:tc>
        <w:tc>
          <w:tcPr>
            <w:tcW w:type="dxa" w:w="1337"/>
            <w:shd w:fill="FFFFFF" w:val="clear"/>
          </w:tcPr>
          <w:p>
            <w:r>
              <w:t xml:space="preserve">90</w:t>
            </w:r>
          </w:p>
        </w:tc>
        <w:tc>
          <w:tcPr>
            <w:tcW w:type="dxa" w:w="1337"/>
            <w:shd w:fill="FFFFFF" w:val="clear"/>
          </w:tcPr>
          <w:p>
            <w:r>
              <w:t xml:space="preserve">19.25</w:t>
            </w:r>
          </w:p>
        </w:tc>
        <w:tc>
          <w:tcPr>
            <w:tcW w:type="dxa" w:w="1337"/>
            <w:shd w:fill="FFFFFF" w:val="clear"/>
          </w:tcPr>
          <w:p>
            <w:r>
              <w:t xml:space="preserve">41.88</w:t>
            </w:r>
          </w:p>
        </w:tc>
        <w:tc>
          <w:tcPr>
            <w:tcW w:type="dxa" w:w="1337"/>
            <w:shd w:fill="FFFFFF" w:val="clear"/>
          </w:tcPr>
          <w:p>
            <w:r>
              <w:t xml:space="preserve">118.88</w:t>
            </w:r>
          </w:p>
        </w:tc>
        <w:tc>
          <w:tcPr>
            <w:tcW w:type="dxa" w:w="1337"/>
            <w:shd w:fill="FFFFFF" w:val="clear"/>
          </w:tcPr>
          <w:p>
            <w:r>
              <w:t xml:space="preserve">0</w:t>
            </w:r>
          </w:p>
        </w:tc>
      </w:tr>
      <w:tr>
        <w:tc>
          <w:tcPr>
            <w:tcW w:type="dxa" w:w="1337"/>
            <w:shd w:fill="DDEBF7" w:val="clear"/>
          </w:tcPr>
          <w:p>
            <w:r>
              <w:t xml:space="preserve">Cholesterol_Level</w:t>
            </w:r>
          </w:p>
        </w:tc>
        <w:tc>
          <w:tcPr>
            <w:tcW w:type="dxa" w:w="1337"/>
            <w:shd w:fill="DDEBF7" w:val="clear"/>
          </w:tcPr>
          <w:p>
            <w:r>
              <w:t xml:space="preserve">186</w:t>
            </w:r>
          </w:p>
        </w:tc>
        <w:tc>
          <w:tcPr>
            <w:tcW w:type="dxa" w:w="1337"/>
            <w:shd w:fill="DDEBF7" w:val="clear"/>
          </w:tcPr>
          <w:p>
            <w:r>
              <w:t xml:space="preserve">267</w:t>
            </w:r>
          </w:p>
        </w:tc>
        <w:tc>
          <w:tcPr>
            <w:tcW w:type="dxa" w:w="1337"/>
            <w:shd w:fill="DDEBF7" w:val="clear"/>
          </w:tcPr>
          <w:p>
            <w:r>
              <w:t xml:space="preserve">81</w:t>
            </w:r>
          </w:p>
        </w:tc>
        <w:tc>
          <w:tcPr>
            <w:tcW w:type="dxa" w:w="1337"/>
            <w:shd w:fill="DDEBF7" w:val="clear"/>
          </w:tcPr>
          <w:p>
            <w:r>
              <w:t xml:space="preserve">64.5</w:t>
            </w:r>
          </w:p>
        </w:tc>
        <w:tc>
          <w:tcPr>
            <w:tcW w:type="dxa" w:w="1337"/>
            <w:shd w:fill="DDEBF7" w:val="clear"/>
          </w:tcPr>
          <w:p>
            <w:r>
              <w:t xml:space="preserve">388.5</w:t>
            </w:r>
          </w:p>
        </w:tc>
        <w:tc>
          <w:tcPr>
            <w:tcW w:type="dxa" w:w="1337"/>
            <w:shd w:fill="DDEBF7" w:val="clear"/>
          </w:tcPr>
          <w:p>
            <w:r>
              <w:t xml:space="preserve">0</w:t>
            </w:r>
          </w:p>
        </w:tc>
      </w:tr>
      <w:tr>
        <w:tc>
          <w:tcPr>
            <w:tcW w:type="dxa" w:w="1337"/>
            <w:shd w:fill="FFFFFF" w:val="clear"/>
          </w:tcPr>
          <w:p>
            <w:r>
              <w:t xml:space="preserve">BMI</w:t>
            </w:r>
          </w:p>
        </w:tc>
        <w:tc>
          <w:tcPr>
            <w:tcW w:type="dxa" w:w="1337"/>
            <w:shd w:fill="FFFFFF" w:val="clear"/>
          </w:tcPr>
          <w:p>
            <w:r>
              <w:t xml:space="preserve">24.1</w:t>
            </w:r>
          </w:p>
        </w:tc>
        <w:tc>
          <w:tcPr>
            <w:tcW w:type="dxa" w:w="1337"/>
            <w:shd w:fill="FFFFFF" w:val="clear"/>
          </w:tcPr>
          <w:p>
            <w:r>
              <w:t xml:space="preserve">34.72</w:t>
            </w:r>
          </w:p>
        </w:tc>
        <w:tc>
          <w:tcPr>
            <w:tcW w:type="dxa" w:w="1337"/>
            <w:shd w:fill="FFFFFF" w:val="clear"/>
          </w:tcPr>
          <w:p>
            <w:r>
              <w:t xml:space="preserve">10.62</w:t>
            </w:r>
          </w:p>
        </w:tc>
        <w:tc>
          <w:tcPr>
            <w:tcW w:type="dxa" w:w="1337"/>
            <w:shd w:fill="FFFFFF" w:val="clear"/>
          </w:tcPr>
          <w:p>
            <w:r>
              <w:t xml:space="preserve">8.16</w:t>
            </w:r>
          </w:p>
        </w:tc>
        <w:tc>
          <w:tcPr>
            <w:tcW w:type="dxa" w:w="1337"/>
            <w:shd w:fill="FFFFFF" w:val="clear"/>
          </w:tcPr>
          <w:p>
            <w:r>
              <w:t xml:space="preserve">50.66</w:t>
            </w:r>
          </w:p>
        </w:tc>
        <w:tc>
          <w:tcPr>
            <w:tcW w:type="dxa" w:w="1337"/>
            <w:shd w:fill="FFFFFF" w:val="clear"/>
          </w:tcPr>
          <w:p>
            <w:r>
              <w:t xml:space="preserve">0</w:t>
            </w:r>
          </w:p>
        </w:tc>
      </w:tr>
    </w:tbl>
    <w:p>
      <w:pPr>
        <w:spacing w:after="100" w:before="200"/>
        <w:jc w:val="center"/>
      </w:pPr>
      <w:r>
        <w:drawing>
          <wp:inline distT="0" distB="0" distL="0" distR="0">
            <wp:extent cx="5905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476375"/>
                    </a:xfrm>
                    <a:prstGeom prst="rect">
                      <a:avLst/>
                    </a:prstGeom>
                  </pic:spPr>
                </pic:pic>
              </a:graphicData>
            </a:graphic>
          </wp:inline>
        </w:drawing>
      </w:r>
    </w:p>
    <w:p>
      <w:pPr>
        <w:spacing w:after="120"/>
      </w:pPr>
      <w:r>
        <w:t xml:space="preserve">Total rows flagged as outliers on at least one metric: 0 (0.0% of records). The values across all metrics fall within a fairly uniform, non-skewed range, so the IQR method detects no extreme outliers in this dataset.</w:t>
      </w:r>
    </w:p>
    <w:p>
      <w:pPr>
        <w:pStyle w:val="Heading1"/>
        <w:spacing w:after="200" w:before="400"/>
      </w:pPr>
      <w:r>
        <w:t xml:space="preserve">4. Age Group Feature Engineering</w:t>
      </w:r>
    </w:p>
    <w:p>
      <w:pPr>
        <w:spacing w:after="120"/>
      </w:pPr>
      <w:r>
        <w:t xml:space="preserve">A new categorical feature, Age_Group, was engineered by binning the continuous Age variable into clinically meaningful life-stage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4E79" w:val="clear"/>
          </w:tcPr>
          <w:p>
            <w:r>
              <w:rPr>
                <w:b/>
                <w:bCs/>
                <w:color w:val="FFFFFF"/>
              </w:rPr>
              <w:t xml:space="preserve">Age Group</w:t>
            </w:r>
          </w:p>
        </w:tc>
        <w:tc>
          <w:tcPr>
            <w:tcW w:type="dxa" w:w="4680"/>
            <w:shd w:fill="1F4E79" w:val="clear"/>
          </w:tcPr>
          <w:p>
            <w:r>
              <w:rPr>
                <w:b/>
                <w:bCs/>
                <w:color w:val="FFFFFF"/>
              </w:rPr>
              <w:t xml:space="preserve">Patient Count</w:t>
            </w:r>
          </w:p>
        </w:tc>
      </w:tr>
      <w:tr>
        <w:tc>
          <w:tcPr>
            <w:tcW w:type="dxa" w:w="4680"/>
            <w:shd w:fill="FFFFFF" w:val="clear"/>
          </w:tcPr>
          <w:p>
            <w:r>
              <w:t xml:space="preserve">Child (0-12)</w:t>
            </w:r>
          </w:p>
        </w:tc>
        <w:tc>
          <w:tcPr>
            <w:tcW w:type="dxa" w:w="4680"/>
            <w:shd w:fill="FFFFFF" w:val="clear"/>
          </w:tcPr>
          <w:p>
            <w:r>
              <w:t xml:space="preserve">67</w:t>
            </w:r>
          </w:p>
        </w:tc>
      </w:tr>
      <w:tr>
        <w:tc>
          <w:tcPr>
            <w:tcW w:type="dxa" w:w="4680"/>
            <w:shd w:fill="DDEBF7" w:val="clear"/>
          </w:tcPr>
          <w:p>
            <w:r>
              <w:t xml:space="preserve">Teen (13-19)</w:t>
            </w:r>
          </w:p>
        </w:tc>
        <w:tc>
          <w:tcPr>
            <w:tcW w:type="dxa" w:w="4680"/>
            <w:shd w:fill="DDEBF7" w:val="clear"/>
          </w:tcPr>
          <w:p>
            <w:r>
              <w:t xml:space="preserve">39</w:t>
            </w:r>
          </w:p>
        </w:tc>
      </w:tr>
      <w:tr>
        <w:tc>
          <w:tcPr>
            <w:tcW w:type="dxa" w:w="4680"/>
            <w:shd w:fill="FFFFFF" w:val="clear"/>
          </w:tcPr>
          <w:p>
            <w:r>
              <w:t xml:space="preserve">Young Adult (20-35)</w:t>
            </w:r>
          </w:p>
        </w:tc>
        <w:tc>
          <w:tcPr>
            <w:tcW w:type="dxa" w:w="4680"/>
            <w:shd w:fill="FFFFFF" w:val="clear"/>
          </w:tcPr>
          <w:p>
            <w:r>
              <w:t xml:space="preserve">82</w:t>
            </w:r>
          </w:p>
        </w:tc>
      </w:tr>
      <w:tr>
        <w:tc>
          <w:tcPr>
            <w:tcW w:type="dxa" w:w="4680"/>
            <w:shd w:fill="DDEBF7" w:val="clear"/>
          </w:tcPr>
          <w:p>
            <w:r>
              <w:t xml:space="preserve">Adult (36-50)</w:t>
            </w:r>
          </w:p>
        </w:tc>
        <w:tc>
          <w:tcPr>
            <w:tcW w:type="dxa" w:w="4680"/>
            <w:shd w:fill="DDEBF7" w:val="clear"/>
          </w:tcPr>
          <w:p>
            <w:r>
              <w:t xml:space="preserve">65</w:t>
            </w:r>
          </w:p>
        </w:tc>
      </w:tr>
      <w:tr>
        <w:tc>
          <w:tcPr>
            <w:tcW w:type="dxa" w:w="4680"/>
            <w:shd w:fill="FFFFFF" w:val="clear"/>
          </w:tcPr>
          <w:p>
            <w:r>
              <w:t xml:space="preserve">Middle Age (51-65)</w:t>
            </w:r>
          </w:p>
        </w:tc>
        <w:tc>
          <w:tcPr>
            <w:tcW w:type="dxa" w:w="4680"/>
            <w:shd w:fill="FFFFFF" w:val="clear"/>
          </w:tcPr>
          <w:p>
            <w:r>
              <w:t xml:space="preserve">93</w:t>
            </w:r>
          </w:p>
        </w:tc>
      </w:tr>
      <w:tr>
        <w:tc>
          <w:tcPr>
            <w:tcW w:type="dxa" w:w="4680"/>
            <w:shd w:fill="DDEBF7" w:val="clear"/>
          </w:tcPr>
          <w:p>
            <w:r>
              <w:t xml:space="preserve">Senior (66+)</w:t>
            </w:r>
          </w:p>
        </w:tc>
        <w:tc>
          <w:tcPr>
            <w:tcW w:type="dxa" w:w="4680"/>
            <w:shd w:fill="DDEBF7" w:val="clear"/>
          </w:tcPr>
          <w:p>
            <w:r>
              <w:t xml:space="preserve">154</w:t>
            </w:r>
          </w:p>
        </w:tc>
      </w:tr>
    </w:tbl>
    <w:p>
      <w:pPr>
        <w:spacing w:after="20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857500"/>
                    </a:xfrm>
                    <a:prstGeom prst="rect">
                      <a:avLst/>
                    </a:prstGeom>
                  </pic:spPr>
                </pic:pic>
              </a:graphicData>
            </a:graphic>
          </wp:inline>
        </w:drawing>
      </w:r>
    </w:p>
    <w:p>
      <w:pPr>
        <w:pStyle w:val="Heading1"/>
        <w:spacing w:after="200" w:before="400"/>
      </w:pPr>
      <w:r>
        <w:t xml:space="preserve">5. BMI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4E79" w:val="clear"/>
          </w:tcPr>
          <w:p>
            <w:r>
              <w:rPr>
                <w:b/>
                <w:bCs/>
                <w:color w:val="FFFFFF"/>
              </w:rPr>
              <w:t xml:space="preserve">Statistic</w:t>
            </w:r>
          </w:p>
        </w:tc>
        <w:tc>
          <w:tcPr>
            <w:tcW w:type="dxa" w:w="4680"/>
            <w:shd w:fill="1F4E79" w:val="clear"/>
          </w:tcPr>
          <w:p>
            <w:r>
              <w:rPr>
                <w:b/>
                <w:bCs/>
                <w:color w:val="FFFFFF"/>
              </w:rPr>
              <w:t xml:space="preserve">Value</w:t>
            </w:r>
          </w:p>
        </w:tc>
      </w:tr>
      <w:tr>
        <w:tc>
          <w:tcPr>
            <w:tcW w:type="dxa" w:w="4680"/>
            <w:shd w:fill="FFFFFF" w:val="clear"/>
          </w:tcPr>
          <w:p>
            <w:r>
              <w:t xml:space="preserve">count</w:t>
            </w:r>
          </w:p>
        </w:tc>
        <w:tc>
          <w:tcPr>
            <w:tcW w:type="dxa" w:w="4680"/>
            <w:shd w:fill="FFFFFF" w:val="clear"/>
          </w:tcPr>
          <w:p>
            <w:r>
              <w:t xml:space="preserve">500</w:t>
            </w:r>
          </w:p>
        </w:tc>
      </w:tr>
      <w:tr>
        <w:tc>
          <w:tcPr>
            <w:tcW w:type="dxa" w:w="4680"/>
            <w:shd w:fill="DDEBF7" w:val="clear"/>
          </w:tcPr>
          <w:p>
            <w:r>
              <w:t xml:space="preserve">mean</w:t>
            </w:r>
          </w:p>
        </w:tc>
        <w:tc>
          <w:tcPr>
            <w:tcW w:type="dxa" w:w="4680"/>
            <w:shd w:fill="DDEBF7" w:val="clear"/>
          </w:tcPr>
          <w:p>
            <w:r>
              <w:t xml:space="preserve">29.43</w:t>
            </w:r>
          </w:p>
        </w:tc>
      </w:tr>
      <w:tr>
        <w:tc>
          <w:tcPr>
            <w:tcW w:type="dxa" w:w="4680"/>
            <w:shd w:fill="FFFFFF" w:val="clear"/>
          </w:tcPr>
          <w:p>
            <w:r>
              <w:t xml:space="preserve">std</w:t>
            </w:r>
          </w:p>
        </w:tc>
        <w:tc>
          <w:tcPr>
            <w:tcW w:type="dxa" w:w="4680"/>
            <w:shd w:fill="FFFFFF" w:val="clear"/>
          </w:tcPr>
          <w:p>
            <w:r>
              <w:t xml:space="preserve">6.13</w:t>
            </w:r>
          </w:p>
        </w:tc>
      </w:tr>
      <w:tr>
        <w:tc>
          <w:tcPr>
            <w:tcW w:type="dxa" w:w="4680"/>
            <w:shd w:fill="DDEBF7" w:val="clear"/>
          </w:tcPr>
          <w:p>
            <w:r>
              <w:t xml:space="preserve">min</w:t>
            </w:r>
          </w:p>
        </w:tc>
        <w:tc>
          <w:tcPr>
            <w:tcW w:type="dxa" w:w="4680"/>
            <w:shd w:fill="DDEBF7" w:val="clear"/>
          </w:tcPr>
          <w:p>
            <w:r>
              <w:t xml:space="preserve">18.6</w:t>
            </w:r>
          </w:p>
        </w:tc>
      </w:tr>
      <w:tr>
        <w:tc>
          <w:tcPr>
            <w:tcW w:type="dxa" w:w="4680"/>
            <w:shd w:fill="FFFFFF" w:val="clear"/>
          </w:tcPr>
          <w:p>
            <w:r>
              <w:t xml:space="preserve">25%</w:t>
            </w:r>
          </w:p>
        </w:tc>
        <w:tc>
          <w:tcPr>
            <w:tcW w:type="dxa" w:w="4680"/>
            <w:shd w:fill="FFFFFF" w:val="clear"/>
          </w:tcPr>
          <w:p>
            <w:r>
              <w:t xml:space="preserve">24.1</w:t>
            </w:r>
          </w:p>
        </w:tc>
      </w:tr>
      <w:tr>
        <w:tc>
          <w:tcPr>
            <w:tcW w:type="dxa" w:w="4680"/>
            <w:shd w:fill="DDEBF7" w:val="clear"/>
          </w:tcPr>
          <w:p>
            <w:r>
              <w:t xml:space="preserve">50%</w:t>
            </w:r>
          </w:p>
        </w:tc>
        <w:tc>
          <w:tcPr>
            <w:tcW w:type="dxa" w:w="4680"/>
            <w:shd w:fill="DDEBF7" w:val="clear"/>
          </w:tcPr>
          <w:p>
            <w:r>
              <w:t xml:space="preserve">29.6</w:t>
            </w:r>
          </w:p>
        </w:tc>
      </w:tr>
      <w:tr>
        <w:tc>
          <w:tcPr>
            <w:tcW w:type="dxa" w:w="4680"/>
            <w:shd w:fill="FFFFFF" w:val="clear"/>
          </w:tcPr>
          <w:p>
            <w:r>
              <w:t xml:space="preserve">75%</w:t>
            </w:r>
          </w:p>
        </w:tc>
        <w:tc>
          <w:tcPr>
            <w:tcW w:type="dxa" w:w="4680"/>
            <w:shd w:fill="FFFFFF" w:val="clear"/>
          </w:tcPr>
          <w:p>
            <w:r>
              <w:t xml:space="preserve">34.72</w:t>
            </w:r>
          </w:p>
        </w:tc>
      </w:tr>
      <w:tr>
        <w:tc>
          <w:tcPr>
            <w:tcW w:type="dxa" w:w="4680"/>
            <w:shd w:fill="DDEBF7" w:val="clear"/>
          </w:tcPr>
          <w:p>
            <w:r>
              <w:t xml:space="preserve">max</w:t>
            </w:r>
          </w:p>
        </w:tc>
        <w:tc>
          <w:tcPr>
            <w:tcW w:type="dxa" w:w="4680"/>
            <w:shd w:fill="DDEBF7" w:val="clear"/>
          </w:tcPr>
          <w:p>
            <w:r>
              <w:t xml:space="preserve">40</w:t>
            </w:r>
          </w:p>
        </w:tc>
      </w:tr>
    </w:tbl>
    <w:p>
      <w:pPr>
        <w:pStyle w:val="Heading2"/>
        <w:spacing w:after="150" w:before="300"/>
      </w:pPr>
      <w:r>
        <w:t xml:space="preserve">BMI Categories (WHO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4E79" w:val="clear"/>
          </w:tcPr>
          <w:p>
            <w:r>
              <w:rPr>
                <w:b/>
                <w:bCs/>
                <w:color w:val="FFFFFF"/>
              </w:rPr>
              <w:t xml:space="preserve">Category</w:t>
            </w:r>
          </w:p>
        </w:tc>
        <w:tc>
          <w:tcPr>
            <w:tcW w:type="dxa" w:w="4680"/>
            <w:shd w:fill="1F4E79" w:val="clear"/>
          </w:tcPr>
          <w:p>
            <w:r>
              <w:rPr>
                <w:b/>
                <w:bCs/>
                <w:color w:val="FFFFFF"/>
              </w:rPr>
              <w:t xml:space="preserve">Patient Count</w:t>
            </w:r>
          </w:p>
        </w:tc>
      </w:tr>
      <w:tr>
        <w:tc>
          <w:tcPr>
            <w:tcW w:type="dxa" w:w="4680"/>
            <w:shd w:fill="FFFFFF" w:val="clear"/>
          </w:tcPr>
          <w:p>
            <w:r>
              <w:t xml:space="preserve">Obese</w:t>
            </w:r>
          </w:p>
        </w:tc>
        <w:tc>
          <w:tcPr>
            <w:tcW w:type="dxa" w:w="4680"/>
            <w:shd w:fill="FFFFFF" w:val="clear"/>
          </w:tcPr>
          <w:p>
            <w:r>
              <w:t xml:space="preserve">242</w:t>
            </w:r>
          </w:p>
        </w:tc>
      </w:tr>
      <w:tr>
        <w:tc>
          <w:tcPr>
            <w:tcW w:type="dxa" w:w="4680"/>
            <w:shd w:fill="DDEBF7" w:val="clear"/>
          </w:tcPr>
          <w:p>
            <w:r>
              <w:t xml:space="preserve">Normal</w:t>
            </w:r>
          </w:p>
        </w:tc>
        <w:tc>
          <w:tcPr>
            <w:tcW w:type="dxa" w:w="4680"/>
            <w:shd w:fill="DDEBF7" w:val="clear"/>
          </w:tcPr>
          <w:p>
            <w:r>
              <w:t xml:space="preserve">147</w:t>
            </w:r>
          </w:p>
        </w:tc>
      </w:tr>
      <w:tr>
        <w:tc>
          <w:tcPr>
            <w:tcW w:type="dxa" w:w="4680"/>
            <w:shd w:fill="FFFFFF" w:val="clear"/>
          </w:tcPr>
          <w:p>
            <w:r>
              <w:t xml:space="preserve">Overweight</w:t>
            </w:r>
          </w:p>
        </w:tc>
        <w:tc>
          <w:tcPr>
            <w:tcW w:type="dxa" w:w="4680"/>
            <w:shd w:fill="FFFFFF" w:val="clear"/>
          </w:tcPr>
          <w:p>
            <w:r>
              <w:t xml:space="preserve">111</w:t>
            </w:r>
          </w:p>
        </w:tc>
      </w:tr>
    </w:tbl>
    <w:p>
      <w:pPr>
        <w:spacing w:after="100" w:before="200"/>
        <w:jc w:val="center"/>
      </w:pPr>
      <w:r>
        <w:drawing>
          <wp:inline distT="0" distB="0" distL="0" distR="0">
            <wp:extent cx="5905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457450"/>
                    </a:xfrm>
                    <a:prstGeom prst="rect">
                      <a:avLst/>
                    </a:prstGeom>
                  </pic:spPr>
                </pic:pic>
              </a:graphicData>
            </a:graphic>
          </wp:inline>
        </w:drawing>
      </w:r>
    </w:p>
    <w:p>
      <w:pPr>
        <w:spacing w:after="120"/>
      </w:pPr>
      <w:r>
        <w:t xml:space="preserve">The average patient BMI is 29.43, with a large share of patients (242) classified as Obese. This suggests weight management is a significant area of concern across the patient population.</w:t>
      </w:r>
    </w:p>
    <w:p>
      <w:pPr>
        <w:pStyle w:val="Heading1"/>
        <w:spacing w:after="200" w:before="400"/>
      </w:pPr>
      <w:r>
        <w:t xml:space="preserve">6. Cholesterol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4E79" w:val="clear"/>
          </w:tcPr>
          <w:p>
            <w:r>
              <w:rPr>
                <w:b/>
                <w:bCs/>
                <w:color w:val="FFFFFF"/>
              </w:rPr>
              <w:t xml:space="preserve">Statistic</w:t>
            </w:r>
          </w:p>
        </w:tc>
        <w:tc>
          <w:tcPr>
            <w:tcW w:type="dxa" w:w="4680"/>
            <w:shd w:fill="1F4E79" w:val="clear"/>
          </w:tcPr>
          <w:p>
            <w:r>
              <w:rPr>
                <w:b/>
                <w:bCs/>
                <w:color w:val="FFFFFF"/>
              </w:rPr>
              <w:t xml:space="preserve">Value</w:t>
            </w:r>
          </w:p>
        </w:tc>
      </w:tr>
      <w:tr>
        <w:tc>
          <w:tcPr>
            <w:tcW w:type="dxa" w:w="4680"/>
            <w:shd w:fill="FFFFFF" w:val="clear"/>
          </w:tcPr>
          <w:p>
            <w:r>
              <w:t xml:space="preserve">count</w:t>
            </w:r>
          </w:p>
        </w:tc>
        <w:tc>
          <w:tcPr>
            <w:tcW w:type="dxa" w:w="4680"/>
            <w:shd w:fill="FFFFFF" w:val="clear"/>
          </w:tcPr>
          <w:p>
            <w:r>
              <w:t xml:space="preserve">500</w:t>
            </w:r>
          </w:p>
        </w:tc>
      </w:tr>
      <w:tr>
        <w:tc>
          <w:tcPr>
            <w:tcW w:type="dxa" w:w="4680"/>
            <w:shd w:fill="DDEBF7" w:val="clear"/>
          </w:tcPr>
          <w:p>
            <w:r>
              <w:t xml:space="preserve">mean</w:t>
            </w:r>
          </w:p>
        </w:tc>
        <w:tc>
          <w:tcPr>
            <w:tcW w:type="dxa" w:w="4680"/>
            <w:shd w:fill="DDEBF7" w:val="clear"/>
          </w:tcPr>
          <w:p>
            <w:r>
              <w:t xml:space="preserve">225.81</w:t>
            </w:r>
          </w:p>
        </w:tc>
      </w:tr>
      <w:tr>
        <w:tc>
          <w:tcPr>
            <w:tcW w:type="dxa" w:w="4680"/>
            <w:shd w:fill="FFFFFF" w:val="clear"/>
          </w:tcPr>
          <w:p>
            <w:r>
              <w:t xml:space="preserve">std</w:t>
            </w:r>
          </w:p>
        </w:tc>
        <w:tc>
          <w:tcPr>
            <w:tcW w:type="dxa" w:w="4680"/>
            <w:shd w:fill="FFFFFF" w:val="clear"/>
          </w:tcPr>
          <w:p>
            <w:r>
              <w:t xml:space="preserve">44.96</w:t>
            </w:r>
          </w:p>
        </w:tc>
      </w:tr>
      <w:tr>
        <w:tc>
          <w:tcPr>
            <w:tcW w:type="dxa" w:w="4680"/>
            <w:shd w:fill="DDEBF7" w:val="clear"/>
          </w:tcPr>
          <w:p>
            <w:r>
              <w:t xml:space="preserve">min</w:t>
            </w:r>
          </w:p>
        </w:tc>
        <w:tc>
          <w:tcPr>
            <w:tcW w:type="dxa" w:w="4680"/>
            <w:shd w:fill="DDEBF7" w:val="clear"/>
          </w:tcPr>
          <w:p>
            <w:r>
              <w:t xml:space="preserve">150</w:t>
            </w:r>
          </w:p>
        </w:tc>
      </w:tr>
      <w:tr>
        <w:tc>
          <w:tcPr>
            <w:tcW w:type="dxa" w:w="4680"/>
            <w:shd w:fill="FFFFFF" w:val="clear"/>
          </w:tcPr>
          <w:p>
            <w:r>
              <w:t xml:space="preserve">25%</w:t>
            </w:r>
          </w:p>
        </w:tc>
        <w:tc>
          <w:tcPr>
            <w:tcW w:type="dxa" w:w="4680"/>
            <w:shd w:fill="FFFFFF" w:val="clear"/>
          </w:tcPr>
          <w:p>
            <w:r>
              <w:t xml:space="preserve">186</w:t>
            </w:r>
          </w:p>
        </w:tc>
      </w:tr>
      <w:tr>
        <w:tc>
          <w:tcPr>
            <w:tcW w:type="dxa" w:w="4680"/>
            <w:shd w:fill="DDEBF7" w:val="clear"/>
          </w:tcPr>
          <w:p>
            <w:r>
              <w:t xml:space="preserve">50%</w:t>
            </w:r>
          </w:p>
        </w:tc>
        <w:tc>
          <w:tcPr>
            <w:tcW w:type="dxa" w:w="4680"/>
            <w:shd w:fill="DDEBF7" w:val="clear"/>
          </w:tcPr>
          <w:p>
            <w:r>
              <w:t xml:space="preserve">226</w:t>
            </w:r>
          </w:p>
        </w:tc>
      </w:tr>
      <w:tr>
        <w:tc>
          <w:tcPr>
            <w:tcW w:type="dxa" w:w="4680"/>
            <w:shd w:fill="FFFFFF" w:val="clear"/>
          </w:tcPr>
          <w:p>
            <w:r>
              <w:t xml:space="preserve">75%</w:t>
            </w:r>
          </w:p>
        </w:tc>
        <w:tc>
          <w:tcPr>
            <w:tcW w:type="dxa" w:w="4680"/>
            <w:shd w:fill="FFFFFF" w:val="clear"/>
          </w:tcPr>
          <w:p>
            <w:r>
              <w:t xml:space="preserve">267</w:t>
            </w:r>
          </w:p>
        </w:tc>
      </w:tr>
      <w:tr>
        <w:tc>
          <w:tcPr>
            <w:tcW w:type="dxa" w:w="4680"/>
            <w:shd w:fill="DDEBF7" w:val="clear"/>
          </w:tcPr>
          <w:p>
            <w:r>
              <w:t xml:space="preserve">max</w:t>
            </w:r>
          </w:p>
        </w:tc>
        <w:tc>
          <w:tcPr>
            <w:tcW w:type="dxa" w:w="4680"/>
            <w:shd w:fill="DDEBF7" w:val="clear"/>
          </w:tcPr>
          <w:p>
            <w:r>
              <w:t xml:space="preserve">299</w:t>
            </w:r>
          </w:p>
        </w:tc>
      </w:tr>
    </w:tbl>
    <w:p>
      <w:pPr>
        <w:pStyle w:val="Heading2"/>
        <w:spacing w:after="150" w:before="300"/>
      </w:pPr>
      <w:r>
        <w:t xml:space="preserve">Cholesterol Risk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4E79" w:val="clear"/>
          </w:tcPr>
          <w:p>
            <w:r>
              <w:rPr>
                <w:b/>
                <w:bCs/>
                <w:color w:val="FFFFFF"/>
              </w:rPr>
              <w:t xml:space="preserve">Category</w:t>
            </w:r>
          </w:p>
        </w:tc>
        <w:tc>
          <w:tcPr>
            <w:tcW w:type="dxa" w:w="4680"/>
            <w:shd w:fill="1F4E79" w:val="clear"/>
          </w:tcPr>
          <w:p>
            <w:r>
              <w:rPr>
                <w:b/>
                <w:bCs/>
                <w:color w:val="FFFFFF"/>
              </w:rPr>
              <w:t xml:space="preserve">Patient Count</w:t>
            </w:r>
          </w:p>
        </w:tc>
      </w:tr>
      <w:tr>
        <w:tc>
          <w:tcPr>
            <w:tcW w:type="dxa" w:w="4680"/>
            <w:shd w:fill="FFFFFF" w:val="clear"/>
          </w:tcPr>
          <w:p>
            <w:r>
              <w:t xml:space="preserve">High</w:t>
            </w:r>
          </w:p>
        </w:tc>
        <w:tc>
          <w:tcPr>
            <w:tcW w:type="dxa" w:w="4680"/>
            <w:shd w:fill="FFFFFF" w:val="clear"/>
          </w:tcPr>
          <w:p>
            <w:r>
              <w:t xml:space="preserve">202</w:t>
            </w:r>
          </w:p>
        </w:tc>
      </w:tr>
      <w:tr>
        <w:tc>
          <w:tcPr>
            <w:tcW w:type="dxa" w:w="4680"/>
            <w:shd w:fill="DDEBF7" w:val="clear"/>
          </w:tcPr>
          <w:p>
            <w:r>
              <w:t xml:space="preserve">Desirable</w:t>
            </w:r>
          </w:p>
        </w:tc>
        <w:tc>
          <w:tcPr>
            <w:tcW w:type="dxa" w:w="4680"/>
            <w:shd w:fill="DDEBF7" w:val="clear"/>
          </w:tcPr>
          <w:p>
            <w:r>
              <w:t xml:space="preserve">170</w:t>
            </w:r>
          </w:p>
        </w:tc>
      </w:tr>
      <w:tr>
        <w:tc>
          <w:tcPr>
            <w:tcW w:type="dxa" w:w="4680"/>
            <w:shd w:fill="FFFFFF" w:val="clear"/>
          </w:tcPr>
          <w:p>
            <w:r>
              <w:t xml:space="preserve">Borderline High</w:t>
            </w:r>
          </w:p>
        </w:tc>
        <w:tc>
          <w:tcPr>
            <w:tcW w:type="dxa" w:w="4680"/>
            <w:shd w:fill="FFFFFF" w:val="clear"/>
          </w:tcPr>
          <w:p>
            <w:r>
              <w:t xml:space="preserve">128</w:t>
            </w:r>
          </w:p>
        </w:tc>
      </w:tr>
    </w:tbl>
    <w:p>
      <w:pPr>
        <w:spacing w:after="100" w:before="200"/>
        <w:jc w:val="center"/>
      </w:pPr>
      <w:r>
        <w:drawing>
          <wp:inline distT="0" distB="0" distL="0" distR="0">
            <wp:extent cx="5905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457450"/>
                    </a:xfrm>
                    <a:prstGeom prst="rect">
                      <a:avLst/>
                    </a:prstGeom>
                  </pic:spPr>
                </pic:pic>
              </a:graphicData>
            </a:graphic>
          </wp:inline>
        </w:drawing>
      </w:r>
    </w:p>
    <w:p>
      <w:pPr>
        <w:spacing w:after="120"/>
      </w:pPr>
      <w:r>
        <w:t xml:space="preserve">Mean cholesterol level is 225.81 mg/dL. 202 patients fall in the "High" risk category (&gt;=240 mg/dL), indicating a notable cardiovascular risk segment.</w:t>
      </w:r>
    </w:p>
    <w:p>
      <w:pPr>
        <w:pStyle w:val="Heading1"/>
        <w:spacing w:after="200" w:before="400"/>
      </w:pPr>
      <w:r>
        <w:t xml:space="preserve">7. Blood Pressure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4E79" w:val="clear"/>
          </w:tcPr>
          <w:p>
            <w:r>
              <w:rPr>
                <w:b/>
                <w:bCs/>
                <w:color w:val="FFFFFF"/>
              </w:rPr>
              <w:t xml:space="preserve">Statistic</w:t>
            </w:r>
          </w:p>
        </w:tc>
        <w:tc>
          <w:tcPr>
            <w:tcW w:type="dxa" w:w="4680"/>
            <w:shd w:fill="1F4E79" w:val="clear"/>
          </w:tcPr>
          <w:p>
            <w:r>
              <w:rPr>
                <w:b/>
                <w:bCs/>
                <w:color w:val="FFFFFF"/>
              </w:rPr>
              <w:t xml:space="preserve">Value</w:t>
            </w:r>
          </w:p>
        </w:tc>
      </w:tr>
      <w:tr>
        <w:tc>
          <w:tcPr>
            <w:tcW w:type="dxa" w:w="4680"/>
            <w:shd w:fill="FFFFFF" w:val="clear"/>
          </w:tcPr>
          <w:p>
            <w:r>
              <w:t xml:space="preserve">count</w:t>
            </w:r>
          </w:p>
        </w:tc>
        <w:tc>
          <w:tcPr>
            <w:tcW w:type="dxa" w:w="4680"/>
            <w:shd w:fill="FFFFFF" w:val="clear"/>
          </w:tcPr>
          <w:p>
            <w:r>
              <w:t xml:space="preserve">500</w:t>
            </w:r>
          </w:p>
        </w:tc>
      </w:tr>
      <w:tr>
        <w:tc>
          <w:tcPr>
            <w:tcW w:type="dxa" w:w="4680"/>
            <w:shd w:fill="DDEBF7" w:val="clear"/>
          </w:tcPr>
          <w:p>
            <w:r>
              <w:t xml:space="preserve">mean</w:t>
            </w:r>
          </w:p>
        </w:tc>
        <w:tc>
          <w:tcPr>
            <w:tcW w:type="dxa" w:w="4680"/>
            <w:shd w:fill="DDEBF7" w:val="clear"/>
          </w:tcPr>
          <w:p>
            <w:r>
              <w:t xml:space="preserve">133.02</w:t>
            </w:r>
          </w:p>
        </w:tc>
      </w:tr>
      <w:tr>
        <w:tc>
          <w:tcPr>
            <w:tcW w:type="dxa" w:w="4680"/>
            <w:shd w:fill="FFFFFF" w:val="clear"/>
          </w:tcPr>
          <w:p>
            <w:r>
              <w:t xml:space="preserve">std</w:t>
            </w:r>
          </w:p>
        </w:tc>
        <w:tc>
          <w:tcPr>
            <w:tcW w:type="dxa" w:w="4680"/>
            <w:shd w:fill="FFFFFF" w:val="clear"/>
          </w:tcPr>
          <w:p>
            <w:r>
              <w:t xml:space="preserve">25.67</w:t>
            </w:r>
          </w:p>
        </w:tc>
      </w:tr>
      <w:tr>
        <w:tc>
          <w:tcPr>
            <w:tcW w:type="dxa" w:w="4680"/>
            <w:shd w:fill="DDEBF7" w:val="clear"/>
          </w:tcPr>
          <w:p>
            <w:r>
              <w:t xml:space="preserve">min</w:t>
            </w:r>
          </w:p>
        </w:tc>
        <w:tc>
          <w:tcPr>
            <w:tcW w:type="dxa" w:w="4680"/>
            <w:shd w:fill="DDEBF7" w:val="clear"/>
          </w:tcPr>
          <w:p>
            <w:r>
              <w:t xml:space="preserve">90</w:t>
            </w:r>
          </w:p>
        </w:tc>
      </w:tr>
      <w:tr>
        <w:tc>
          <w:tcPr>
            <w:tcW w:type="dxa" w:w="4680"/>
            <w:shd w:fill="FFFFFF" w:val="clear"/>
          </w:tcPr>
          <w:p>
            <w:r>
              <w:t xml:space="preserve">25%</w:t>
            </w:r>
          </w:p>
        </w:tc>
        <w:tc>
          <w:tcPr>
            <w:tcW w:type="dxa" w:w="4680"/>
            <w:shd w:fill="FFFFFF" w:val="clear"/>
          </w:tcPr>
          <w:p>
            <w:r>
              <w:t xml:space="preserve">112</w:t>
            </w:r>
          </w:p>
        </w:tc>
      </w:tr>
      <w:tr>
        <w:tc>
          <w:tcPr>
            <w:tcW w:type="dxa" w:w="4680"/>
            <w:shd w:fill="DDEBF7" w:val="clear"/>
          </w:tcPr>
          <w:p>
            <w:r>
              <w:t xml:space="preserve">50%</w:t>
            </w:r>
          </w:p>
        </w:tc>
        <w:tc>
          <w:tcPr>
            <w:tcW w:type="dxa" w:w="4680"/>
            <w:shd w:fill="DDEBF7" w:val="clear"/>
          </w:tcPr>
          <w:p>
            <w:r>
              <w:t xml:space="preserve">132</w:t>
            </w:r>
          </w:p>
        </w:tc>
      </w:tr>
      <w:tr>
        <w:tc>
          <w:tcPr>
            <w:tcW w:type="dxa" w:w="4680"/>
            <w:shd w:fill="FFFFFF" w:val="clear"/>
          </w:tcPr>
          <w:p>
            <w:r>
              <w:t xml:space="preserve">75%</w:t>
            </w:r>
          </w:p>
        </w:tc>
        <w:tc>
          <w:tcPr>
            <w:tcW w:type="dxa" w:w="4680"/>
            <w:shd w:fill="FFFFFF" w:val="clear"/>
          </w:tcPr>
          <w:p>
            <w:r>
              <w:t xml:space="preserve">154</w:t>
            </w:r>
          </w:p>
        </w:tc>
      </w:tr>
      <w:tr>
        <w:tc>
          <w:tcPr>
            <w:tcW w:type="dxa" w:w="4680"/>
            <w:shd w:fill="DDEBF7" w:val="clear"/>
          </w:tcPr>
          <w:p>
            <w:r>
              <w:t xml:space="preserve">max</w:t>
            </w:r>
          </w:p>
        </w:tc>
        <w:tc>
          <w:tcPr>
            <w:tcW w:type="dxa" w:w="4680"/>
            <w:shd w:fill="DDEBF7" w:val="clear"/>
          </w:tcPr>
          <w:p>
            <w:r>
              <w:t xml:space="preserve">179</w:t>
            </w:r>
          </w:p>
        </w:tc>
      </w:tr>
    </w:tbl>
    <w:p>
      <w:pPr>
        <w:pStyle w:val="Heading2"/>
        <w:spacing w:after="150" w:before="300"/>
      </w:pPr>
      <w:r>
        <w:t xml:space="preserve">Blood Pressure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4E79" w:val="clear"/>
          </w:tcPr>
          <w:p>
            <w:r>
              <w:rPr>
                <w:b/>
                <w:bCs/>
                <w:color w:val="FFFFFF"/>
              </w:rPr>
              <w:t xml:space="preserve">Category</w:t>
            </w:r>
          </w:p>
        </w:tc>
        <w:tc>
          <w:tcPr>
            <w:tcW w:type="dxa" w:w="4680"/>
            <w:shd w:fill="1F4E79" w:val="clear"/>
          </w:tcPr>
          <w:p>
            <w:r>
              <w:rPr>
                <w:b/>
                <w:bCs/>
                <w:color w:val="FFFFFF"/>
              </w:rPr>
              <w:t xml:space="preserve">Patient Count</w:t>
            </w:r>
          </w:p>
        </w:tc>
      </w:tr>
      <w:tr>
        <w:tc>
          <w:tcPr>
            <w:tcW w:type="dxa" w:w="4680"/>
            <w:shd w:fill="FFFFFF" w:val="clear"/>
          </w:tcPr>
          <w:p>
            <w:r>
              <w:t xml:space="preserve">High</w:t>
            </w:r>
          </w:p>
        </w:tc>
        <w:tc>
          <w:tcPr>
            <w:tcW w:type="dxa" w:w="4680"/>
            <w:shd w:fill="FFFFFF" w:val="clear"/>
          </w:tcPr>
          <w:p>
            <w:r>
              <w:t xml:space="preserve">215</w:t>
            </w:r>
          </w:p>
        </w:tc>
      </w:tr>
      <w:tr>
        <w:tc>
          <w:tcPr>
            <w:tcW w:type="dxa" w:w="4680"/>
            <w:shd w:fill="DDEBF7" w:val="clear"/>
          </w:tcPr>
          <w:p>
            <w:r>
              <w:t xml:space="preserve">Normal</w:t>
            </w:r>
          </w:p>
        </w:tc>
        <w:tc>
          <w:tcPr>
            <w:tcW w:type="dxa" w:w="4680"/>
            <w:shd w:fill="DDEBF7" w:val="clear"/>
          </w:tcPr>
          <w:p>
            <w:r>
              <w:t xml:space="preserve">171</w:t>
            </w:r>
          </w:p>
        </w:tc>
      </w:tr>
      <w:tr>
        <w:tc>
          <w:tcPr>
            <w:tcW w:type="dxa" w:w="4680"/>
            <w:shd w:fill="FFFFFF" w:val="clear"/>
          </w:tcPr>
          <w:p>
            <w:r>
              <w:t xml:space="preserve">Elevated</w:t>
            </w:r>
          </w:p>
        </w:tc>
        <w:tc>
          <w:tcPr>
            <w:tcW w:type="dxa" w:w="4680"/>
            <w:shd w:fill="FFFFFF" w:val="clear"/>
          </w:tcPr>
          <w:p>
            <w:r>
              <w:t xml:space="preserve">114</w:t>
            </w:r>
          </w:p>
        </w:tc>
      </w:tr>
    </w:tbl>
    <w:p>
      <w:pPr>
        <w:spacing w:after="100" w:before="200"/>
        <w:jc w:val="center"/>
      </w:pPr>
      <w:r>
        <w:drawing>
          <wp:inline distT="0" distB="0" distL="0" distR="0">
            <wp:extent cx="5905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457450"/>
                    </a:xfrm>
                    <a:prstGeom prst="rect">
                      <a:avLst/>
                    </a:prstGeom>
                  </pic:spPr>
                </pic:pic>
              </a:graphicData>
            </a:graphic>
          </wp:inline>
        </w:drawing>
      </w:r>
    </w:p>
    <w:p>
      <w:pPr>
        <w:spacing w:after="120"/>
      </w:pPr>
      <w:r>
        <w:t xml:space="preserve">Mean blood pressure reading is 133.02. 215 patients fall in the "High" category, reinforcing hypertension as a key clinical focus area.</w:t>
      </w:r>
    </w:p>
    <w:p>
      <w:pPr>
        <w:pStyle w:val="Heading1"/>
        <w:spacing w:after="200" w:before="400"/>
      </w:pPr>
      <w:r>
        <w:t xml:space="preserve">8. Correlation Analysis</w:t>
      </w:r>
    </w:p>
    <w:p>
      <w:pPr>
        <w:spacing w:after="120"/>
      </w:pPr>
      <w:r>
        <w:t xml:space="preserve">Pearson correlation coefficients were computed across all numeric health metrics (Age, Blood Pressure, Heart Rate, Cholesterol, BMI) to identify linear relationships.</w:t>
      </w:r>
    </w:p>
    <w:p>
      <w:pPr>
        <w:spacing w:after="200" w:before="200"/>
        <w:jc w:val="center"/>
      </w:pPr>
      <w:r>
        <w:drawing>
          <wp:inline distT="0" distB="0" distL="0" distR="0">
            <wp:extent cx="3619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095625"/>
                    </a:xfrm>
                    <a:prstGeom prst="rect">
                      <a:avLst/>
                    </a:prstGeom>
                  </pic:spPr>
                </pic:pic>
              </a:graphicData>
            </a:graphic>
          </wp:inline>
        </w:drawing>
      </w:r>
    </w:p>
    <w:p>
      <w:pPr>
        <w:spacing w:after="120"/>
      </w:pPr>
      <w:r>
        <w:rPr>
          <w:i/>
          <w:iCs/>
        </w:rPr>
        <w:t xml:space="preserve">All pairwise correlations are close to zero (roughly -0.02 to 0.08), indicating no meaningful linear relationship between Age, Blood Pressure, Heart Rate, Cholesterol, and BMI in this dataset. Each metric behaves largely independently of the others, so risk factors should be assessed individually rather than inferred from one another.</w:t>
      </w:r>
    </w:p>
    <w:p>
      <w:pPr>
        <w:pStyle w:val="Heading1"/>
        <w:spacing w:after="200" w:before="400"/>
      </w:pPr>
      <w:r>
        <w:t xml:space="preserve">Summary</w:t>
      </w:r>
    </w:p>
    <w:p>
      <w:pPr>
        <w:pStyle w:val="ListParagraph"/>
        <w:numPr>
          <w:ilvl w:val="0"/>
          <w:numId w:val="1"/>
        </w:numPr>
        <w:spacing w:after="80"/>
      </w:pPr>
      <w:r>
        <w:t xml:space="preserve">Dataset: 500 patient records, 10 original fields, cleaned and deduplicated.</w:t>
      </w:r>
    </w:p>
    <w:p>
      <w:pPr>
        <w:pStyle w:val="ListParagraph"/>
        <w:numPr>
          <w:ilvl w:val="0"/>
          <w:numId w:val="1"/>
        </w:numPr>
        <w:spacing w:after="80"/>
      </w:pPr>
      <w:r>
        <w:t xml:space="preserve">Missing data limited to Treatment_Plan (19%), imputed via mode.</w:t>
      </w:r>
    </w:p>
    <w:p>
      <w:pPr>
        <w:pStyle w:val="ListParagraph"/>
        <w:numPr>
          <w:ilvl w:val="0"/>
          <w:numId w:val="1"/>
        </w:numPr>
        <w:spacing w:after="80"/>
      </w:pPr>
      <w:r>
        <w:t xml:space="preserve">No extreme outliers detected via IQR across Age, Blood Pressure, Heart Rate, Cholesterol, or BMI.</w:t>
      </w:r>
    </w:p>
    <w:p>
      <w:pPr>
        <w:pStyle w:val="ListParagraph"/>
        <w:numPr>
          <w:ilvl w:val="0"/>
          <w:numId w:val="1"/>
        </w:numPr>
        <w:spacing w:after="80"/>
      </w:pPr>
      <w:r>
        <w:t xml:space="preserve">242 of 500 patients are classified Obese; 202 have High cholesterol; 215 have High blood pressure.</w:t>
      </w:r>
    </w:p>
    <w:p>
      <w:pPr>
        <w:pStyle w:val="ListParagraph"/>
        <w:numPr>
          <w:ilvl w:val="0"/>
          <w:numId w:val="1"/>
        </w:numPr>
        <w:spacing w:after="80"/>
      </w:pPr>
      <w:r>
        <w:t xml:space="preserve">Correlation analysis shows the five core numeric metrics are statistically independent of one another.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50" w:before="300"/>
    </w:pPr>
    <w:rPr>
      <w:b/>
      <w:bCs/>
      <w:color w:val="1F4E79"/>
      <w:sz w:val="30"/>
      <w:szCs w:val="30"/>
    </w:rPr>
  </w:style>
  <w:style w:type="paragraph" w:styleId="Heading2">
    <w:name w:val="Heading 2"/>
    <w:basedOn w:val="Normal"/>
    <w:next w:val="Normal"/>
    <w:pPr>
      <w:spacing w:after="100" w:before="200"/>
    </w:pPr>
    <w:rPr>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d9fb83812692df01ae3473d8c1a1174b313ef6.png"/><Relationship Id="rId8" Type="http://schemas.openxmlformats.org/officeDocument/2006/relationships/image" Target="media/a3cf7738bb48a1da161ef3c7adf471f013b8f46c.png"/><Relationship Id="rId9" Type="http://schemas.openxmlformats.org/officeDocument/2006/relationships/image" Target="media/c94f97789ad497a0f1bedbd54b22dfd512e0ad3e.png"/><Relationship Id="rId10" Type="http://schemas.openxmlformats.org/officeDocument/2006/relationships/image" Target="media/4d41bcea192255e2339c25ece96c4ad001160018.png"/><Relationship Id="rId11" Type="http://schemas.openxmlformats.org/officeDocument/2006/relationships/image" Target="media/4f08b40fed8dd0976d6e28ff7802ab4412fa2cdb.png"/><Relationship Id="rId12" Type="http://schemas.openxmlformats.org/officeDocument/2006/relationships/image" Target="media/50495478ac2d8316c10d7bee6452264b4b78f30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2026-07-11T08:22:16.159Z</dcterms:created>
  <dcterms:modified xsi:type="dcterms:W3CDTF">2026-07-11T08:22:16.169Z</dcterms:modified>
</cp:coreProperties>
</file>

<file path=docProps/custom.xml><?xml version="1.0" encoding="utf-8"?>
<Properties xmlns="http://schemas.openxmlformats.org/officeDocument/2006/custom-properties" xmlns:vt="http://schemas.openxmlformats.org/officeDocument/2006/docPropsVTypes"/>
</file>