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:rsidR="00DC7F46" w:rsidRPr="00DF11F6" w:rsidRDefault="00DD4CA6" w:rsidP="00DC7F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This report provides an analysis of Green Solutions Manufacturing </w:t>
      </w:r>
      <w:proofErr w:type="spellStart"/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>Ltd's</w:t>
      </w:r>
      <w:proofErr w:type="spellEnd"/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 financial position and identifies key financial risks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 based on 31</w:t>
      </w:r>
      <w:r w:rsidR="0074680D" w:rsidRPr="0074680D">
        <w:rPr>
          <w:rFonts w:ascii="Segoe UI" w:eastAsia="Times New Roman" w:hAnsi="Segoe UI" w:cs="Segoe UI"/>
          <w:sz w:val="20"/>
          <w:szCs w:val="20"/>
          <w:vertAlign w:val="superscript"/>
          <w:lang w:eastAsia="en-GB"/>
        </w:rPr>
        <w:t>st</w:t>
      </w:r>
      <w:r w:rsidR="0074680D">
        <w:rPr>
          <w:rFonts w:ascii="Segoe UI" w:eastAsia="Times New Roman" w:hAnsi="Segoe UI" w:cs="Segoe UI"/>
          <w:sz w:val="20"/>
          <w:szCs w:val="20"/>
          <w:lang w:eastAsia="en-GB"/>
        </w:rPr>
        <w:t xml:space="preserve"> 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>December 2022 and 2023 financial statements</w:t>
      </w: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. 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>Green Solutions Manufacturing Ltd is a leading multinational manufacturer specialising in eco-friendly</w:t>
      </w:r>
      <w:r w:rsidR="00DF11F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sustainable drinkware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with a particular focus on sustainable practices. It is headquartered in the UK, with manufacturing facilities in three countries and a client base of over 50 million customers with over £50m annual revenue. The company has heavily invested in sustainable, eco-friendly production, updating machinery and processes, and leading R&amp;D in sustainability. Capital expenditures on these initiatives have surged by 150% since 2022, funded by internal resources and borrowing. They are now seeking additional credit to further advance their sustainability initiatives.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Revenue: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71% over the year, indicating strong market demand and successful business strategies.</w:t>
      </w:r>
    </w:p>
    <w:p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(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earnings before interest, taxes, depreciation, and amorti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s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ation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)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increase driven by improved gross margins and revenue growth. This has resulted in a substantial rise in net profit before tax.</w:t>
      </w:r>
    </w:p>
    <w:p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Interest Expense: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halved due to a drop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-in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interest expense and an increase in interest income, positively impacting net profitability.</w:t>
      </w:r>
    </w:p>
    <w:p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Profit Before Tax: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in line with the rise in EBITDA, reflecting overall financial health and profitability.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:rsidR="00DD4CA6" w:rsidRPr="00DD4CA6" w:rsidRDefault="00DD4CA6" w:rsidP="0059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>Balance sheet expanded ~19% YoY basis, and is primarily dominated by PPE (~50%) which is in line with manufacturer model.</w:t>
      </w:r>
    </w:p>
    <w:p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Tangible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Similarly, a slight increase, maintaining the company's asset base.</w:t>
      </w:r>
    </w:p>
    <w:p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 sizable 40% increase in inventory during 2023 aligns with the revenue growth, ensuring adequate stock levels to meet demand.</w:t>
      </w:r>
    </w:p>
    <w:p w:rsidR="00DD4CA6" w:rsidRPr="003B65CA" w:rsidRDefault="00DD4CA6" w:rsidP="003B6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and Cash Equivalents: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Cash reserves reduced YoY primarily to support </w:t>
      </w:r>
      <w:r w:rsid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capital expenditure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on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investments &amp; debt repayments.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This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needs </w:t>
      </w:r>
      <w:r w:rsidRPr="003B65CA">
        <w:rPr>
          <w:rFonts w:ascii="Segoe UI" w:eastAsia="Times New Roman" w:hAnsi="Segoe UI" w:cs="Segoe UI"/>
          <w:sz w:val="20"/>
          <w:szCs w:val="24"/>
          <w:lang w:eastAsia="en-GB"/>
        </w:rPr>
        <w:t>monitoring to ensure liquidity.</w:t>
      </w:r>
    </w:p>
    <w:p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Liabilities: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 increase, manageable within the context of overall growth.</w:t>
      </w:r>
    </w:p>
    <w:p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33%, reflecting improved shareholder value.</w:t>
      </w:r>
    </w:p>
    <w:p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Tangible 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increased by around 34%, indicating a solid financial foundation.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demonstrating strong cash generation from core activities.</w:t>
      </w:r>
    </w:p>
    <w:p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investments in property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and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equipment, supporting long-term growth.</w:t>
      </w:r>
    </w:p>
    <w:p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Free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higher operating cash flows, partially offset by increased capital expenditure, indicating healthy financial management.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lastRenderedPageBreak/>
        <w:t>Key Financial Ratios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indicating enhanced profitability.</w:t>
      </w:r>
    </w:p>
    <w:p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doubled, reflecting improved operational efficiency.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Interest Coverage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improvement due to increased EBITDA and reduced net interest payments, enhancing financial stability.</w:t>
      </w:r>
    </w:p>
    <w:p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Current Asset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Slightly dropped, suggesting a need to monitor liquidity closely.</w:t>
      </w:r>
    </w:p>
    <w:p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Metric: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Decreased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(8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4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mainly due to increased EBITDA, indicating reduced financial risk.</w:t>
      </w:r>
    </w:p>
    <w:p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Leverage: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3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.2 (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62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driven by the leverage metric improvement but offset by reduced cash balance.</w:t>
      </w:r>
    </w:p>
    <w:p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ash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low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/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ital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xpenditure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Changed by 0.4 due to higher capital expenditure relative to cash flows from operating activities, suggesting cautious investment strategies.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Key Financial Risks</w:t>
      </w:r>
    </w:p>
    <w:p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Liquidity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slight drop in cash and cash equivalents and current asset ratio requires close monitoring to ensure the company can meet its short-term obligations.</w:t>
      </w:r>
    </w:p>
    <w:p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While increased capital expenditure supports growth, it also strains free cash flow. Ensuring a balance between investment and liquidity is crucial.</w:t>
      </w:r>
    </w:p>
    <w:p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Although the leverage metric has improved significantly, the increase in net leverage due to a decrease in cash balance poses a potential risk.</w:t>
      </w:r>
    </w:p>
    <w:p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substantial increase in inventory must be managed efficiently to prevent overstocking and related costs.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Enhance Liquidity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Implement strategies to improve cash reserves and optimize current asset management.</w:t>
      </w:r>
    </w:p>
    <w:p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Monitor 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Ensure that capital investments are aligned with cash flow capabilities to maintain financial stability.</w:t>
      </w:r>
    </w:p>
    <w:p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Optimization: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Continue to focus on reducing leverage by increasing profitability and maintaining a healthy cash balance.</w:t>
      </w:r>
    </w:p>
    <w:p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Efficient Inventory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Streamline inventory processes to align with sales growth and minimize holding costs.</w:t>
      </w:r>
    </w:p>
    <w:p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Green Solutions Manufacturing Ltd demonstrates strong financial health with significant revenue growth, improved profitability, and a solid asset base. However, attention to liquidity, capital expenditure, and leverage management is essential to mitigate potential risks. The company is well-positioned for continued success, provided these financial strategies are effectively implemented.</w:t>
      </w:r>
    </w:p>
    <w:p w:rsidR="00DD4CA6" w:rsidRPr="00DD4CA6" w:rsidRDefault="00755D9C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755D9C">
        <w:rPr>
          <w:rFonts w:ascii="Segoe UI" w:eastAsia="Times New Roman" w:hAnsi="Segoe UI" w:cs="Segoe UI"/>
          <w:noProof/>
          <w:sz w:val="2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lastRenderedPageBreak/>
        <w:t xml:space="preserve">Prepared by: </w:t>
      </w:r>
      <w:r w:rsidRPr="00EE407C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[Your Name]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26</w:t>
      </w:r>
      <w:r w:rsidRPr="00DD4CA6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th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July’24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84E52"/>
    <w:multiLevelType w:val="multilevel"/>
    <w:tmpl w:val="A9E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4552">
    <w:abstractNumId w:val="4"/>
  </w:num>
  <w:num w:numId="2" w16cid:durableId="1486242909">
    <w:abstractNumId w:val="2"/>
  </w:num>
  <w:num w:numId="3" w16cid:durableId="1154296435">
    <w:abstractNumId w:val="7"/>
  </w:num>
  <w:num w:numId="4" w16cid:durableId="1843659505">
    <w:abstractNumId w:val="5"/>
  </w:num>
  <w:num w:numId="5" w16cid:durableId="999817853">
    <w:abstractNumId w:val="0"/>
  </w:num>
  <w:num w:numId="6" w16cid:durableId="866214810">
    <w:abstractNumId w:val="1"/>
  </w:num>
  <w:num w:numId="7" w16cid:durableId="351029820">
    <w:abstractNumId w:val="3"/>
  </w:num>
  <w:num w:numId="8" w16cid:durableId="1179156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M7IwMzYxMTAwNTVX0lEKTi0uzszPAykwqQUAgYvNAiwAAAA="/>
  </w:docVars>
  <w:rsids>
    <w:rsidRoot w:val="00DD4CA6"/>
    <w:rsid w:val="00193423"/>
    <w:rsid w:val="003B65CA"/>
    <w:rsid w:val="00595E9D"/>
    <w:rsid w:val="0074680D"/>
    <w:rsid w:val="00755D9C"/>
    <w:rsid w:val="007D2693"/>
    <w:rsid w:val="009E6B60"/>
    <w:rsid w:val="00C24DC3"/>
    <w:rsid w:val="00DC7F46"/>
    <w:rsid w:val="00DD4CA6"/>
    <w:rsid w:val="00DF11F6"/>
    <w:rsid w:val="00EE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24F2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Lauren McGregor</cp:lastModifiedBy>
  <cp:revision>2</cp:revision>
  <dcterms:created xsi:type="dcterms:W3CDTF">2024-07-29T06:53:00Z</dcterms:created>
  <dcterms:modified xsi:type="dcterms:W3CDTF">2024-10-12T01:06:00Z</dcterms:modified>
</cp:coreProperties>
</file>