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3A8BB"/>
    <w:tbl>
      <w:tblPr>
        <w:tblStyle w:val="20"/>
        <w:tblpPr w:leftFromText="180" w:rightFromText="180" w:vertAnchor="text" w:horzAnchor="page" w:tblpX="1514" w:tblpY="795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5"/>
        <w:gridCol w:w="4617"/>
      </w:tblGrid>
      <w:tr w14:paraId="36CC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2" w:type="dxa"/>
            <w:gridSpan w:val="2"/>
            <w:vAlign w:val="bottom"/>
          </w:tcPr>
          <w:p w14:paraId="3FAA6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vertAlign w:val="baseline"/>
                <w:lang w:val="es-ES"/>
              </w:rPr>
              <w:t>Integrantes del grupo</w:t>
            </w:r>
          </w:p>
        </w:tc>
      </w:tr>
      <w:tr w14:paraId="7612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5" w:type="dxa"/>
            <w:vAlign w:val="bottom"/>
          </w:tcPr>
          <w:p w14:paraId="7C39B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Apellido, Nombre</w:t>
            </w:r>
          </w:p>
        </w:tc>
        <w:tc>
          <w:tcPr>
            <w:tcW w:w="4617" w:type="dxa"/>
            <w:vAlign w:val="bottom"/>
          </w:tcPr>
          <w:p w14:paraId="70536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Legajo</w:t>
            </w:r>
          </w:p>
        </w:tc>
      </w:tr>
      <w:tr w14:paraId="1A1B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5" w:type="dxa"/>
            <w:vAlign w:val="bottom"/>
          </w:tcPr>
          <w:p w14:paraId="6CA09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Juliano, Tomás Rubén</w:t>
            </w:r>
          </w:p>
        </w:tc>
        <w:tc>
          <w:tcPr>
            <w:tcW w:w="4617" w:type="dxa"/>
            <w:vAlign w:val="bottom"/>
          </w:tcPr>
          <w:p w14:paraId="23192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215.041-4</w:t>
            </w:r>
          </w:p>
        </w:tc>
      </w:tr>
      <w:tr w14:paraId="2153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5" w:type="dxa"/>
            <w:vAlign w:val="bottom"/>
          </w:tcPr>
          <w:p w14:paraId="3A16E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Candal, Nicolas</w:t>
            </w:r>
          </w:p>
        </w:tc>
        <w:tc>
          <w:tcPr>
            <w:tcW w:w="4617" w:type="dxa"/>
            <w:vAlign w:val="bottom"/>
          </w:tcPr>
          <w:p w14:paraId="6D078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215.125-0</w:t>
            </w:r>
          </w:p>
        </w:tc>
      </w:tr>
      <w:tr w14:paraId="3FDB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5" w:type="dxa"/>
            <w:vAlign w:val="bottom"/>
          </w:tcPr>
          <w:p w14:paraId="0908D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Rivas, Tiziano</w:t>
            </w:r>
          </w:p>
        </w:tc>
        <w:tc>
          <w:tcPr>
            <w:tcW w:w="4617" w:type="dxa"/>
            <w:vAlign w:val="bottom"/>
          </w:tcPr>
          <w:p w14:paraId="2ADB5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222.643-1</w:t>
            </w:r>
          </w:p>
        </w:tc>
      </w:tr>
      <w:tr w14:paraId="3679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5" w:type="dxa"/>
            <w:vAlign w:val="bottom"/>
          </w:tcPr>
          <w:p w14:paraId="14ED1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Moreno, Rocco</w:t>
            </w:r>
          </w:p>
        </w:tc>
        <w:tc>
          <w:tcPr>
            <w:tcW w:w="4617" w:type="dxa"/>
            <w:vAlign w:val="bottom"/>
          </w:tcPr>
          <w:p w14:paraId="28D0F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32"/>
                <w:vertAlign w:val="baseline"/>
                <w:lang w:val="es-ES"/>
              </w:rPr>
            </w:pPr>
            <w:r>
              <w:rPr>
                <w:rFonts w:hint="default"/>
                <w:sz w:val="32"/>
                <w:lang w:val="es-ES"/>
              </w:rPr>
              <w:t>213.913-3</w:t>
            </w:r>
          </w:p>
        </w:tc>
      </w:tr>
    </w:tbl>
    <w:p w14:paraId="290F80F4">
      <w:pPr>
        <w:pStyle w:val="19"/>
        <w:jc w:val="both"/>
      </w:pPr>
    </w:p>
    <w:p w14:paraId="2C2DEABA">
      <w:pPr>
        <w:pStyle w:val="19"/>
        <w:jc w:val="both"/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  <w:r>
        <w:pict>
          <v:shape id="_x0000_s1026" o:spid="_x0000_s1026" o:spt="202" type="#_x0000_t202" style="position:absolute;left:0pt;margin-left:-34.55pt;margin-top:178.25pt;height:197.7pt;width:537.1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12AC8624">
                  <w:pPr>
                    <w:spacing w:line="1000" w:lineRule="exact"/>
                    <w:jc w:val="center"/>
                    <w:rPr>
                      <w:rFonts w:hint="default"/>
                      <w:sz w:val="32"/>
                      <w:u w:val="single"/>
                      <w:lang w:val="es-ES"/>
                    </w:rPr>
                  </w:pPr>
                  <w:r>
                    <w:rPr>
                      <w:rFonts w:hint="default"/>
                      <w:sz w:val="32"/>
                      <w:lang w:val="en-US"/>
                    </w:rPr>
                    <w:t>Universidad Tecnológica Nacional</w:t>
                  </w:r>
                  <w:r>
                    <w:rPr>
                      <w:rFonts w:hint="default"/>
                      <w:sz w:val="32"/>
                      <w:lang w:val="es-ES"/>
                    </w:rPr>
                    <w:t xml:space="preserve"> -</w:t>
                  </w:r>
                  <w:r>
                    <w:rPr>
                      <w:rFonts w:hint="default"/>
                      <w:sz w:val="32"/>
                      <w:lang w:val="en-US"/>
                    </w:rPr>
                    <w:t xml:space="preserve"> Facultad Regional Buenos Aires</w:t>
                  </w:r>
                  <w:r>
                    <w:rPr>
                      <w:rFonts w:hint="default"/>
                      <w:sz w:val="32"/>
                      <w:lang w:val="en-US"/>
                    </w:rPr>
                    <w:br w:type="textWrapping"/>
                  </w:r>
                  <w:r>
                    <w:rPr>
                      <w:rFonts w:hint="default"/>
                      <w:sz w:val="32"/>
                      <w:lang w:val="en-US"/>
                    </w:rPr>
                    <w:t>Base de Datos / Gestión de Dato</w:t>
                  </w:r>
                  <w:r>
                    <w:rPr>
                      <w:rFonts w:hint="default"/>
                      <w:sz w:val="32"/>
                      <w:lang w:val="es-ES"/>
                    </w:rPr>
                    <w:t>s</w:t>
                  </w:r>
                  <w:r>
                    <w:rPr>
                      <w:rFonts w:hint="default"/>
                      <w:sz w:val="32"/>
                      <w:lang w:val="en-US"/>
                    </w:rPr>
                    <w:br w:type="textWrapping"/>
                  </w:r>
                  <w:r>
                    <w:rPr>
                      <w:rFonts w:hint="default"/>
                      <w:sz w:val="32"/>
                      <w:u w:val="single"/>
                      <w:lang w:val="es-ES"/>
                    </w:rPr>
                    <w:t>Grupo 38 - NUTREAM - Curso K3522</w:t>
                  </w:r>
                </w:p>
                <w:p w14:paraId="79ABE36F">
                  <w:pPr>
                    <w:spacing w:line="1000" w:lineRule="exact"/>
                    <w:jc w:val="both"/>
                    <w:rPr>
                      <w:rFonts w:hint="default"/>
                      <w:sz w:val="32"/>
                      <w:u w:val="single"/>
                      <w:lang w:val="es-ES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-71.25pt;margin-top:107.1pt;height:46.55pt;width:594.4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12A47DC4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eastAsia="黑体" w:cs="Times New Roman"/>
                      <w:sz w:val="52"/>
                      <w:lang w:val="es-ES" w:eastAsia="zh-CN"/>
                    </w:rPr>
                  </w:pPr>
                  <w:r>
                    <w:rPr>
                      <w:rFonts w:hint="default" w:eastAsia="黑体" w:cs="Times New Roman"/>
                      <w:sz w:val="52"/>
                      <w:lang w:val="es-ES" w:eastAsia="zh-CN"/>
                    </w:rPr>
                    <w:t>Decisiones de diseño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-72pt;margin-top:62.4pt;height:53.5pt;width:594.4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424B3CDC">
                  <w:pPr>
                    <w:ind w:left="0" w:leftChars="0" w:right="0" w:rightChars="0" w:firstLine="0" w:firstLineChars="0"/>
                    <w:jc w:val="center"/>
                    <w:rPr>
                      <w:rFonts w:hint="default"/>
                      <w:b/>
                      <w:bCs/>
                      <w:sz w:val="52"/>
                      <w:szCs w:val="28"/>
                      <w:lang w:val="es-ES"/>
                    </w:rPr>
                  </w:pPr>
                  <w:r>
                    <w:rPr>
                      <w:rFonts w:hint="default"/>
                      <w:b/>
                      <w:bCs/>
                      <w:sz w:val="60"/>
                      <w:szCs w:val="36"/>
                      <w:lang w:val="es-ES"/>
                    </w:rPr>
                    <w:t>Estrategia del Trabajo Práctico</w:t>
                  </w:r>
                </w:p>
              </w:txbxContent>
            </v:textbox>
          </v:shape>
        </w:pict>
      </w:r>
    </w:p>
    <w:p w14:paraId="233EE3A8"/>
    <w:p w14:paraId="7D1C2DA9"/>
    <w:sdt>
      <w:sdtPr>
        <w:rPr>
          <w:rFonts w:hint="default"/>
          <w:sz w:val="40"/>
          <w:szCs w:val="40"/>
          <w:lang w:val="en-US"/>
        </w:rPr>
        <w:id w:val="14746699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="Calibri"/>
          <w:sz w:val="22"/>
          <w:szCs w:val="22"/>
          <w:lang w:val="en-US"/>
        </w:rPr>
      </w:sdtEndPr>
      <w:sdtContent>
        <w:p w14:paraId="26BD3181">
          <w:pPr>
            <w:pStyle w:val="2"/>
            <w:bidi w:val="0"/>
            <w:rPr>
              <w:rFonts w:hint="default"/>
              <w:sz w:val="40"/>
              <w:szCs w:val="40"/>
              <w:lang w:val="es-ES"/>
            </w:rPr>
          </w:pPr>
          <w:r>
            <w:rPr>
              <w:rFonts w:hint="default"/>
              <w:sz w:val="40"/>
              <w:szCs w:val="40"/>
              <w:lang w:val="es-ES"/>
            </w:rPr>
            <w:t>Índice</w:t>
          </w:r>
        </w:p>
        <w:p w14:paraId="514C04AC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 w:val="22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 w:val="22"/>
              <w:szCs w:val="22"/>
              <w:lang w:val="en-US"/>
            </w:rPr>
            <w:instrText xml:space="preserve">TOC \o "1-3" \h \u </w:instrText>
          </w:r>
          <w:r>
            <w:rPr>
              <w:rFonts w:hint="default" w:ascii="Times New Roman" w:hAnsi="Times New Roman" w:eastAsia="Calibri" w:cs="Calibri"/>
              <w:sz w:val="22"/>
              <w:szCs w:val="22"/>
              <w:lang w:val="en-US"/>
            </w:rPr>
            <w:fldChar w:fldCharType="separate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_Toc8564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1. Alcance y objetivos</w:t>
          </w:r>
          <w:r>
            <w:tab/>
          </w:r>
          <w:r>
            <w:fldChar w:fldCharType="begin"/>
          </w:r>
          <w:r>
            <w:instrText xml:space="preserve"> PAGEREF _Toc8564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19AB52E1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_Toc27425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2. Organización y normalización</w:t>
          </w:r>
          <w:r>
            <w:tab/>
          </w:r>
          <w:r>
            <w:fldChar w:fldCharType="begin"/>
          </w:r>
          <w:r>
            <w:instrText xml:space="preserve"> PAGEREF _Toc27425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3C2A9749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_Toc31659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3. Productos, bicicletas y repuestos</w:t>
          </w:r>
          <w:r>
            <w:tab/>
          </w:r>
          <w:r>
            <w:fldChar w:fldCharType="begin"/>
          </w:r>
          <w:r>
            <w:instrText xml:space="preserve"> PAGEREF _Toc31659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4C4B315F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_Toc14732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4. Claves y resolución de duplicados</w:t>
          </w:r>
          <w:r>
            <w:tab/>
          </w:r>
          <w:r>
            <w:fldChar w:fldCharType="begin"/>
          </w:r>
          <w:r>
            <w:instrText xml:space="preserve"> PAGEREF _Toc14732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6A30240B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_Toc18653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5. Operaciones e importes</w:t>
          </w:r>
          <w:r>
            <w:tab/>
          </w:r>
          <w:r>
            <w:fldChar w:fldCharType="begin"/>
          </w:r>
          <w:r>
            <w:instrText xml:space="preserve"> PAGEREF _Toc18653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1ECEE5A0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_Toc14785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6. Tipos y valores nulos</w:t>
          </w:r>
          <w:r>
            <w:tab/>
          </w:r>
          <w:r>
            <w:fldChar w:fldCharType="begin"/>
          </w:r>
          <w:r>
            <w:instrText xml:space="preserve"> PAGEREF _Toc14785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188ED8D3">
          <w:pPr>
            <w:pStyle w:val="14"/>
            <w:tabs>
              <w:tab w:val="right" w:leader="dot" w:pos="9026"/>
            </w:tabs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begin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instrText xml:space="preserve"> HYPERLINK \l _Toc23934 </w:instrText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separate"/>
          </w:r>
          <w:r>
            <w:t>7. Estrategia de migración y ejecución</w:t>
          </w:r>
          <w:r>
            <w:tab/>
          </w:r>
          <w:r>
            <w:fldChar w:fldCharType="begin"/>
          </w:r>
          <w:r>
            <w:instrText xml:space="preserve"> PAGEREF _Toc23934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  <w:p w14:paraId="7311076B">
          <w:pPr>
            <w:pStyle w:val="2"/>
            <w:bidi w:val="0"/>
            <w:rPr>
              <w:rFonts w:ascii="Times New Roman" w:hAnsi="Times New Roman" w:eastAsia="Calibri" w:cs="Calibri"/>
              <w:sz w:val="22"/>
              <w:szCs w:val="22"/>
            </w:rPr>
            <w:sectPr>
              <w:footerReference r:id="rId5" w:type="default"/>
              <w:pgSz w:w="11906" w:h="16838"/>
              <w:pgMar w:top="1440" w:right="1440" w:bottom="1440" w:left="1440" w:header="708" w:footer="708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 w:start="1"/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eastAsia="Calibri" w:cs="Calibri"/>
              <w:szCs w:val="22"/>
              <w:lang w:val="en-US"/>
            </w:rPr>
            <w:fldChar w:fldCharType="end"/>
          </w:r>
        </w:p>
      </w:sdtContent>
    </w:sdt>
    <w:p w14:paraId="76D0515D">
      <w:pPr>
        <w:rPr>
          <w:rFonts w:ascii="Times New Roman" w:hAnsi="Times New Roman" w:eastAsia="Calibri" w:cs="Calibri"/>
          <w:sz w:val="22"/>
          <w:szCs w:val="22"/>
        </w:rPr>
      </w:pPr>
    </w:p>
    <w:p w14:paraId="3E4FCD11">
      <w:pPr>
        <w:pStyle w:val="2"/>
        <w:jc w:val="both"/>
      </w:pPr>
      <w:bookmarkStart w:id="0" w:name="_Toc31066"/>
      <w:bookmarkStart w:id="1" w:name="_Toc9406"/>
      <w:bookmarkStart w:id="2" w:name="_Toc8564"/>
      <w:r>
        <w:t>1. Alcance y objetivos</w:t>
      </w:r>
      <w:bookmarkEnd w:id="0"/>
      <w:bookmarkEnd w:id="1"/>
      <w:bookmarkEnd w:id="2"/>
    </w:p>
    <w:p w14:paraId="43086F9F">
      <w:pPr>
        <w:jc w:val="both"/>
      </w:pPr>
      <w:r>
        <w:t xml:space="preserve">En la primera entrega armamos el DER transaccional a partir de las reglas del negocio y de la tabla desnormalizada </w:t>
      </w:r>
      <w:r>
        <w:rPr>
          <w:rFonts w:ascii="Consolas" w:hAnsi="Consolas" w:eastAsia="Consolas" w:cs="Consolas"/>
          <w:sz w:val="20"/>
          <w:szCs w:val="20"/>
        </w:rPr>
        <w:t>[gd_esquema].[Maestra]</w:t>
      </w:r>
      <w:r>
        <w:t xml:space="preserve">. En la segunda lo normalizamos, corregimos las relaciones que nos marcaron en la revisión y escribimos en T-SQL la creación y la migración dentro del esquema </w:t>
      </w:r>
      <w:r>
        <w:rPr>
          <w:rFonts w:ascii="Consolas" w:hAnsi="Consolas" w:eastAsia="Consolas" w:cs="Consolas"/>
          <w:sz w:val="20"/>
          <w:szCs w:val="20"/>
        </w:rPr>
        <w:t>[NUTREAM]</w:t>
      </w:r>
      <w:r>
        <w:t>.</w:t>
      </w:r>
    </w:p>
    <w:p w14:paraId="3C499CEF">
      <w:pPr>
        <w:jc w:val="both"/>
      </w:pPr>
      <w:r>
        <w:t>La maestra tiene 291.899 filas y 89 columnas. El modelo la divide en ubicación, personas, catálogos, productos y las cuatro operaciones del negocio: ventas, compras, alquileres y reparaciones. El criterio general fue no perder datos y no inventar relaciones ni valores que la fuente no respalde.</w:t>
      </w:r>
    </w:p>
    <w:p w14:paraId="59486118">
      <w:pPr>
        <w:jc w:val="both"/>
      </w:pPr>
      <w:r>
        <w:rPr>
          <w:rFonts w:ascii="Consolas" w:hAnsi="Consolas" w:eastAsia="Consolas" w:cs="Consolas"/>
          <w:sz w:val="20"/>
          <w:szCs w:val="20"/>
        </w:rPr>
        <w:t>NUTREAM</w:t>
      </w:r>
      <w:r>
        <w:t xml:space="preserve"> vive en la misma base </w:t>
      </w:r>
      <w:r>
        <w:rPr>
          <w:rFonts w:ascii="Consolas" w:hAnsi="Consolas" w:eastAsia="Consolas" w:cs="Consolas"/>
          <w:sz w:val="20"/>
          <w:szCs w:val="20"/>
        </w:rPr>
        <w:t>GD2C_2026</w:t>
      </w:r>
      <w:r>
        <w:t>, separado del esquema de origen. La maestra solo se lee durante la carga; no la modificamos.</w:t>
      </w:r>
    </w:p>
    <w:p w14:paraId="0D9A5801">
      <w:pPr>
        <w:pStyle w:val="2"/>
        <w:jc w:val="both"/>
      </w:pPr>
      <w:bookmarkStart w:id="3" w:name="_Toc22089"/>
      <w:bookmarkStart w:id="4" w:name="_Toc28910"/>
      <w:bookmarkStart w:id="5" w:name="_Toc27425"/>
      <w:r>
        <w:t>2. Organización y normalización</w:t>
      </w:r>
      <w:bookmarkEnd w:id="3"/>
      <w:bookmarkEnd w:id="4"/>
      <w:bookmarkEnd w:id="5"/>
    </w:p>
    <w:p w14:paraId="18B79927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Catálogos.</w:t>
      </w:r>
      <w:r>
        <w:t xml:space="preserve"> Formas de pago, tipos de producto, marcas, categorías y estados tienen su propia tabla con clave numérica. Así las operaciones guardan una FK en lugar de repetir la descripción.</w:t>
      </w:r>
    </w:p>
    <w:p w14:paraId="037E69FA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Localidad.</w:t>
      </w:r>
      <w:r>
        <w:t xml:space="preserve"> Cada registro se identifica por el par localidad-provincia. Locales, clientes, empleados y proveedores apuntan a la misma tabla, lo que evita repetir esos datos en cada uno.</w:t>
      </w:r>
    </w:p>
    <w:p w14:paraId="21194389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Personas.</w:t>
      </w:r>
      <w:r>
        <w:t xml:space="preserve"> Cliente y Empleado quedaron como entidades separadas. Se podría haber usado un supertipo Persona, pero tienen atributos y roles distintos, y separarlas simplifica tanto las relaciones con las operaciones como la migración.</w:t>
      </w:r>
    </w:p>
    <w:p w14:paraId="6BA4CF59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Local y asignación laboral.</w:t>
      </w:r>
      <w:r>
        <w:t xml:space="preserve"> Ventas, compras, reparaciones y bicicletas de alquiler se vinculan con el local donde ocurre la operación o que administra la bicicleta. Empleado, en cambio, no tiene un local fijo: en las transacciones aparece trabajando en varios, y nada en los datos indica una sede permanente.</w:t>
      </w:r>
    </w:p>
    <w:p w14:paraId="26E133C5">
      <w:pPr>
        <w:jc w:val="both"/>
      </w:pPr>
      <w:r>
        <w:t>Separamos cabeceras, detalles y catálogos para eliminar redundancias y dependencias transitivas. Cada atributo quedó en la entidad del proceso al que pertenece.</w:t>
      </w:r>
    </w:p>
    <w:p w14:paraId="1F6F4B06">
      <w:bookmarkStart w:id="6" w:name="_Toc28803"/>
      <w:r>
        <w:br w:type="page"/>
      </w:r>
    </w:p>
    <w:p w14:paraId="7411215C">
      <w:pPr>
        <w:pStyle w:val="2"/>
        <w:jc w:val="both"/>
      </w:pPr>
      <w:bookmarkStart w:id="7" w:name="_Toc6079"/>
      <w:bookmarkStart w:id="8" w:name="_Toc31659"/>
      <w:r>
        <w:t>3. Productos, bicicletas y repuestos</w:t>
      </w:r>
      <w:bookmarkEnd w:id="6"/>
      <w:bookmarkEnd w:id="7"/>
      <w:bookmarkEnd w:id="8"/>
    </w:p>
    <w:p w14:paraId="5D8FF40A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Producto y subtipos.</w:t>
      </w:r>
      <w:r>
        <w:t xml:space="preserve"> Producto tiene código, nombre, descripción, precio y tipo. BicicletaVenta y Accesorio agregan lo propio de cada clase y usan </w:t>
      </w:r>
      <w:r>
        <w:rPr>
          <w:rFonts w:ascii="Consolas" w:hAnsi="Consolas" w:eastAsia="Consolas" w:cs="Consolas"/>
          <w:sz w:val="20"/>
          <w:szCs w:val="20"/>
        </w:rPr>
        <w:t>cod_producto</w:t>
      </w:r>
      <w:r>
        <w:t xml:space="preserve"> como PK y como FK al supertipo.</w:t>
      </w:r>
    </w:p>
    <w:p w14:paraId="4497E604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ModeloBicicleta.</w:t>
      </w:r>
      <w:r>
        <w:t xml:space="preserve"> Agrupa nombre, rodado, cuadro, color, marca y categoría, y lo usan las bicicletas en venta, las de alquiler y las reparaciones. Lo que identifica un modelo es esa combinación completa, y así también lo buscamos durante la migración.</w:t>
      </w:r>
    </w:p>
    <w:p w14:paraId="2118CB83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Bicicletas de alquiler.</w:t>
      </w:r>
      <w:r>
        <w:t xml:space="preserve"> Cada fila es una bicicleta física con número de serie, modelo, estado, tarifas y local. No tiene nada que ver con BicicletaVenta, que es un producto del catálogo comercial.</w:t>
      </w:r>
    </w:p>
    <w:p w14:paraId="79CFC00B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Repuesto.</w:t>
      </w:r>
      <w:r>
        <w:t xml:space="preserve"> Es un tipo de pieza del catálogo del taller, no una unidad física. Cada uso en una reparación se registra en DetalleReparacion.</w:t>
      </w:r>
    </w:p>
    <w:p w14:paraId="2F1744F3">
      <w:pPr>
        <w:jc w:val="both"/>
      </w:pPr>
      <w:r>
        <w:t>Los estados de alquiler, de bicicleta de alquiler y de reparación están en tres catálogos distintos. Los tres son "estados", pero corresponden a procesos diferentes y no tienen por qué compartir valores ni reglas.</w:t>
      </w:r>
    </w:p>
    <w:p w14:paraId="234991B8">
      <w:pPr>
        <w:pStyle w:val="2"/>
        <w:jc w:val="both"/>
      </w:pPr>
      <w:bookmarkStart w:id="9" w:name="_Toc30713"/>
      <w:bookmarkStart w:id="10" w:name="_Toc6930"/>
      <w:bookmarkStart w:id="11" w:name="_Toc14732"/>
      <w:r>
        <w:t>4. Claves y resolución de duplicados</w:t>
      </w:r>
      <w:bookmarkEnd w:id="9"/>
      <w:bookmarkEnd w:id="10"/>
      <w:bookmarkEnd w:id="11"/>
    </w:p>
    <w:p w14:paraId="2A08D18A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Id de la maestra.</w:t>
      </w:r>
      <w:r>
        <w:t xml:space="preserve"> No lo usamos como clave en ninguna tabla nueva. Identifica filas de la fuente desnormalizada, no entidades del modelo; cada entidad tiene su propia clave.</w:t>
      </w:r>
    </w:p>
    <w:p w14:paraId="7725C204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Claves subrogadas.</w:t>
      </w:r>
      <w:r>
        <w:t xml:space="preserve"> Catálogos, clientes y empleados usan claves </w:t>
      </w:r>
      <w:r>
        <w:rPr>
          <w:rFonts w:ascii="Consolas" w:hAnsi="Consolas" w:eastAsia="Consolas" w:cs="Consolas"/>
          <w:sz w:val="20"/>
          <w:szCs w:val="20"/>
        </w:rPr>
        <w:t>IDENTITY</w:t>
      </w:r>
      <w:r>
        <w:t>. En las operaciones mantuvimos como clave el número de venta, compra, alquiler o reparación que ya traía la fuente. Los detalles tienen un ID generado.</w:t>
      </w:r>
    </w:p>
    <w:p w14:paraId="62B8C7F2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DNI de clientes.</w:t>
      </w:r>
      <w:r>
        <w:t xml:space="preserve"> El DNI no es único: hay 147.613 perfiles distintos y solo 147.487 DNIs diferentes. Por eso la PK de Cliente es </w:t>
      </w:r>
      <w:r>
        <w:rPr>
          <w:rFonts w:ascii="Consolas" w:hAnsi="Consolas" w:eastAsia="Consolas" w:cs="Consolas"/>
          <w:sz w:val="20"/>
          <w:szCs w:val="20"/>
        </w:rPr>
        <w:t>cliente_id</w:t>
      </w:r>
      <w:r>
        <w:t>. El par DNI-email sí da 147.613 valores únicos en el CSV, así que le pusimos un índice único y lo usamos para asociar cada operación con su cliente al migrar.</w:t>
      </w:r>
    </w:p>
    <w:p w14:paraId="68599EE6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Renglones repetidos.</w:t>
      </w:r>
      <w:r>
        <w:t xml:space="preserve"> Una venta puede tener varias filas con el mismo código de producto. Con una PK compuesta por venta y producto habría que fusionarlas o no se podrían cargar, así que DetalleVenta tiene su propio ID y conserva cada renglón tal como viene. DetalleCompra y DetalleReparacion siguen el mismo esquema.</w:t>
      </w:r>
    </w:p>
    <w:p w14:paraId="1EB52489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Identidad del modelo.</w:t>
      </w:r>
      <w:r>
        <w:t xml:space="preserve"> El nombre del modelo solo no alcanza para garantizar unicidad. El script evita duplicados con una clave compuesta por modelo, rodado, cuadro, color, marca y categoría, y busca las bicicletas por esos mismos atributos.</w:t>
      </w:r>
    </w:p>
    <w:p w14:paraId="11A35B0C">
      <w:r>
        <w:br w:type="page"/>
      </w:r>
    </w:p>
    <w:p w14:paraId="11E665C0">
      <w:pPr>
        <w:pStyle w:val="2"/>
        <w:jc w:val="both"/>
      </w:pPr>
      <w:bookmarkStart w:id="12" w:name="_Toc30487"/>
      <w:bookmarkStart w:id="13" w:name="_Toc2161"/>
      <w:bookmarkStart w:id="14" w:name="_Toc18653"/>
      <w:r>
        <w:t>5. Operaciones e importes</w:t>
      </w:r>
      <w:bookmarkEnd w:id="12"/>
      <w:bookmarkEnd w:id="13"/>
      <w:bookmarkEnd w:id="14"/>
    </w:p>
    <w:p w14:paraId="6BFD0C10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Ventas.</w:t>
      </w:r>
      <w:r>
        <w:t xml:space="preserve"> Venta es la cabecera. DetalleVenta la vincula con cada producto e incluye cantidad, precio unitario y el subtotal tal como viene en la fuente.</w:t>
      </w:r>
    </w:p>
    <w:p w14:paraId="7130E181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Compras.</w:t>
      </w:r>
      <w:r>
        <w:t xml:space="preserve"> Compra guarda local, proveedor, empleado, fecha e importe total. DetalleCompra guarda producto, cantidad y precio unitario.</w:t>
      </w:r>
    </w:p>
    <w:p w14:paraId="4A86837B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Alquileres.</w:t>
      </w:r>
      <w:r>
        <w:t xml:space="preserve"> Alquiler se relaciona con cliente, empleado, forma de pago, estado y una bicicleta física por número de serie. La fecha de devolución real admite </w:t>
      </w:r>
      <w:r>
        <w:rPr>
          <w:rFonts w:ascii="Consolas" w:hAnsi="Consolas" w:eastAsia="Consolas" w:cs="Consolas"/>
          <w:sz w:val="20"/>
          <w:szCs w:val="20"/>
        </w:rPr>
        <w:t>NULL</w:t>
      </w:r>
      <w:r>
        <w:t xml:space="preserve"> para los alquileres que todavía no se cerraron.</w:t>
      </w:r>
    </w:p>
    <w:p w14:paraId="4B24062D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Reparaciones.</w:t>
      </w:r>
      <w:r>
        <w:t xml:space="preserve"> Reparacion guarda la bicicleta, cliente, empleado, local, modelo, estado, fechas, diagnóstico e importes. No la relacionamos con Venta ni con Compra porque son procesos distintos y la fuente no tiene ninguna clave que las vincule.</w:t>
      </w:r>
    </w:p>
    <w:p w14:paraId="5F2CC51A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Subtotal de compra.</w:t>
      </w:r>
      <w:r>
        <w:t xml:space="preserve"> DetalleCompra no lo guarda porque la maestra no tiene esa columna. Si hace falta, se calcula como cantidad × precio unitario.</w:t>
      </w:r>
    </w:p>
    <w:p w14:paraId="7831288A">
      <w:pPr>
        <w:jc w:val="both"/>
      </w:pPr>
      <w:r>
        <w:t>Respetamos los importes de la maestra aunque las cuentas no cierren exactamente. No reemplazamos ningún valor por uno recalculado ni le atribuimos una causa a las diferencias, porque no tenemos forma de probarla.</w:t>
      </w:r>
    </w:p>
    <w:p w14:paraId="18BE14D6">
      <w:pPr>
        <w:pStyle w:val="2"/>
        <w:jc w:val="both"/>
      </w:pPr>
      <w:bookmarkStart w:id="15" w:name="_Toc12651"/>
      <w:bookmarkStart w:id="16" w:name="_Toc32316"/>
      <w:bookmarkStart w:id="17" w:name="_Toc14785"/>
      <w:r>
        <w:t>6. Tipos y valores nulos</w:t>
      </w:r>
      <w:bookmarkEnd w:id="15"/>
      <w:bookmarkEnd w:id="16"/>
      <w:bookmarkEnd w:id="17"/>
    </w:p>
    <w:p w14:paraId="0DFAF28A">
      <w:pPr>
        <w:jc w:val="both"/>
      </w:pPr>
      <w:r>
        <w:t xml:space="preserve">Usamos los mismos tipos que la maestra: </w:t>
      </w:r>
      <w:r>
        <w:rPr>
          <w:rFonts w:ascii="Consolas" w:hAnsi="Consolas" w:eastAsia="Consolas" w:cs="Consolas"/>
          <w:sz w:val="20"/>
          <w:szCs w:val="20"/>
        </w:rPr>
        <w:t>VARCHAR(255)</w:t>
      </w:r>
      <w:r>
        <w:t xml:space="preserve"> para texto, </w:t>
      </w:r>
      <w:r>
        <w:rPr>
          <w:rFonts w:ascii="Consolas" w:hAnsi="Consolas" w:eastAsia="Consolas" w:cs="Consolas"/>
          <w:sz w:val="20"/>
          <w:szCs w:val="20"/>
        </w:rPr>
        <w:t>NUMERIC(38,2)</w:t>
      </w:r>
      <w:r>
        <w:t xml:space="preserve"> para importes, </w:t>
      </w:r>
      <w:r>
        <w:rPr>
          <w:rFonts w:ascii="Consolas" w:hAnsi="Consolas" w:eastAsia="Consolas" w:cs="Consolas"/>
          <w:sz w:val="20"/>
          <w:szCs w:val="20"/>
        </w:rPr>
        <w:t>INT</w:t>
      </w:r>
      <w:r>
        <w:t xml:space="preserve"> para cantidades y números de operación, y </w:t>
      </w:r>
      <w:r>
        <w:rPr>
          <w:rFonts w:ascii="Consolas" w:hAnsi="Consolas" w:eastAsia="Consolas" w:cs="Consolas"/>
          <w:sz w:val="20"/>
          <w:szCs w:val="20"/>
        </w:rPr>
        <w:t>DATETIME2(6)</w:t>
      </w:r>
      <w:r>
        <w:t xml:space="preserve"> para fechas. La precisión 6 es para no perder los seis decimales de segundo que traen las fechas de origen.</w:t>
      </w:r>
    </w:p>
    <w:p w14:paraId="13A8DA57">
      <w:pPr>
        <w:pStyle w:val="2"/>
        <w:jc w:val="both"/>
      </w:pPr>
      <w:bookmarkStart w:id="18" w:name="_Toc14166"/>
      <w:bookmarkStart w:id="19" w:name="_Toc13011"/>
      <w:bookmarkStart w:id="20" w:name="_Toc23934"/>
      <w:r>
        <w:t>7. Estrategia de migración y ejecució</w:t>
      </w:r>
      <w:bookmarkStart w:id="21" w:name="_GoBack"/>
      <w:bookmarkEnd w:id="21"/>
      <w:r>
        <w:t>n</w:t>
      </w:r>
      <w:bookmarkEnd w:id="18"/>
      <w:bookmarkEnd w:id="19"/>
      <w:bookmarkEnd w:id="20"/>
    </w:p>
    <w:p w14:paraId="5BB617B5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Esquema propio.</w:t>
      </w:r>
      <w:r>
        <w:t xml:space="preserve"> Todas las tablas y procedimientos están en </w:t>
      </w:r>
      <w:r>
        <w:rPr>
          <w:rFonts w:ascii="Consolas" w:hAnsi="Consolas" w:eastAsia="Consolas" w:cs="Consolas"/>
          <w:sz w:val="20"/>
          <w:szCs w:val="20"/>
        </w:rPr>
        <w:t>[NUTREAM]</w:t>
      </w:r>
      <w:r>
        <w:t xml:space="preserve">, separados de </w:t>
      </w:r>
      <w:r>
        <w:rPr>
          <w:rFonts w:ascii="Consolas" w:hAnsi="Consolas" w:eastAsia="Consolas" w:cs="Consolas"/>
          <w:sz w:val="20"/>
          <w:szCs w:val="20"/>
        </w:rPr>
        <w:t>[gd_esquema].[Maestra]</w:t>
      </w:r>
      <w:r>
        <w:t>.</w:t>
      </w:r>
    </w:p>
    <w:p w14:paraId="3B3042C4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Reejecución.</w:t>
      </w:r>
      <w:r>
        <w:t xml:space="preserve"> El script borra, si existen, los procedimientos y tablas de NUTREAM en orden inverso a sus dependencias y después los vuelve a crear. Cada corrida reemplaza todo el contenido y migra de nuevo, así que no se acumulan duplicados.</w:t>
      </w:r>
    </w:p>
    <w:p w14:paraId="5BD57930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Carga atómica.</w:t>
      </w:r>
      <w:r>
        <w:t xml:space="preserve"> Los procedimientos corren dentro de una transacción con </w:t>
      </w:r>
      <w:r>
        <w:rPr>
          <w:rFonts w:ascii="Consolas" w:hAnsi="Consolas" w:eastAsia="Consolas" w:cs="Consolas"/>
          <w:sz w:val="20"/>
          <w:szCs w:val="20"/>
        </w:rPr>
        <w:t>TRY/CATCH</w:t>
      </w:r>
      <w:r>
        <w:t>: si algo falla, se deshace toda la carga y se informa el error.</w:t>
      </w:r>
    </w:p>
    <w:p w14:paraId="13AB7522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Carga por conjuntos.</w:t>
      </w:r>
      <w:r>
        <w:t xml:space="preserve"> La migración usa </w:t>
      </w:r>
      <w:r>
        <w:rPr>
          <w:rFonts w:ascii="Consolas" w:hAnsi="Consolas" w:eastAsia="Consolas" w:cs="Consolas"/>
          <w:sz w:val="20"/>
          <w:szCs w:val="20"/>
        </w:rPr>
        <w:t>INSERT ... SELECT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>DISTINCT</w:t>
      </w:r>
      <w:r>
        <w:t xml:space="preserve"> en lugar de recorrer fila por fila. Las cadenas se limpian con </w:t>
      </w:r>
      <w:r>
        <w:rPr>
          <w:rFonts w:ascii="Consolas" w:hAnsi="Consolas" w:eastAsia="Consolas" w:cs="Consolas"/>
          <w:sz w:val="20"/>
          <w:szCs w:val="20"/>
        </w:rPr>
        <w:t>LTRIM</w:t>
      </w:r>
      <w:r>
        <w:t>/</w:t>
      </w:r>
      <w:r>
        <w:rPr>
          <w:rFonts w:ascii="Consolas" w:hAnsi="Consolas" w:eastAsia="Consolas" w:cs="Consolas"/>
          <w:sz w:val="20"/>
          <w:szCs w:val="20"/>
        </w:rPr>
        <w:t>RTRIM</w:t>
      </w:r>
      <w:r>
        <w:t xml:space="preserve"> para que las claves de texto coincidan.</w:t>
      </w:r>
    </w:p>
    <w:p w14:paraId="0A0A1BA9">
      <w:pPr>
        <w:pStyle w:val="21"/>
        <w:numPr>
          <w:ilvl w:val="0"/>
          <w:numId w:val="1"/>
        </w:numPr>
        <w:jc w:val="both"/>
      </w:pPr>
      <w:r>
        <w:rPr>
          <w:b/>
          <w:bCs/>
        </w:rPr>
        <w:t>Índices.</w:t>
      </w:r>
      <w:r>
        <w:t xml:space="preserve"> Además de las restricciones e índices para buscar claves durante la carga, creamos diecisiete índices no agrupados sobre las FK de las operaciones y sus detalles.</w:t>
      </w:r>
    </w:p>
    <w:sectPr>
      <w:footerReference r:id="rId6" w:type="default"/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5D5CB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70AA9">
    <w:pPr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2665730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AD9B7C">
                          <w:pPr>
                            <w:pStyle w:val="17"/>
                            <w:rPr>
                              <w:rFonts w:hint="default"/>
                              <w:sz w:val="24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sz w:val="24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8"/>
                            </w:rPr>
                            <w:t>1</w:t>
                          </w:r>
                          <w:r>
                            <w:rPr>
                              <w:sz w:val="24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hint="default"/>
                              <w:sz w:val="24"/>
                              <w:szCs w:val="28"/>
                              <w:lang w:val="es-ES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9.9pt;margin-top:0pt;height:144pt;width:144pt;mso-position-horizontal-relative:margin;mso-wrap-style:none;z-index:251662336;mso-width-relative:page;mso-height-relative:page;" filled="f" stroked="f" coordsize="21600,21600" o:gfxdata="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7wYztUAAAAIAQAADwAAAAAAAAABACAAAAAiAAAAZHJzL2Rvd25yZXYueG1sUEsBAhQAFAAAAAgA&#10;h07iQDCvxFooAgAAZwQAAA4AAAAAAAAAAQAgAAAAJA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AD9B7C">
                    <w:pPr>
                      <w:pStyle w:val="17"/>
                      <w:rPr>
                        <w:rFonts w:hint="default"/>
                        <w:sz w:val="24"/>
                        <w:szCs w:val="28"/>
                        <w:lang w:val="es-ES"/>
                      </w:rPr>
                    </w:pPr>
                    <w:r>
                      <w:rPr>
                        <w:sz w:val="24"/>
                        <w:szCs w:val="28"/>
                      </w:rPr>
                      <w:fldChar w:fldCharType="begin"/>
                    </w:r>
                    <w:r>
                      <w:rPr>
                        <w:sz w:val="24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8"/>
                      </w:rPr>
                      <w:fldChar w:fldCharType="separate"/>
                    </w:r>
                    <w:r>
                      <w:rPr>
                        <w:sz w:val="24"/>
                        <w:szCs w:val="28"/>
                      </w:rPr>
                      <w:t>1</w:t>
                    </w:r>
                    <w:r>
                      <w:rPr>
                        <w:sz w:val="24"/>
                        <w:szCs w:val="28"/>
                      </w:rPr>
                      <w:fldChar w:fldCharType="end"/>
                    </w:r>
                    <w:r>
                      <w:rPr>
                        <w:sz w:val="24"/>
                        <w:szCs w:val="28"/>
                      </w:rPr>
                      <w:t xml:space="preserve"> de </w:t>
                    </w:r>
                    <w:r>
                      <w:rPr>
                        <w:rFonts w:hint="default"/>
                        <w:sz w:val="24"/>
                        <w:szCs w:val="28"/>
                        <w:lang w:val="es-ES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bordersDoNotSurroundHeader w:val="0"/>
  <w:bordersDoNotSurroundFooter w:val="0"/>
  <w:attachedTemplate r:id="rId1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067612DB"/>
    <w:rsid w:val="0F820916"/>
    <w:rsid w:val="322D07A6"/>
    <w:rsid w:val="356B252F"/>
    <w:rsid w:val="5A8A7A7A"/>
    <w:rsid w:val="5AB14005"/>
    <w:rsid w:val="696525F7"/>
    <w:rsid w:val="6D8A12B0"/>
    <w:rsid w:val="7190020B"/>
    <w:rsid w:val="72BF2A88"/>
    <w:rsid w:val="7DDC13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140" w:line="276" w:lineRule="auto"/>
      <w:jc w:val="both"/>
    </w:pPr>
    <w:rPr>
      <w:rFonts w:ascii="Times New Roman" w:hAnsi="Times New Roman" w:eastAsia="Calibri" w:cs="Calibr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after="140"/>
      <w:outlineLvl w:val="0"/>
    </w:pPr>
    <w:rPr>
      <w:rFonts w:cs="Times New Roman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qFormat/>
    <w:uiPriority w:val="0"/>
    <w:rPr>
      <w:rFonts w:ascii="Times New Roman" w:hAnsi="Times New Roman" w:eastAsia="SimSun"/>
    </w:rPr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basedOn w:val="1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after="0" w:line="240" w:lineRule="auto"/>
      <w:jc w:val="both"/>
      <w:outlineLvl w:val="9"/>
    </w:pPr>
    <w:rPr>
      <w:rFonts w:ascii="Times New Roman" w:hAnsi="Times New Roman" w:eastAsia="SimSun" w:cs="Calibri"/>
      <w:kern w:val="2"/>
      <w:sz w:val="18"/>
      <w:szCs w:val="20"/>
      <w:lang w:val="en-US" w:eastAsia="zh-CN"/>
    </w:rPr>
  </w:style>
  <w:style w:type="paragraph" w:styleId="17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left"/>
    </w:pPr>
    <w:rPr>
      <w:rFonts w:eastAsia="SimSun" w:cs="Calibri"/>
      <w:kern w:val="2"/>
      <w:sz w:val="18"/>
      <w:szCs w:val="20"/>
      <w:lang w:val="en-US" w:eastAsia="zh-CN"/>
    </w:rPr>
  </w:style>
  <w:style w:type="paragraph" w:styleId="18">
    <w:name w:val="Subtitle"/>
    <w:basedOn w:val="1"/>
    <w:qFormat/>
    <w:uiPriority w:val="0"/>
    <w:pPr>
      <w:spacing w:after="240"/>
    </w:pPr>
    <w:rPr>
      <w:rFonts w:ascii="Times New Roman" w:hAnsi="Times New Roman" w:eastAsia="Calibri"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19">
    <w:name w:val="Title"/>
    <w:basedOn w:val="1"/>
    <w:qFormat/>
    <w:uiPriority w:val="0"/>
    <w:pPr>
      <w:spacing w:after="80"/>
    </w:pPr>
    <w:rPr>
      <w:rFonts w:ascii="Times New Roman" w:hAnsi="Times New Roman" w:eastAsia="Calibri"/>
      <w:b/>
      <w:bCs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table" w:styleId="2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List Paragraph"/>
    <w:basedOn w:val="1"/>
    <w:qFormat/>
    <w:uiPriority w:val="0"/>
  </w:style>
  <w:style w:type="character" w:customStyle="1" w:styleId="22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5"/>
    <w:semiHidden/>
    <w:unhideWhenUsed/>
    <w:qFormat/>
    <w:uiPriority w:val="99"/>
    <w:rPr>
      <w:sz w:val="20"/>
      <w:szCs w:val="20"/>
    </w:rPr>
  </w:style>
  <w:style w:type="paragraph" w:customStyle="1" w:styleId="24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6.0_x86__924xes6e8q1tw\12.2.0.23206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  <customSectPr>
      <sectNamePr val="Índice"/>
    </customSectPr>
    <customSectPr>
      <sectNamePr val="Contenido"/>
    </customSectPr>
  </customSectProps>
  <customShpExts>
    <customShpInfo spid="_x0000_s1026" textRotate="1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2026-10-30T01:47:00Z</dcterms:created>
  <dc:creator>Un-named</dc:creator>
  <cp:lastModifiedBy>Tomás Juliano</cp:lastModifiedBy>
  <dcterms:modified xsi:type="dcterms:W3CDTF">2026-10-30T02:22:23Z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9F972339443E458EAADC4948D8DAE22B_12</vt:lpwstr>
  </property>
</Properties>
</file>