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NutriAI on AWS EKS</w:t>
      </w:r>
    </w:p>
    <w:p>
      <w:pPr>
        <w:pStyle w:val="Heading2"/>
      </w:pPr>
      <w:r>
        <w:t xml:space="preserve">ALB Exposure, Auth Fix, GPU Node Pool &amp; Bedrock Readiness</w:t>
      </w:r>
    </w:p>
    <w:p>
      <w:pPr>
        <w:spacing w:after="100"/>
      </w:pPr>
      <w:r>
        <w:t xml:space="preserve">CGI-NutriAI repository — NutriAI-Project org — prepared 2026-08-14</w:t>
      </w:r>
    </w:p>
    <w:p>
      <w:pPr>
        <w:pStyle w:val="Heading1"/>
        <w:spacing w:after="150" w:before="300"/>
      </w:pPr>
      <w:r>
        <w:t xml:space="preserve">1. Status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dxa" w:w="6000"/>
            <w:shd w:fill="4A7C5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shd w:fill="4A7C5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URL (path-based, no host header)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ArgoCD URL (path-based, /argocd)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Login/registration redirect bug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— root cause confirmed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Per-microservice ALB paths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ArgoCD exposed via ALB, not host-based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GPU node pool (g4dn.xlarge, min=max=1)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Provisioning — see §6, run verify command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Bedrock — IAM/IRSA + env plumbing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 Bedrock — application code integration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done — separate task, see §7</w:t>
            </w:r>
          </w:p>
        </w:tc>
      </w:tr>
    </w:tbl>
    <w:p>
      <w:pPr>
        <w:pStyle w:val="Heading1"/>
        <w:spacing w:after="150" w:before="300"/>
      </w:pPr>
      <w:r>
        <w:t xml:space="preserve">2. URLs</w:t>
      </w:r>
    </w:p>
    <w:p>
      <w:pPr>
        <w:pStyle w:val="Heading2"/>
        <w:spacing w:after="120" w:before="250"/>
      </w:pPr>
      <w:r>
        <w:t xml:space="preserve">App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http://k8s-nutriaialb-6bb1be9d4e-97388306.us-east-1.elb.amazonaws.com/</w:t>
      </w:r>
    </w:p>
    <w:p>
      <w:pPr>
        <w:pStyle w:val="Heading2"/>
        <w:spacing w:after="120" w:before="250"/>
      </w:pPr>
      <w:r>
        <w:t xml:space="preserve">ArgoCD (path-based — no Host header, no DNS needed)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http://k8s-nutriaialb-6bb1be9d4e-97388306.us-east-1.elb.amazonaws.com/argocd/</w:t>
      </w:r>
    </w:p>
    <w:p>
      <w:pPr>
        <w:spacing w:after="100"/>
      </w:pPr>
      <w:r>
        <w:t xml:space="preserve">ArgoCD admin password (rotated from the auto-generated default):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YW12BpfYoPfTK5VksmmX</w:t>
      </w:r>
    </w:p>
    <w:p>
      <w:pPr>
        <w:spacing w:after="100"/>
      </w:pPr>
      <w:r>
        <w:t xml:space="preserve">Note: the ALB DNS name resolves to rotating IPs — if it stops responding, re-resolve rather than assuming it is down: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nslookup k8s-nutriaialb-6bb1be9d4e-97388306.us-east-1.elb.amazonaws.com</w:t>
      </w:r>
    </w:p>
    <w:p>
      <w:pPr>
        <w:pStyle w:val="Heading1"/>
        <w:spacing w:after="150" w:before="300"/>
      </w:pPr>
      <w:r>
        <w:t xml:space="preserve">3. Path-based routing (per microservice)</w:t>
      </w:r>
    </w:p>
    <w:p>
      <w:pPr>
        <w:spacing w:after="100"/>
      </w:pPr>
      <w:r>
        <w:t xml:space="preserve">All paths are on the SAME ALB hostname above — no separate URLs, no Host headers.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shd w:fill="4A7C5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000"/>
            <w:shd w:fill="4A7C5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Routes to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frontend-service (React SPA)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api-gateway-service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/auth-service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auth-service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/diet-service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diet-service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/document-service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document-service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/health-service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health-service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/notification-service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notification-service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/profile-service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profile-service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/admin-service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admin-service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/argocd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argocd-server (UI/API)</w:t>
            </w:r>
          </w:p>
        </w:tc>
      </w:tr>
    </w:tbl>
    <w:p>
      <w:pPr>
        <w:spacing w:after="100"/>
      </w:pPr>
      <w:r>
        <w:t xml:space="preserve">Each path forwards to kgateway's Envoy proxy Service at the ALB layer; the actual per-service split happens one hop further in via the existing HTTPRoute objects (unchanged, still working).</w:t>
      </w:r>
    </w:p>
    <w:p>
      <w:pPr>
        <w:pStyle w:val="Heading1"/>
        <w:spacing w:after="150" w:before="300"/>
      </w:pPr>
      <w:r>
        <w:t xml:space="preserve">4. The login/registration bug — root cause and fix</w:t>
      </w:r>
    </w:p>
    <w:p>
      <w:pPr>
        <w:spacing w:after="100"/>
      </w:pPr>
      <w:r>
        <w:t xml:space="preserve">Symptom: after registering or logging in, the app did not land on the dashboard/home page.</w:t>
      </w:r>
    </w:p>
    <w:p>
      <w:pPr>
        <w:pStyle w:val="Heading2"/>
        <w:spacing w:after="120" w:before="250"/>
      </w:pPr>
      <w:r>
        <w:t xml:space="preserve">Root cause</w:t>
      </w:r>
    </w:p>
    <w:p>
      <w:pPr>
        <w:spacing w:after="100"/>
      </w:pPr>
      <w:r>
        <w:t xml:space="preserve">auth-service and api-gateway-service both had the correct, matching JWT_SECRET_KEY in AWS Secrets Manager the whole time. But the Helm chart's ExternalSecret template used a "template.data" block to build DATABASE_URL, and the default ExternalSecrets Operator mergePolicy is "Replace" — meaning the templated block silently REPLACED the entire secret body instead of adding to it, dropping every other key pulled in via dataFrom.extract, JWT_SECRET_KEY included. Neither pod ever actually received a JWT secret. Every login token failed signature validation at /auth/me, and the app bounced back to /login.</w:t>
      </w:r>
    </w:p>
    <w:p>
      <w:pPr>
        <w:pStyle w:val="Heading2"/>
        <w:spacing w:after="120" w:before="250"/>
      </w:pPr>
      <w:r>
        <w:t xml:space="preserve">Fix</w:t>
      </w:r>
    </w:p>
    <w:p>
      <w:pPr>
        <w:spacing w:after="100"/>
      </w:pPr>
      <w:r>
        <w:t xml:space="preserve">Set mergePolicy: Merge on the ExternalSecret template (helm/nutriai/templates/externalsecret.yaml), re-applied the ExternalSecrets, and restarted the affected Deployments. Verified end-to-end with a real register -&gt; login -&gt; /auth/me round trip through the public ALB — confirmed working.</w:t>
      </w:r>
    </w:p>
    <w:p>
      <w:pPr>
        <w:pStyle w:val="Heading2"/>
        <w:spacing w:after="120" w:before="250"/>
      </w:pPr>
      <w:r>
        <w:t xml:space="preserve">Verify it yourself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curl -s -c cookies.txt -X POST http://&lt;alb-hostname&gt;/api/auth/login \</w:t>
      </w:r>
      <w:r>
        <w:rPr>
          <w:rFonts w:ascii="Consolas" w:cs="Consolas" w:eastAsia="Consolas" w:hAnsi="Consolas"/>
          <w:sz w:val="18"/>
          <w:szCs w:val="18"/>
        </w:rPr>
        <w:br/>
        <w:t xml:space="preserve">  -H "Content-Type: application/json" \</w:t>
      </w:r>
      <w:r>
        <w:rPr>
          <w:rFonts w:ascii="Consolas" w:cs="Consolas" w:eastAsia="Consolas" w:hAnsi="Consolas"/>
          <w:sz w:val="18"/>
          <w:szCs w:val="18"/>
        </w:rPr>
        <w:br/>
        <w:t xml:space="preserve">  -d '{"email":"you@example.com","password":"yourpass"}'</w:t>
      </w:r>
      <w:r>
        <w:rPr>
          <w:rFonts w:ascii="Consolas" w:cs="Consolas" w:eastAsia="Consolas" w:hAnsi="Consolas"/>
          <w:sz w:val="18"/>
          <w:szCs w:val="18"/>
        </w:rPr>
        <w:br/>
        <w:t xml:space="preserve">curl -s -b cookies.txt http://&lt;alb-hostname&gt;/api/auth/me</w:t>
      </w:r>
    </w:p>
    <w:p>
      <w:pPr>
        <w:pStyle w:val="Heading1"/>
        <w:spacing w:after="150" w:before="300"/>
      </w:pPr>
      <w:r>
        <w:t xml:space="preserve">5. ArgoCD — path-based, not host-based</w:t>
      </w:r>
    </w:p>
    <w:p>
      <w:pPr>
        <w:spacing w:after="100"/>
      </w:pPr>
      <w:r>
        <w:t xml:space="preserve">Previously used a Host header (argocd.nutriai.example.com) requiring a hosts-file entry or real DNS to browse normally. Now uses a plain path prefix (/argocd) on the bare ALB hostname — works immediately, no DNS setup.</w:t>
      </w:r>
    </w:p>
    <w:p>
      <w:pPr>
        <w:pStyle w:val="Heading2"/>
        <w:spacing w:after="120" w:before="250"/>
      </w:pPr>
      <w:r>
        <w:t xml:space="preserve">What changed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argocd-cmd-params-cm: server.basehref=/argocd, server.rootpath=/argocd, server.insecure=true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alb-ingress/04-argocd-ingress.yaml: path /argocd instead of a host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argocd-server Deployment restarted to pick up the basehref/rootpath change</w:t>
      </w:r>
    </w:p>
    <w:p>
      <w:pPr>
        <w:pStyle w:val="Heading2"/>
        <w:spacing w:after="120" w:before="250"/>
      </w:pPr>
      <w:r>
        <w:t xml:space="preserve">Two real bugs found and fixed while wiring this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group.order direction: lower number = higher ALB priority = evaluated first. The catch-all app rule was accidentally evaluated before ArgoCD’s rule, so both paths served the app. Swapped.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AWS’s own published IAM policy JSON for the AWS Load Balancer Controller is missing elasticloadbalancing:SetRulePriorities — without it the controller can compute correct rule order but gets AccessDenied applying it, forever, with no obvious surfaced error. Patched into the install script permanently.</w:t>
      </w:r>
    </w:p>
    <w:p>
      <w:pPr>
        <w:pStyle w:val="Heading1"/>
        <w:spacing w:after="150" w:before="300"/>
      </w:pPr>
      <w:r>
        <w:t xml:space="preserve">6. GPU node pool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c>
          <w:tcPr>
            <w:tcW w:type="dxa" w:w="4000"/>
            <w:shd w:fill="4A7C5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00"/>
            <w:shd w:fill="4A7C5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 group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gpu-ai-workloads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g4dn.xlarge (1x NVIDIA T4, 16GB)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 / Max / Desired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/ 1 / 1 (always-on — not scale-to-zero; see cost note)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workload=ai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Services with gpu: true in helm/nutriai/values.yaml get a matching nodeSelector + toleration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Services currently targeted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diet-service, document-service</w:t>
            </w:r>
          </w:p>
        </w:tc>
      </w:tr>
    </w:tbl>
    <w:p>
      <w:pPr>
        <w:spacing w:after="100"/>
      </w:pPr>
      <w:r>
        <w:t xml:space="preserve">COST NOTE: g4dn.xlarge is approximately $0.53/hr on-demand in us-east-1 (~$380/month if left running continuously). min=max=1 keeps it simple for a lab but means it runs 24/7 until you scale it down. To stop billing when not in use: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eksctl scale nodegroup --cluster murali-test-cluster --name gpu-ai-workloads --nodes 0 --nodes-min 0 --region us-east-1</w:t>
      </w:r>
    </w:p>
    <w:p>
      <w:pPr>
        <w:pStyle w:val="Heading2"/>
        <w:spacing w:after="120" w:before="250"/>
      </w:pPr>
      <w:r>
        <w:t xml:space="preserve">Verify it joined the cluster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get nodes -l workload=ai -o wide</w:t>
      </w:r>
    </w:p>
    <w:p>
      <w:pPr>
        <w:spacing w:after="100"/>
      </w:pPr>
      <w:r>
        <w:t xml:space="preserve">If it was still provisioning when this document was generated, that command will show nothing yet — GPU nodes take longer than regular ones (NVIDIA driver bootstrap). Re-run in a few minutes.</w:t>
      </w:r>
    </w:p>
    <w:p>
      <w:pPr>
        <w:pStyle w:val="Heading2"/>
        <w:spacing w:after="120" w:before="250"/>
      </w:pPr>
      <w:r>
        <w:t xml:space="preserve">Taint the node once it is Ready (repels non-AI pods from the expensive GPU slot)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taint node &lt;gpu-node-name&gt; nvidia.com/gpu=true:NoSchedule</w:t>
      </w:r>
    </w:p>
    <w:p>
      <w:pPr>
        <w:pStyle w:val="Heading2"/>
        <w:spacing w:after="120" w:before="250"/>
      </w:pPr>
      <w:r>
        <w:t xml:space="preserve">Confirm AI pods actually landed on it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-n nutriai-prod get pods -o wide | grep -E "diet-service|document-service"</w:t>
      </w:r>
    </w:p>
    <w:p>
      <w:pPr>
        <w:pStyle w:val="Heading1"/>
        <w:spacing w:after="150" w:before="300"/>
      </w:pPr>
      <w:r>
        <w:t xml:space="preserve">7. AWS Bedrock — what is and is not done</w:t>
      </w:r>
    </w:p>
    <w:p>
      <w:pPr>
        <w:pStyle w:val="Heading2"/>
        <w:spacing w:after="120" w:before="250"/>
      </w:pPr>
      <w:r>
        <w:t xml:space="preserve">Done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IAM policy nutriai-bedrock-access: bedrock:InvokeModel + InvokeModelWithResponseStream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Attached via IRSA to the shared nutriai-app-sa ServiceAccount (all 9 services use one SA — scope is accordingly broad, not limited to just diet/document-service)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AWS_REGION and BEDROCK_MODEL_ID env vars added to diet-service and document-service</w:t>
      </w:r>
    </w:p>
    <w:p>
      <w:pPr>
        <w:pStyle w:val="Heading2"/>
        <w:spacing w:after="120" w:before="250"/>
      </w:pPr>
      <w:r>
        <w:t xml:space="preserve">NOT done — explicitly out of scope for this pass</w:t>
      </w:r>
    </w:p>
    <w:p>
      <w:pPr>
        <w:spacing w:after="100"/>
      </w:pPr>
      <w:r>
        <w:t xml:space="preserve">Actually calling Bedrock from application code (boto3 bedrock-runtime client, prompt construction, response parsing) was not implemented. diet-service and document-service still call Azure OpenAI as before. Swapping or adding Bedrock as a provider is a real code change to services/diet-service and services/document-service, needs testing, and was not safe to rush inside this session’s time budget. Flagging clearly rather than claiming it works.</w:t>
      </w:r>
    </w:p>
    <w:p>
      <w:pPr>
        <w:pStyle w:val="Heading1"/>
        <w:spacing w:after="150" w:before="300"/>
      </w:pPr>
      <w:r>
        <w:t xml:space="preserve">8. Commands — get URLs, inspect the deployment</w:t>
      </w:r>
    </w:p>
    <w:p>
      <w:pPr>
        <w:pStyle w:val="Heading2"/>
        <w:spacing w:after="120" w:before="250"/>
      </w:pPr>
      <w:r>
        <w:t xml:space="preserve">8.1 Get the ALB hostname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aws elbv2 describe-load-balancers --region us-east-1 \</w:t>
      </w:r>
      <w:r>
        <w:rPr>
          <w:rFonts w:ascii="Consolas" w:cs="Consolas" w:eastAsia="Consolas" w:hAnsi="Consolas"/>
          <w:sz w:val="18"/>
          <w:szCs w:val="18"/>
        </w:rPr>
        <w:br/>
        <w:t xml:space="preserve">  --query "LoadBalancers[].DNSName" --output table</w:t>
      </w:r>
    </w:p>
    <w:p>
      <w:pPr>
        <w:pStyle w:val="Heading2"/>
        <w:spacing w:after="120" w:before="250"/>
      </w:pPr>
      <w:r>
        <w:t xml:space="preserve">8.2 Pods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-n nutriai-prod get pods -o wide</w:t>
      </w:r>
    </w:p>
    <w:p>
      <w:pPr>
        <w:pStyle w:val="Heading2"/>
        <w:spacing w:after="120" w:before="250"/>
      </w:pPr>
      <w:r>
        <w:t xml:space="preserve">8.3 Deployments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-n nutriai-prod get deployments</w:t>
      </w:r>
    </w:p>
    <w:p>
      <w:pPr>
        <w:pStyle w:val="Heading2"/>
        <w:spacing w:after="120" w:before="250"/>
      </w:pPr>
      <w:r>
        <w:t xml:space="preserve">8.4 Services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-n nutriai-prod get svc</w:t>
      </w:r>
    </w:p>
    <w:p>
      <w:pPr>
        <w:pStyle w:val="Heading2"/>
        <w:spacing w:after="120" w:before="250"/>
      </w:pPr>
      <w:r>
        <w:t xml:space="preserve">8.5 Secrets (names/types only — add -o yaml to see contents)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-n nutriai-prod get secrets</w:t>
      </w:r>
    </w:p>
    <w:p>
      <w:pPr>
        <w:pStyle w:val="Heading2"/>
        <w:spacing w:after="120" w:before="250"/>
      </w:pPr>
      <w:r>
        <w:t xml:space="preserve">8.6 Ingress objects (the ALB routing rules)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-n nutriai-prod get ingress nutriai-gateway -o wide</w:t>
      </w:r>
      <w:r>
        <w:rPr>
          <w:rFonts w:ascii="Consolas" w:cs="Consolas" w:eastAsia="Consolas" w:hAnsi="Consolas"/>
          <w:sz w:val="18"/>
          <w:szCs w:val="18"/>
        </w:rPr>
        <w:br/>
        <w:t xml:space="preserve">kubectl -n argocd get ingress argocd-server -o wide</w:t>
      </w:r>
    </w:p>
    <w:p>
      <w:pPr>
        <w:pStyle w:val="Heading2"/>
        <w:spacing w:after="120" w:before="250"/>
      </w:pPr>
      <w:r>
        <w:t xml:space="preserve">8.7 HPA / autoscaling status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-n nutriai-prod get hpa</w:t>
      </w:r>
    </w:p>
    <w:p>
      <w:pPr>
        <w:pStyle w:val="Heading2"/>
        <w:spacing w:after="120" w:before="250"/>
      </w:pPr>
      <w:r>
        <w:t xml:space="preserve">8.8 ArgoCD application health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-n argocd get applications</w:t>
      </w:r>
    </w:p>
    <w:p>
      <w:pPr>
        <w:pStyle w:val="Heading2"/>
        <w:spacing w:after="120" w:before="250"/>
      </w:pPr>
      <w:r>
        <w:t xml:space="preserve">8.9 GPU node status</w:t>
      </w:r>
    </w:p>
    <w:p>
      <w:pPr>
        <w:pBdr>
          <w:left w:val="single" w:color="4A7C59" w:sz="12"/>
        </w:pBdr>
        <w:shd w:fill="F0F0F0" w:val="clear"/>
        <w:spacing w:after="12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kubectl get nodes -l workload=ai -o wide</w:t>
      </w:r>
    </w:p>
    <w:p>
      <w:pPr>
        <w:pStyle w:val="Heading1"/>
        <w:spacing w:after="150" w:before="300"/>
      </w:pPr>
      <w:r>
        <w:t xml:space="preserve">9. Current live inventory (captured 2026-08-14)</w:t>
      </w:r>
    </w:p>
    <w:p>
      <w:pPr>
        <w:pStyle w:val="Heading2"/>
        <w:spacing w:after="120" w:before="250"/>
      </w:pPr>
      <w:r>
        <w:t xml:space="preserve">Pods (all 1/1 Running)</w:t>
      </w:r>
    </w:p>
    <w:p>
      <w:pPr>
        <w:spacing w:after="100"/>
      </w:pPr>
      <w:r>
        <w:t xml:space="preserve">admin-service, api-gateway-service, auth-service, diet-service, document-service, frontend-service, health-service, notification-service, nutriai-gateway, postgres-0, profile-service</w:t>
      </w:r>
    </w:p>
    <w:p>
      <w:pPr>
        <w:pStyle w:val="Heading2"/>
        <w:spacing w:after="120" w:before="250"/>
      </w:pPr>
      <w:r>
        <w:t xml:space="preserve">Secrets</w:t>
      </w:r>
    </w:p>
    <w:p>
      <w:pPr>
        <w:spacing w:after="100"/>
      </w:pPr>
      <w:r>
        <w:t xml:space="preserve">admin-service-secret, api-gateway-service-secret, auth-service-secret, diet-service-secret, document-service-secret, health-service-secret, notification-service-secret, postgres-credentials, profile-service-secret — all type Opaque, populated via ExternalSecrets from AWS Secrets Manager</w:t>
      </w:r>
    </w:p>
    <w:p>
      <w:pPr>
        <w:pStyle w:val="Heading1"/>
        <w:spacing w:after="150" w:before="300"/>
      </w:pPr>
      <w:r>
        <w:t xml:space="preserve">10. Repository</w:t>
      </w:r>
    </w:p>
    <w:p>
      <w:pPr>
        <w:spacing w:after="100"/>
      </w:pPr>
      <w:r>
        <w:t xml:space="preserve">github.com/NutriAI-Project/CGI-NutriAI — every change in this document is committed and pushed to main.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2026-08-14T08:25:01.527Z</dcterms:created>
  <dcterms:modified xsi:type="dcterms:W3CDTF">2026-08-14T08:25:01.538Z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