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6B6361"/>
          <w:sz w:val="36"/>
          <w:szCs w:val="36"/>
        </w:rPr>
        <w:t xml:space="preserve">GUÍA DETALLADA</w:t>
      </w:r>
    </w:p>
    <w:p>
      <w:pPr>
        <w:spacing w:before="200"/>
        <w:jc w:val="center"/>
      </w:pPr>
      <w:r>
        <w:rPr>
          <w:b/>
          <w:bCs/>
          <w:color w:val="26211F"/>
          <w:sz w:val="72"/>
          <w:szCs w:val="72"/>
        </w:rPr>
        <w:t xml:space="preserve">PROCESO DE ANAMNESIS</w:t>
      </w:r>
    </w:p>
    <w:p>
      <w:pPr>
        <w:spacing w:before="100"/>
        <w:jc w:val="center"/>
      </w:pPr>
      <w:r>
        <w:rPr>
          <w:b/>
          <w:bCs/>
          <w:color w:val="C19A6B"/>
          <w:sz w:val="36"/>
          <w:szCs w:val="36"/>
        </w:rPr>
        <w:t xml:space="preserve">EN CONSULTA NUTRICIONAL</w:t>
      </w:r>
    </w:p>
    <w:p>
      <w:pPr>
        <w:spacing w:before="1500"/>
      </w:pPr>
    </w:p>
    <w:p>
      <w:pPr>
        <w:jc w:val="center"/>
      </w:pPr>
      <w:r>
        <w:rPr>
          <w:i/>
          <w:iCs/>
          <w:color w:val="3D3735"/>
          <w:sz w:val="24"/>
          <w:szCs w:val="24"/>
        </w:rPr>
        <w:t xml:space="preserve">Manual Integral para la Recolección de Datos Clínicos</w:t>
      </w:r>
    </w:p>
    <w:p>
      <w:pPr>
        <w:spacing w:before="100"/>
        <w:jc w:val="center"/>
      </w:pPr>
      <w:r>
        <w:rPr>
          <w:color w:val="6B6361"/>
          <w:sz w:val="22"/>
          <w:szCs w:val="22"/>
        </w:rPr>
        <w:t xml:space="preserve">Historia Clínica y Evaluación del Estilo de Vida</w:t>
      </w:r>
    </w:p>
    <w:p>
      <w:r>
        <w:br w:type="page"/>
      </w:r>
    </w:p>
    <w:p>
      <w:pPr>
        <w:pStyle w:val="Heading1"/>
      </w:pPr>
      <w:r>
        <w:t xml:space="preserve">Índice de Contenidos</w:t>
      </w:r>
    </w:p>
    <w:sdt>
      <w:sdtPr>
        <w:alias w:val="Tabla de Contenidos"/>
      </w:sdtPr>
      <w:sdtContent>
        <w:p>
          <w:r>
            <w:fldChar w:fldCharType="begin" w:dirty="true"/>
            <w:instrText xml:space="preserve">TOC \h \o "1-3"</w:instrText>
            <w:fldChar w:fldCharType="separate"/>
          </w:r>
        </w:p>
        <w:p>
          <w:pPr>
            <w:pStyle w:val="9"/>
            <w:tabs>
              <w:tab w:val="right" w:leader="dot" w:pos="9026"/>
            </w:tabs>
          </w:pPr>
          <w:r>
            <w:t>Introducción a la Anamnesis Nutricional</w:t>
          </w:r>
          <w:r>
            <w:tab/>
          </w:r>
          <w:r>
            <w:t>3</w:t>
          </w:r>
        </w:p>
        <w:p>
          <w:pPr>
            <w:pStyle w:val="11"/>
            <w:ind w:left="360"/>
            <w:tabs>
              <w:tab w:val="right" w:leader="dot" w:pos="9026"/>
            </w:tabs>
          </w:pPr>
          <w:r>
            <w:t>Objetivos de la Anamnesis</w:t>
          </w:r>
          <w:r>
            <w:tab/>
          </w:r>
          <w:r>
            <w:t>3</w:t>
          </w:r>
        </w:p>
        <w:p>
          <w:pPr>
            <w:pStyle w:val="11"/>
            <w:ind w:left="360"/>
            <w:tabs>
              <w:tab w:val="right" w:leader="dot" w:pos="9026"/>
            </w:tabs>
          </w:pPr>
          <w:r>
            <w:t>Estructura General del Proceso</w:t>
          </w:r>
          <w:r>
            <w:tab/>
          </w:r>
          <w:r>
            <w:t>4</w:t>
          </w:r>
        </w:p>
        <w:p>
          <w:pPr>
            <w:pStyle w:val="9"/>
            <w:tabs>
              <w:tab w:val="right" w:leader="dot" w:pos="9026"/>
            </w:tabs>
          </w:pPr>
          <w:r>
            <w:t>Sección 1: Datos de Identificación</w:t>
          </w:r>
          <w:r>
            <w:tab/>
          </w:r>
          <w:r>
            <w:t>5</w:t>
          </w:r>
        </w:p>
        <w:p>
          <w:pPr>
            <w:pStyle w:val="11"/>
            <w:ind w:left="360"/>
            <w:tabs>
              <w:tab w:val="right" w:leader="dot" w:pos="9026"/>
            </w:tabs>
          </w:pPr>
          <w:r>
            <w:t>Campos Principales</w:t>
          </w:r>
          <w:r>
            <w:tab/>
          </w:r>
          <w:r>
            <w:t>5</w:t>
          </w:r>
        </w:p>
        <w:p>
          <w:pPr>
            <w:pStyle w:val="11"/>
            <w:ind w:left="360"/>
            <w:tabs>
              <w:tab w:val="right" w:leader="dot" w:pos="9026"/>
            </w:tabs>
          </w:pPr>
          <w:r>
            <w:t>Motivo de Consulta</w:t>
          </w:r>
          <w:r>
            <w:tab/>
          </w:r>
          <w:r>
            <w:t>6</w:t>
          </w:r>
        </w:p>
        <w:p>
          <w:pPr>
            <w:pStyle w:val="11"/>
            <w:ind w:left="360"/>
            <w:tabs>
              <w:tab w:val="right" w:leader="dot" w:pos="9026"/>
            </w:tabs>
          </w:pPr>
          <w:r>
            <w:t>Red de Apoyo Familiar</w:t>
          </w:r>
          <w:r>
            <w:tab/>
          </w:r>
          <w:r>
            <w:t>6</w:t>
          </w:r>
        </w:p>
        <w:p>
          <w:pPr>
            <w:pStyle w:val="9"/>
            <w:tabs>
              <w:tab w:val="right" w:leader="dot" w:pos="9026"/>
            </w:tabs>
          </w:pPr>
          <w:r>
            <w:t>Sección 2: Antecedentes Personales y Familiares</w:t>
          </w:r>
          <w:r>
            <w:tab/>
          </w:r>
          <w:r>
            <w:t>8</w:t>
          </w:r>
        </w:p>
        <w:p>
          <w:pPr>
            <w:pStyle w:val="11"/>
            <w:ind w:left="360"/>
            <w:tabs>
              <w:tab w:val="right" w:leader="dot" w:pos="9026"/>
            </w:tabs>
          </w:pPr>
          <w:r>
            <w:t>Enfermedades Crónicas</w:t>
          </w:r>
          <w:r>
            <w:tab/>
          </w:r>
          <w:r>
            <w:t>8</w:t>
          </w:r>
        </w:p>
        <w:p>
          <w:pPr>
            <w:pStyle w:val="11"/>
            <w:ind w:left="360"/>
            <w:tabs>
              <w:tab w:val="right" w:leader="dot" w:pos="9026"/>
            </w:tabs>
          </w:pPr>
          <w:r>
            <w:t>Anemia y Deficiencias de Micronutrientes</w:t>
          </w:r>
          <w:r>
            <w:tab/>
          </w:r>
          <w:r>
            <w:t>9</w:t>
          </w:r>
        </w:p>
        <w:p>
          <w:pPr>
            <w:pStyle w:val="11"/>
            <w:ind w:left="360"/>
            <w:tabs>
              <w:tab w:val="right" w:leader="dot" w:pos="9026"/>
            </w:tabs>
          </w:pPr>
          <w:r>
            <w:t>Alergias e Intolerancias Alimentarias</w:t>
          </w:r>
          <w:r>
            <w:tab/>
          </w:r>
          <w:r>
            <w:t>9</w:t>
          </w:r>
        </w:p>
        <w:p>
          <w:pPr>
            <w:pStyle w:val="11"/>
            <w:ind w:left="360"/>
            <w:tabs>
              <w:tab w:val="right" w:leader="dot" w:pos="9026"/>
            </w:tabs>
          </w:pPr>
          <w:r>
            <w:t>Antecedentes Familiares</w:t>
          </w:r>
          <w:r>
            <w:tab/>
          </w:r>
          <w:r>
            <w:t>10</w:t>
          </w:r>
        </w:p>
        <w:p>
          <w:pPr>
            <w:pStyle w:val="11"/>
            <w:ind w:left="360"/>
            <w:tabs>
              <w:tab w:val="right" w:leader="dot" w:pos="9026"/>
            </w:tabs>
          </w:pPr>
          <w:r>
            <w:t>Suplementación y Medicamentos</w:t>
          </w:r>
          <w:r>
            <w:tab/>
          </w:r>
          <w:r>
            <w:t>10</w:t>
          </w:r>
        </w:p>
        <w:p>
          <w:pPr>
            <w:pStyle w:val="9"/>
            <w:tabs>
              <w:tab w:val="right" w:leader="dot" w:pos="9026"/>
            </w:tabs>
          </w:pPr>
          <w:r>
            <w:t>Sección 3: Antecedentes Gineco-Obstétricos</w:t>
          </w:r>
          <w:r>
            <w:tab/>
          </w:r>
          <w:r>
            <w:t>11</w:t>
          </w:r>
        </w:p>
        <w:p>
          <w:pPr>
            <w:pStyle w:val="11"/>
            <w:ind w:left="360"/>
            <w:tabs>
              <w:tab w:val="right" w:leader="dot" w:pos="9026"/>
            </w:tabs>
          </w:pPr>
          <w:r>
            <w:t>Clasificación GPCA</w:t>
          </w:r>
          <w:r>
            <w:tab/>
          </w:r>
          <w:r>
            <w:t>11</w:t>
          </w:r>
        </w:p>
        <w:p>
          <w:pPr>
            <w:pStyle w:val="11"/>
            <w:ind w:left="360"/>
            <w:tabs>
              <w:tab w:val="right" w:leader="dot" w:pos="9026"/>
            </w:tabs>
          </w:pPr>
          <w:r>
            <w:t>Peso de Hijos al Nacer</w:t>
          </w:r>
          <w:r>
            <w:tab/>
          </w:r>
          <w:r>
            <w:t>12</w:t>
          </w:r>
        </w:p>
        <w:p>
          <w:pPr>
            <w:pStyle w:val="11"/>
            <w:ind w:left="360"/>
            <w:tabs>
              <w:tab w:val="right" w:leader="dot" w:pos="9026"/>
            </w:tabs>
          </w:pPr>
          <w:r>
            <w:t>Intervalo Intergenésico</w:t>
          </w:r>
          <w:r>
            <w:tab/>
          </w:r>
          <w:r>
            <w:t>12</w:t>
          </w:r>
        </w:p>
        <w:p>
          <w:pPr>
            <w:pStyle w:val="11"/>
            <w:ind w:left="360"/>
            <w:tabs>
              <w:tab w:val="right" w:leader="dot" w:pos="9026"/>
            </w:tabs>
          </w:pPr>
          <w:r>
            <w:t>Embarazo Actual</w:t>
          </w:r>
          <w:r>
            <w:tab/>
          </w:r>
          <w:r>
            <w:t>13</w:t>
          </w:r>
        </w:p>
        <w:p>
          <w:pPr>
            <w:pStyle w:val="11"/>
            <w:ind w:left="360"/>
            <w:tabs>
              <w:tab w:val="right" w:leader="dot" w:pos="9026"/>
            </w:tabs>
          </w:pPr>
          <w:r>
            <w:t>Síntomas del Embarazo</w:t>
          </w:r>
          <w:r>
            <w:tab/>
          </w:r>
          <w:r>
            <w:t>13</w:t>
          </w:r>
        </w:p>
        <w:p>
          <w:pPr>
            <w:pStyle w:val="9"/>
            <w:tabs>
              <w:tab w:val="right" w:leader="dot" w:pos="9026"/>
            </w:tabs>
          </w:pPr>
          <w:r>
            <w:t>Sección 4: Estilo de Vida</w:t>
          </w:r>
          <w:r>
            <w:tab/>
          </w:r>
          <w:r>
            <w:t>14</w:t>
          </w:r>
        </w:p>
        <w:p>
          <w:pPr>
            <w:pStyle w:val="11"/>
            <w:ind w:left="360"/>
            <w:tabs>
              <w:tab w:val="right" w:leader="dot" w:pos="9026"/>
            </w:tabs>
          </w:pPr>
          <w:r>
            <w:t>Consumo de Sustancias</w:t>
          </w:r>
          <w:r>
            <w:tab/>
          </w:r>
          <w:r>
            <w:t>14</w:t>
          </w:r>
        </w:p>
        <w:p>
          <w:pPr>
            <w:pStyle w:val="11"/>
            <w:ind w:left="360"/>
            <w:tabs>
              <w:tab w:val="right" w:leader="dot" w:pos="9026"/>
            </w:tabs>
          </w:pPr>
          <w:r>
            <w:t>Actividad Física</w:t>
          </w:r>
          <w:r>
            <w:tab/>
          </w:r>
          <w:r>
            <w:t>15</w:t>
          </w:r>
        </w:p>
        <w:p>
          <w:pPr>
            <w:pStyle w:val="11"/>
            <w:ind w:left="360"/>
            <w:tabs>
              <w:tab w:val="right" w:leader="dot" w:pos="9026"/>
            </w:tabs>
          </w:pPr>
          <w:r>
            <w:t>Sueño y Estrés</w:t>
          </w:r>
          <w:r>
            <w:tab/>
          </w:r>
          <w:r>
            <w:t>15</w:t>
          </w:r>
        </w:p>
        <w:p>
          <w:pPr>
            <w:pStyle w:val="11"/>
            <w:ind w:left="360"/>
            <w:tabs>
              <w:tab w:val="right" w:leader="dot" w:pos="9026"/>
            </w:tabs>
          </w:pPr>
          <w:r>
            <w:t>Seguridad Alimentaria</w:t>
          </w:r>
          <w:r>
            <w:tab/>
          </w:r>
          <w:r>
            <w:t>16</w:t>
          </w:r>
        </w:p>
        <w:p>
          <w:pPr>
            <w:pStyle w:val="9"/>
            <w:tabs>
              <w:tab w:val="right" w:leader="dot" w:pos="9026"/>
            </w:tabs>
          </w:pPr>
          <w:r>
            <w:t>Consideraciones Metodológicas</w:t>
          </w:r>
          <w:r>
            <w:tab/>
          </w:r>
          <w:r>
            <w:t>17</w:t>
          </w:r>
        </w:p>
        <w:p>
          <w:pPr>
            <w:pStyle w:val="11"/>
            <w:ind w:left="360"/>
            <w:tabs>
              <w:tab w:val="right" w:leader="dot" w:pos="9026"/>
            </w:tabs>
          </w:pPr>
          <w:r>
            <w:t>Técnicas de Entrevista</w:t>
          </w:r>
          <w:r>
            <w:tab/>
          </w:r>
          <w:r>
            <w:t>17</w:t>
          </w:r>
        </w:p>
        <w:p>
          <w:pPr>
            <w:pStyle w:val="11"/>
            <w:ind w:left="360"/>
            <w:tabs>
              <w:tab w:val="right" w:leader="dot" w:pos="9026"/>
            </w:tabs>
          </w:pPr>
          <w:r>
            <w:t>Registro y Documentación</w:t>
          </w:r>
          <w:r>
            <w:tab/>
          </w:r>
          <w:r>
            <w:t>17</w:t>
          </w:r>
        </w:p>
        <w:p>
          <w:pPr>
            <w:pStyle w:val="11"/>
            <w:ind w:left="360"/>
            <w:tabs>
              <w:tab w:val="right" w:leader="dot" w:pos="9026"/>
            </w:tabs>
          </w:pPr>
          <w:r>
            <w:t>Integración con la Evaluación Nutricional</w:t>
          </w:r>
          <w:r>
            <w:tab/>
          </w:r>
          <w:r>
            <w:t>18</w:t>
          </w:r>
        </w:p>
        <w:p>
          <w:r>
            <w:fldChar w:fldCharType="end"/>
          </w:r>
        </w:p>
      </w:sdtContent>
    </w:sdt>
    <w:p>
      <w:pPr>
        <w:spacing w:before="200"/>
        <w:jc w:val="center"/>
      </w:pPr>
      <w:r>
        <w:rPr>
          <w:i/>
          <w:iCs/>
          <w:color w:val="999999"/>
          <w:sz w:val="18"/>
          <w:szCs w:val="18"/>
        </w:rPr>
        <w:t xml:space="preserve">Nota: Esta tabla de contenidos se genera mediante códigos de campo. Para asegurar la precisión de los números de página, haga clic derecho sobre el índice y seleccione "Actualizar campo".</w:t>
      </w:r>
    </w:p>
    <w:p>
      <w:r>
        <w:br w:type="page"/>
      </w:r>
    </w:p>
    <w:p>
      <w:pPr>
        <w:pStyle w:val="Heading1"/>
      </w:pPr>
      <w:r>
        <w:t xml:space="preserve">Introducción a la Anamnesis Nutricional</w:t>
      </w:r>
    </w:p>
    <w:p>
      <w:pPr>
        <w:spacing w:after="200"/>
      </w:pPr>
      <w:r>
        <w:rPr>
          <w:color w:val="3D3735"/>
        </w:rPr>
        <w:t xml:space="preserve">La anamnesis constituye el pilar fundamental de toda evaluación nutricional, representando el primer contacto significativo entre el profesional de la nutrición y el paciente. Este proceso sistemático de recolección de información permite obtener una visión integral del estado de salud del individuo, sus hábitos alimentarios, antecedentes médicos relevantes y factores contextuales que influyen directamente en su bienestar nutricional. La calidad y profundidad de la anamnesis determinará en gran medida la precisión del diagnóstico nutricional y la efectividad de las intervenciones posteriores.</w:t>
      </w:r>
    </w:p>
    <w:p>
      <w:pPr>
        <w:spacing w:after="200"/>
      </w:pPr>
      <w:r>
        <w:rPr>
          <w:color w:val="3D3735"/>
        </w:rPr>
        <w:t xml:space="preserve">En el contexto de la atención nutricional, la anamnesis no se limita a una simple recolección de datos, sino que representa una oportunidad única para establecer una relación terapéutica sólida con el paciente. A través de una comunicación efectiva y empática, el nutricionista puede identificar no solo las necesidades nutricionales evidentes, sino también las barreras psicológicas, sociales y culturales que pueden afectar el cumplimiento de las recomendaciones dietéticas. Esta comprensión holística del paciente es esencial para desarrollar planes de intervención personalizados y culturalmente apropiados.</w:t>
      </w:r>
    </w:p>
    <w:p>
      <w:pPr>
        <w:pStyle w:val="Heading2"/>
      </w:pPr>
      <w:r>
        <w:t xml:space="preserve">Objetivos de la Anamnesis</w:t>
      </w:r>
    </w:p>
    <w:p>
      <w:pPr>
        <w:pStyle w:val="ListParagraph"/>
        <w:numPr>
          <w:ilvl w:val="0"/>
          <w:numId w:val="2"/>
        </w:numPr>
        <w:spacing w:after="100"/>
      </w:pPr>
      <w:r>
        <w:rPr>
          <w:color w:val="3D3735"/>
        </w:rPr>
        <w:t xml:space="preserve">Identificar el motivo de consulta y las expectativas del paciente respecto a la intervención nutricional, estableciendo metas claras y alcanzables que guíen el proceso terapéutico.</w:t>
      </w:r>
    </w:p>
    <w:p>
      <w:pPr>
        <w:pStyle w:val="ListParagraph"/>
        <w:numPr>
          <w:ilvl w:val="0"/>
          <w:numId w:val="2"/>
        </w:numPr>
        <w:spacing w:after="100"/>
      </w:pPr>
      <w:r>
        <w:rPr>
          <w:color w:val="3D3735"/>
        </w:rPr>
        <w:t xml:space="preserve">Recolectar información sobre antecedentes médicos, quirúrgicos y familiares que puedan tener implicaciones nutricionales significativas.</w:t>
      </w:r>
    </w:p>
    <w:p>
      <w:pPr>
        <w:pStyle w:val="ListParagraph"/>
        <w:numPr>
          <w:ilvl w:val="0"/>
          <w:numId w:val="2"/>
        </w:numPr>
        <w:spacing w:after="100"/>
      </w:pPr>
      <w:r>
        <w:rPr>
          <w:color w:val="3D3735"/>
        </w:rPr>
        <w:t xml:space="preserve">Evaluar los patrones de alimentación actuales, identificando fortalezas y áreas de oportunidad en la dieta del paciente.</w:t>
      </w:r>
    </w:p>
    <w:p>
      <w:pPr>
        <w:pStyle w:val="ListParagraph"/>
        <w:numPr>
          <w:ilvl w:val="0"/>
          <w:numId w:val="2"/>
        </w:numPr>
        <w:spacing w:after="100"/>
      </w:pPr>
      <w:r>
        <w:rPr>
          <w:color w:val="3D3735"/>
        </w:rPr>
        <w:t xml:space="preserve">Detectar factores de riesgo nutricional que requieran intervención inmediata o seguimiento especializado.</w:t>
      </w:r>
    </w:p>
    <w:p>
      <w:pPr>
        <w:pStyle w:val="ListParagraph"/>
        <w:numPr>
          <w:ilvl w:val="0"/>
          <w:numId w:val="2"/>
        </w:numPr>
        <w:spacing w:after="200"/>
      </w:pPr>
      <w:r>
        <w:rPr>
          <w:color w:val="3D3735"/>
        </w:rPr>
        <w:t xml:space="preserve">Establecer una línea base que permita evaluar el progreso y la efectividad de las intervenciones nutricionales implementadas.</w:t>
      </w:r>
    </w:p>
    <w:p>
      <w:pPr>
        <w:pStyle w:val="Heading2"/>
      </w:pPr>
      <w:r>
        <w:t xml:space="preserve">Estructura General del Proceso</w:t>
      </w:r>
    </w:p>
    <w:p>
      <w:pPr>
        <w:spacing w:after="200"/>
      </w:pPr>
      <w:r>
        <w:rPr>
          <w:color w:val="3D3735"/>
        </w:rPr>
        <w:t xml:space="preserve">El proceso de anamnesis se estructura en cuatro componentes principales que permiten una evaluación integral del paciente: identificación, antecedentes personales y familiares, antecedentes gineco-obstétricos (en el caso de mujeres), y evaluación del estilo de vida. Cada una de estas secciones aborda aspectos específicos que contribuyen a construir un perfil completo del estado nutricional y las necesidades individuales del paciente. La información recolectada debe ser registrada de manera sistemática en la historia clínica, garantizando su accesibilidad para futuras consultas y permitiendo el seguimiento longitudinal del paciente.</w:t>
      </w:r>
    </w:p>
    <w:p>
      <w:pPr>
        <w:pStyle w:val="Heading1"/>
      </w:pPr>
      <w:r>
        <w:t xml:space="preserve">Sección 1: Datos de Identificación</w:t>
      </w:r>
    </w:p>
    <w:p>
      <w:pPr>
        <w:spacing w:after="200"/>
      </w:pPr>
      <w:r>
        <w:rPr>
          <w:color w:val="3D3735"/>
        </w:rPr>
        <w:t xml:space="preserve">La sección de identificación constituye el primer contacto documentado con el paciente y establece los fundamentos para toda la relación terapéutica. Esta sección recopila información demográfica esencial que permite contextualizar la evaluación nutricional dentro del marco biográfico del individuo. Los datos de identificación no solo cumplen funciones administrativas y legales, sino que también proporcionan información valiosa para la interpretación de los hallazgos clínicos y la planificación de intervenciones apropiadas.</w:t>
      </w:r>
    </w:p>
    <w:p>
      <w:pPr>
        <w:pStyle w:val="Heading2"/>
      </w:pPr>
      <w:r>
        <w:t xml:space="preserve">Campos Principales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Borders>
              <w:top w:val="single" w:color="CCCCCC" w:sz="1"/>
              <w:left w:val="single" w:color="CCCCCC" w:sz="1"/>
              <w:bottom w:val="single" w:color="CCCCCC" w:sz="1"/>
              <w:right w:val="single" w:color="CCCCCC" w:sz="1"/>
            </w:tcBorders>
            <w:shd w:fill="E8D5C4" w:val="clear"/>
            <w:vAlign w:val="center"/>
          </w:tcPr>
          <w:p>
            <w:pPr>
              <w:jc w:val="center"/>
            </w:pPr>
            <w:r>
              <w:rPr>
                <w:b/>
                <w:bCs/>
                <w:sz w:val="22"/>
                <w:szCs w:val="22"/>
              </w:rPr>
              <w:t xml:space="preserve">Campo</w:t>
            </w:r>
          </w:p>
        </w:tc>
        <w:tc>
          <w:tcPr>
            <w:tcBorders>
              <w:top w:val="single" w:color="CCCCCC" w:sz="1"/>
              <w:left w:val="single" w:color="CCCCCC" w:sz="1"/>
              <w:bottom w:val="single" w:color="CCCCCC" w:sz="1"/>
              <w:right w:val="single" w:color="CCCCCC" w:sz="1"/>
            </w:tcBorders>
            <w:shd w:fill="E8D5C4" w:val="clear"/>
            <w:vAlign w:val="center"/>
          </w:tcPr>
          <w:p>
            <w:pPr>
              <w:jc w:val="center"/>
            </w:pPr>
            <w:r>
              <w:rPr>
                <w:b/>
                <w:bCs/>
                <w:sz w:val="22"/>
                <w:szCs w:val="22"/>
              </w:rPr>
              <w:t xml:space="preserve">Descripción y Fundamento Clínico</w:t>
            </w:r>
          </w:p>
        </w:tc>
      </w:tr>
      <w:tr>
        <w:tc>
          <w:tcPr>
            <w:tcBorders>
              <w:top w:val="single" w:color="CCCCCC" w:sz="1"/>
              <w:left w:val="single" w:color="CCCCCC" w:sz="1"/>
              <w:bottom w:val="single" w:color="CCCCCC" w:sz="1"/>
              <w:right w:val="single" w:color="CCCCCC" w:sz="1"/>
            </w:tcBorders>
          </w:tcPr>
          <w:p>
            <w:r>
              <w:rPr>
                <w:b/>
                <w:bCs/>
                <w:sz w:val="22"/>
                <w:szCs w:val="22"/>
              </w:rPr>
              <w:t xml:space="preserve">Nombre Completo</w:t>
            </w:r>
          </w:p>
        </w:tc>
        <w:tc>
          <w:tcPr>
            <w:tcBorders>
              <w:top w:val="single" w:color="CCCCCC" w:sz="1"/>
              <w:left w:val="single" w:color="CCCCCC" w:sz="1"/>
              <w:bottom w:val="single" w:color="CCCCCC" w:sz="1"/>
              <w:right w:val="single" w:color="CCCCCC" w:sz="1"/>
            </w:tcBorders>
          </w:tcPr>
          <w:p>
            <w:r>
              <w:rPr>
                <w:sz w:val="22"/>
                <w:szCs w:val="22"/>
              </w:rPr>
              <w:t xml:space="preserve">Identificación oficial del paciente. Permite la personalización de la atención y el seguimiento longitudinal. Es fundamental verificar la correcta escritura para evitar errores en documentos médicos y recetas.</w:t>
            </w:r>
          </w:p>
        </w:tc>
      </w:tr>
      <w:tr>
        <w:tc>
          <w:tcPr>
            <w:tcBorders>
              <w:top w:val="single" w:color="CCCCCC" w:sz="1"/>
              <w:left w:val="single" w:color="CCCCCC" w:sz="1"/>
              <w:bottom w:val="single" w:color="CCCCCC" w:sz="1"/>
              <w:right w:val="single" w:color="CCCCCC" w:sz="1"/>
            </w:tcBorders>
          </w:tcPr>
          <w:p>
            <w:r>
              <w:rPr>
                <w:b/>
                <w:bCs/>
                <w:sz w:val="22"/>
                <w:szCs w:val="22"/>
              </w:rPr>
              <w:t xml:space="preserve">Edad Actual</w:t>
            </w:r>
          </w:p>
        </w:tc>
        <w:tc>
          <w:tcPr>
            <w:tcBorders>
              <w:top w:val="single" w:color="CCCCCC" w:sz="1"/>
              <w:left w:val="single" w:color="CCCCCC" w:sz="1"/>
              <w:bottom w:val="single" w:color="CCCCCC" w:sz="1"/>
              <w:right w:val="single" w:color="CCCCCC" w:sz="1"/>
            </w:tcBorders>
          </w:tcPr>
          <w:p>
            <w:r>
              <w:rPr>
                <w:sz w:val="22"/>
                <w:szCs w:val="22"/>
              </w:rPr>
              <w:t xml:space="preserve">Determinante clave para el cálculo de requerimientos energéticos y nutrimentales. Los rangos etarios presentan necesidades específicas: adultos jóvenes (20-40 años), adultos medios (40-60 años) y adultos mayores (60+ años) tienen consideraciones nutricionales diferenciadas.</w:t>
            </w:r>
          </w:p>
        </w:tc>
      </w:tr>
      <w:tr>
        <w:tc>
          <w:tcPr>
            <w:tcBorders>
              <w:top w:val="single" w:color="CCCCCC" w:sz="1"/>
              <w:left w:val="single" w:color="CCCCCC" w:sz="1"/>
              <w:bottom w:val="single" w:color="CCCCCC" w:sz="1"/>
              <w:right w:val="single" w:color="CCCCCC" w:sz="1"/>
            </w:tcBorders>
          </w:tcPr>
          <w:p>
            <w:r>
              <w:rPr>
                <w:b/>
                <w:bCs/>
                <w:sz w:val="22"/>
                <w:szCs w:val="22"/>
              </w:rPr>
              <w:t xml:space="preserve">DNI/Identificación</w:t>
            </w:r>
          </w:p>
        </w:tc>
        <w:tc>
          <w:tcPr>
            <w:tcBorders>
              <w:top w:val="single" w:color="CCCCCC" w:sz="1"/>
              <w:left w:val="single" w:color="CCCCCC" w:sz="1"/>
              <w:bottom w:val="single" w:color="CCCCCC" w:sz="1"/>
              <w:right w:val="single" w:color="CCCCCC" w:sz="1"/>
            </w:tcBorders>
          </w:tcPr>
          <w:p>
            <w:r>
              <w:rPr>
                <w:sz w:val="22"/>
                <w:szCs w:val="22"/>
              </w:rPr>
              <w:t xml:space="preserve">Documento legal único que garantiza la identificación inequívoca del paciente. Requerido para trámites de seguro, interconsultas y referencia a otros servicios de salud.</w:t>
            </w:r>
          </w:p>
        </w:tc>
      </w:tr>
      <w:tr>
        <w:tc>
          <w:tcPr>
            <w:tcBorders>
              <w:top w:val="single" w:color="CCCCCC" w:sz="1"/>
              <w:left w:val="single" w:color="CCCCCC" w:sz="1"/>
              <w:bottom w:val="single" w:color="CCCCCC" w:sz="1"/>
              <w:right w:val="single" w:color="CCCCCC" w:sz="1"/>
            </w:tcBorders>
          </w:tcPr>
          <w:p>
            <w:r>
              <w:rPr>
                <w:b/>
                <w:bCs/>
                <w:sz w:val="22"/>
                <w:szCs w:val="22"/>
              </w:rPr>
              <w:t xml:space="preserve">Nivel Educativo</w:t>
            </w:r>
          </w:p>
        </w:tc>
        <w:tc>
          <w:tcPr>
            <w:tcBorders>
              <w:top w:val="single" w:color="CCCCCC" w:sz="1"/>
              <w:left w:val="single" w:color="CCCCCC" w:sz="1"/>
              <w:bottom w:val="single" w:color="CCCCCC" w:sz="1"/>
              <w:right w:val="single" w:color="CCCCCC" w:sz="1"/>
            </w:tcBorders>
          </w:tcPr>
          <w:p>
            <w:r>
              <w:rPr>
                <w:sz w:val="22"/>
                <w:szCs w:val="22"/>
              </w:rPr>
              <w:t xml:space="preserve">Influye directamente en la estrategia de educación nutricional. Permite adaptar el lenguaje y la complejidad de las recomendaciones al nivel de comprensión del paciente, facilitando la adherencia al tratamiento.</w:t>
            </w:r>
          </w:p>
        </w:tc>
      </w:tr>
      <w:tr>
        <w:tc>
          <w:tcPr>
            <w:tcBorders>
              <w:top w:val="single" w:color="CCCCCC" w:sz="1"/>
              <w:left w:val="single" w:color="CCCCCC" w:sz="1"/>
              <w:bottom w:val="single" w:color="CCCCCC" w:sz="1"/>
              <w:right w:val="single" w:color="CCCCCC" w:sz="1"/>
            </w:tcBorders>
          </w:tcPr>
          <w:p>
            <w:r>
              <w:rPr>
                <w:b/>
                <w:bCs/>
                <w:sz w:val="22"/>
                <w:szCs w:val="22"/>
              </w:rPr>
              <w:t xml:space="preserve">Ocupación</w:t>
            </w:r>
          </w:p>
        </w:tc>
        <w:tc>
          <w:tcPr>
            <w:tcBorders>
              <w:top w:val="single" w:color="CCCCCC" w:sz="1"/>
              <w:left w:val="single" w:color="CCCCCC" w:sz="1"/>
              <w:bottom w:val="single" w:color="CCCCCC" w:sz="1"/>
              <w:right w:val="single" w:color="CCCCCC" w:sz="1"/>
            </w:tcBorders>
          </w:tcPr>
          <w:p>
            <w:r>
              <w:rPr>
                <w:sz w:val="22"/>
                <w:szCs w:val="22"/>
              </w:rPr>
              <w:t xml:space="preserve">Proporciona información sobre el nivel de actividad física, horarios de alimentación, acceso a alimentos y posibles exposiciones ocupacionales que afecten el estado nutricional.</w:t>
            </w:r>
          </w:p>
        </w:tc>
      </w:tr>
    </w:tbl>
    <w:p>
      <w:pPr>
        <w:spacing w:after="300" w:before="100"/>
        <w:jc w:val="center"/>
      </w:pPr>
      <w:r>
        <w:rPr>
          <w:i/>
          <w:iCs/>
          <w:color w:val="6B6361"/>
          <w:sz w:val="20"/>
          <w:szCs w:val="20"/>
        </w:rPr>
        <w:t xml:space="preserve">Tabla 1. Campos principales de la sección de identificación</w:t>
      </w:r>
    </w:p>
    <w:p>
      <w:pPr>
        <w:pStyle w:val="Heading2"/>
      </w:pPr>
      <w:r>
        <w:t xml:space="preserve">Motivo de Consulta</w:t>
      </w:r>
    </w:p>
    <w:p>
      <w:pPr>
        <w:spacing w:after="200"/>
      </w:pPr>
      <w:r>
        <w:rPr>
          <w:color w:val="3D3735"/>
        </w:rPr>
        <w:t xml:space="preserve">El motivo de consulta representa la razón principal por la cual el paciente busca atención nutricional. Este campo es fundamental porque establece las expectativas del paciente y guía el enfoque de la evaluación. El motivo puede ser espontáneo (iniciativa del paciente) o derivado (referido por otro profesional de salud). Es crucial documentar este campo con las propias palabras del paciente para capturar fielmente su percepción del problema.</w:t>
      </w:r>
    </w:p>
    <w:p>
      <w:pPr>
        <w:spacing w:after="200"/>
      </w:pPr>
      <w:r>
        <w:rPr>
          <w:color w:val="3D3735"/>
        </w:rPr>
        <w:t xml:space="preserve">Ejemplos comunes de motivos de consulta en nutrición incluyen: control de peso, diabetes gestacional, síndrome metabólico, anemia ferropénica, alteraciones digestivas, alergias alimentarias, apoyo en el embarazo, ganancia de peso, pérdida de peso involuntaria, y seguimiento de dietas especiales. La claridad en el motivo de consulta permite priorizar las áreas de evaluación y establecer objetivos terapéuticos alineados con las expectativas del paciente.</w:t>
      </w:r>
    </w:p>
    <w:p>
      <w:pPr>
        <w:pStyle w:val="Heading2"/>
      </w:pPr>
      <w:r>
        <w:t xml:space="preserve">Red de Apoyo Familiar</w:t>
      </w:r>
    </w:p>
    <w:p>
      <w:pPr>
        <w:spacing w:after="200"/>
      </w:pPr>
      <w:r>
        <w:rPr>
          <w:color w:val="3D3735"/>
        </w:rPr>
        <w:t xml:space="preserve">La evaluación de la red de apoyo familiar es un componente esencial que frecuentemente se subestima en la práctica clínica. El soporte social y familiar influye significativamente en la capacidad del paciente para implementar cambios en su estilo de vida y adherirse a las recomendaciones nutricionales. Un paciente con una sólida red de apoyo tiene mayor probabilidad de éxito en el cumplimiento de las intervenciones dietéticas, mientras que la falta de apoyo puede constituir una barrera importante.</w:t>
      </w:r>
    </w:p>
    <w:p>
      <w:pPr>
        <w:spacing w:after="100"/>
      </w:pPr>
      <w:r>
        <w:rPr>
          <w:b/>
          <w:bCs/>
          <w:color w:val="3D3735"/>
        </w:rPr>
        <w:t xml:space="preserve">La clasificación de la red de apoyo se realiza en tres niveles:</w:t>
      </w:r>
    </w:p>
    <w:p>
      <w:pPr>
        <w:pStyle w:val="ListParagraph"/>
        <w:numPr>
          <w:ilvl w:val="0"/>
          <w:numId w:val="3"/>
        </w:numPr>
        <w:spacing w:after="100"/>
      </w:pPr>
      <w:r>
        <w:rPr>
          <w:color w:val="3D3735"/>
        </w:rPr>
        <w:t xml:space="preserve">Buena: El paciente cuenta con familiares o cercanos que participan activamente en el cuidado de su salud, apoyan los cambios alimentarios y proporcionan acompañamiento emocional y práctico.</w:t>
      </w:r>
    </w:p>
    <w:p>
      <w:pPr>
        <w:pStyle w:val="ListParagraph"/>
        <w:numPr>
          <w:ilvl w:val="0"/>
          <w:numId w:val="3"/>
        </w:numPr>
        <w:spacing w:after="100"/>
      </w:pPr>
      <w:r>
        <w:rPr>
          <w:color w:val="3D3735"/>
        </w:rPr>
        <w:t xml:space="preserve">Regular: El paciente tiene familiares o cercanos, pero su participación es limitada o intermitente. Pueden existir conflictos familiares o falta de comprensión sobre las necesidades nutricionales del paciente.</w:t>
      </w:r>
    </w:p>
    <w:p>
      <w:pPr>
        <w:pStyle w:val="ListParagraph"/>
        <w:numPr>
          <w:ilvl w:val="0"/>
          <w:numId w:val="3"/>
        </w:numPr>
        <w:spacing w:after="200"/>
      </w:pPr>
      <w:r>
        <w:rPr>
          <w:color w:val="3D3735"/>
        </w:rPr>
        <w:t xml:space="preserve">Sin apoyo: El paciente carece de una red de soporte significativa, ya sea por aislamiento social, conflictos familiares severos, o vivir solo sin contactos cercanos. Esta situación requiere intervenciones adicionales para garantizar el éxito terapéutico.</w:t>
      </w:r>
    </w:p>
    <w:p>
      <w:pPr>
        <w:pStyle w:val="Heading1"/>
      </w:pPr>
      <w:r>
        <w:t xml:space="preserve">Sección 2: Antecedentes Personales y Familiares</w:t>
      </w:r>
    </w:p>
    <w:p>
      <w:pPr>
        <w:spacing w:after="200"/>
      </w:pPr>
      <w:r>
        <w:rPr>
          <w:color w:val="3D3735"/>
        </w:rPr>
        <w:t xml:space="preserve">Los antecedentes personales y familiares constituyen un componente crítico de la evaluación nutricional, proporcionando información esencial sobre la predisposición del paciente a diversas condiciones de salud y las implicaciones nutricionales asociadas. Esta sección permite identificar factores de riesgo, condiciones preexistentes y patrones hereditarios que influyen directamente en las necesidades nutrimentales y las restricciones dietéticas del individuo.</w:t>
      </w:r>
    </w:p>
    <w:p>
      <w:pPr>
        <w:pStyle w:val="Heading2"/>
      </w:pPr>
      <w:r>
        <w:t xml:space="preserve">Enfermedades Crónicas</w:t>
      </w:r>
    </w:p>
    <w:p>
      <w:pPr>
        <w:spacing w:after="200"/>
      </w:pPr>
      <w:r>
        <w:rPr>
          <w:color w:val="3D3735"/>
        </w:rPr>
        <w:t xml:space="preserve">Las enfermedades crónicas representan condiciones de salud que requieren manejo nutricional específico y seguimiento a largo plazo. Cada patología presenta implicaciones nutricionales particulares que deben ser consideradas en la planificación dietética. La presencia de una o más enfermedades crónicas puede modificar significativamente los requerimientos de energía, macronutrientes y micronutrientes, así como introducir restricciones alimentarias específicas.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Borders>
              <w:top w:val="single" w:color="CCCCCC" w:sz="1"/>
              <w:left w:val="single" w:color="CCCCCC" w:sz="1"/>
              <w:bottom w:val="single" w:color="CCCCCC" w:sz="1"/>
              <w:right w:val="single" w:color="CCCCCC" w:sz="1"/>
            </w:tcBorders>
            <w:shd w:fill="E8D5C4" w:val="clear"/>
            <w:vAlign w:val="center"/>
          </w:tcPr>
          <w:p>
            <w:pPr>
              <w:jc w:val="center"/>
            </w:pPr>
            <w:r>
              <w:rPr>
                <w:b/>
                <w:bCs/>
                <w:sz w:val="22"/>
                <w:szCs w:val="22"/>
              </w:rPr>
              <w:t xml:space="preserve">Condición</w:t>
            </w:r>
          </w:p>
        </w:tc>
        <w:tc>
          <w:tcPr>
            <w:tcBorders>
              <w:top w:val="single" w:color="CCCCCC" w:sz="1"/>
              <w:left w:val="single" w:color="CCCCCC" w:sz="1"/>
              <w:bottom w:val="single" w:color="CCCCCC" w:sz="1"/>
              <w:right w:val="single" w:color="CCCCCC" w:sz="1"/>
            </w:tcBorders>
            <w:shd w:fill="E8D5C4" w:val="clear"/>
            <w:vAlign w:val="center"/>
          </w:tcPr>
          <w:p>
            <w:pPr>
              <w:jc w:val="center"/>
            </w:pPr>
            <w:r>
              <w:rPr>
                <w:b/>
                <w:bCs/>
                <w:sz w:val="22"/>
                <w:szCs w:val="22"/>
              </w:rPr>
              <w:t xml:space="preserve">Implicaciones Nutricionales</w:t>
            </w:r>
          </w:p>
        </w:tc>
      </w:tr>
      <w:tr>
        <w:tc>
          <w:tcPr>
            <w:tcBorders>
              <w:top w:val="single" w:color="CCCCCC" w:sz="1"/>
              <w:left w:val="single" w:color="CCCCCC" w:sz="1"/>
              <w:bottom w:val="single" w:color="CCCCCC" w:sz="1"/>
              <w:right w:val="single" w:color="CCCCCC" w:sz="1"/>
            </w:tcBorders>
          </w:tcPr>
          <w:p>
            <w:r>
              <w:rPr>
                <w:b/>
                <w:bCs/>
                <w:sz w:val="22"/>
                <w:szCs w:val="22"/>
              </w:rPr>
              <w:t xml:space="preserve">Diabetes Mellitus</w:t>
            </w:r>
          </w:p>
        </w:tc>
        <w:tc>
          <w:tcPr>
            <w:tcBorders>
              <w:top w:val="single" w:color="CCCCCC" w:sz="1"/>
              <w:left w:val="single" w:color="CCCCCC" w:sz="1"/>
              <w:bottom w:val="single" w:color="CCCCCC" w:sz="1"/>
              <w:right w:val="single" w:color="CCCCCC" w:sz="1"/>
            </w:tcBorders>
          </w:tcPr>
          <w:p>
            <w:r>
              <w:rPr>
                <w:sz w:val="22"/>
                <w:szCs w:val="22"/>
              </w:rPr>
              <w:t xml:space="preserve">Control de carbohidratos, índice glucémico, distribución de macronutrientes. Requiere monitoreo de glucosa capilar y ajuste de dosis de insulina según ingesta. Importante la educación en conteo de carbohidratos y reconocimiento de hipoglucemias.</w:t>
            </w:r>
          </w:p>
        </w:tc>
      </w:tr>
      <w:tr>
        <w:tc>
          <w:tcPr>
            <w:tcBorders>
              <w:top w:val="single" w:color="CCCCCC" w:sz="1"/>
              <w:left w:val="single" w:color="CCCCCC" w:sz="1"/>
              <w:bottom w:val="single" w:color="CCCCCC" w:sz="1"/>
              <w:right w:val="single" w:color="CCCCCC" w:sz="1"/>
            </w:tcBorders>
          </w:tcPr>
          <w:p>
            <w:r>
              <w:rPr>
                <w:b/>
                <w:bCs/>
                <w:sz w:val="22"/>
                <w:szCs w:val="22"/>
              </w:rPr>
              <w:t xml:space="preserve">Hipertensión Arterial</w:t>
            </w:r>
          </w:p>
        </w:tc>
        <w:tc>
          <w:tcPr>
            <w:tcBorders>
              <w:top w:val="single" w:color="CCCCCC" w:sz="1"/>
              <w:left w:val="single" w:color="CCCCCC" w:sz="1"/>
              <w:bottom w:val="single" w:color="CCCCCC" w:sz="1"/>
              <w:right w:val="single" w:color="CCCCCC" w:sz="1"/>
            </w:tcBorders>
          </w:tcPr>
          <w:p>
            <w:r>
              <w:rPr>
                <w:sz w:val="22"/>
                <w:szCs w:val="22"/>
              </w:rPr>
              <w:t xml:space="preserve">Restricción de sodio (&lt;2300 mg/día), patrón DASH, aumento de potasio y magnesio. Evaluación de consumo de alcohol y café. Importante el control de peso y actividad física regular.</w:t>
            </w:r>
          </w:p>
        </w:tc>
      </w:tr>
      <w:tr>
        <w:tc>
          <w:tcPr>
            <w:tcBorders>
              <w:top w:val="single" w:color="CCCCCC" w:sz="1"/>
              <w:left w:val="single" w:color="CCCCCC" w:sz="1"/>
              <w:bottom w:val="single" w:color="CCCCCC" w:sz="1"/>
              <w:right w:val="single" w:color="CCCCCC" w:sz="1"/>
            </w:tcBorders>
          </w:tcPr>
          <w:p>
            <w:r>
              <w:rPr>
                <w:b/>
                <w:bCs/>
                <w:sz w:val="22"/>
                <w:szCs w:val="22"/>
              </w:rPr>
              <w:t xml:space="preserve">Hipotiroidismo</w:t>
            </w:r>
          </w:p>
        </w:tc>
        <w:tc>
          <w:tcPr>
            <w:tcBorders>
              <w:top w:val="single" w:color="CCCCCC" w:sz="1"/>
              <w:left w:val="single" w:color="CCCCCC" w:sz="1"/>
              <w:bottom w:val="single" w:color="CCCCCC" w:sz="1"/>
              <w:right w:val="single" w:color="CCCCCC" w:sz="1"/>
            </w:tcBorders>
          </w:tcPr>
          <w:p>
            <w:r>
              <w:rPr>
                <w:sz w:val="22"/>
                <w:szCs w:val="22"/>
              </w:rPr>
              <w:t xml:space="preserve">Interacción con levotiroxina (evitar soya, fibra, calcio cerca de la dosis). Requerimientos de yodo, selenio y zinc. Posible aumento de peso y fatiga que afectan la adherencia dietética.</w:t>
            </w:r>
          </w:p>
        </w:tc>
      </w:tr>
      <w:tr>
        <w:tc>
          <w:tcPr>
            <w:tcBorders>
              <w:top w:val="single" w:color="CCCCCC" w:sz="1"/>
              <w:left w:val="single" w:color="CCCCCC" w:sz="1"/>
              <w:bottom w:val="single" w:color="CCCCCC" w:sz="1"/>
              <w:right w:val="single" w:color="CCCCCC" w:sz="1"/>
            </w:tcBorders>
          </w:tcPr>
          <w:p>
            <w:r>
              <w:rPr>
                <w:b/>
                <w:bCs/>
                <w:sz w:val="22"/>
                <w:szCs w:val="22"/>
              </w:rPr>
              <w:t xml:space="preserve">Enfermedad Renal</w:t>
            </w:r>
          </w:p>
        </w:tc>
        <w:tc>
          <w:tcPr>
            <w:tcBorders>
              <w:top w:val="single" w:color="CCCCCC" w:sz="1"/>
              <w:left w:val="single" w:color="CCCCCC" w:sz="1"/>
              <w:bottom w:val="single" w:color="CCCCCC" w:sz="1"/>
              <w:right w:val="single" w:color="CCCCCC" w:sz="1"/>
            </w:tcBorders>
          </w:tcPr>
          <w:p>
            <w:r>
              <w:rPr>
                <w:sz w:val="22"/>
                <w:szCs w:val="22"/>
              </w:rPr>
              <w:t xml:space="preserve">Restricción de proteínas, potasio, fósforo y sodio según estadio. Ajuste de líquidos. Manejo de alteraciones electrolíticas. Coordinación con nefrólogo para ajustes según función renal.</w:t>
            </w:r>
          </w:p>
        </w:tc>
      </w:tr>
      <w:tr>
        <w:tc>
          <w:tcPr>
            <w:tcBorders>
              <w:top w:val="single" w:color="CCCCCC" w:sz="1"/>
              <w:left w:val="single" w:color="CCCCCC" w:sz="1"/>
              <w:bottom w:val="single" w:color="CCCCCC" w:sz="1"/>
              <w:right w:val="single" w:color="CCCCCC" w:sz="1"/>
            </w:tcBorders>
          </w:tcPr>
          <w:p>
            <w:r>
              <w:rPr>
                <w:b/>
                <w:bCs/>
                <w:sz w:val="22"/>
                <w:szCs w:val="22"/>
              </w:rPr>
              <w:t xml:space="preserve">Cardiopatía</w:t>
            </w:r>
          </w:p>
        </w:tc>
        <w:tc>
          <w:tcPr>
            <w:tcBorders>
              <w:top w:val="single" w:color="CCCCCC" w:sz="1"/>
              <w:left w:val="single" w:color="CCCCCC" w:sz="1"/>
              <w:bottom w:val="single" w:color="CCCCCC" w:sz="1"/>
              <w:right w:val="single" w:color="CCCCCC" w:sz="1"/>
            </w:tcBorders>
          </w:tcPr>
          <w:p>
            <w:r>
              <w:rPr>
                <w:sz w:val="22"/>
                <w:szCs w:val="22"/>
              </w:rPr>
              <w:t xml:space="preserve">Control de grasas saturadas y trans, aumento de omega-3, fibra soluble. Restricción de sodio. Manejo de dislipidemias asociadas. Evaluación de capacidad física para actividad.</w:t>
            </w:r>
          </w:p>
        </w:tc>
      </w:tr>
    </w:tbl>
    <w:p>
      <w:pPr>
        <w:spacing w:after="300" w:before="100"/>
        <w:jc w:val="center"/>
      </w:pPr>
      <w:r>
        <w:rPr>
          <w:i/>
          <w:iCs/>
          <w:color w:val="6B6361"/>
          <w:sz w:val="20"/>
          <w:szCs w:val="20"/>
        </w:rPr>
        <w:t xml:space="preserve">Tabla 2. Enfermedades crónicas y sus implicaciones nutricionales</w:t>
      </w:r>
    </w:p>
    <w:p>
      <w:pPr>
        <w:pStyle w:val="Heading2"/>
      </w:pPr>
      <w:r>
        <w:t xml:space="preserve">Anemia y Deficiencias de Micronutrientes</w:t>
      </w:r>
    </w:p>
    <w:p>
      <w:pPr>
        <w:spacing w:after="200"/>
      </w:pPr>
      <w:r>
        <w:rPr>
          <w:color w:val="3D3735"/>
        </w:rPr>
        <w:t xml:space="preserve">La presencia de anemia o deficiencias de micronutrientes constituye un hallazgo frecuente en la práctica nutricional que requiere evaluación y manejo específico. La anemia ferropénica es la deficiencia nutricional más prevalente a nivel mundial, afectando particularmente a mujeres en edad fértil, embarazadas y niños. Sin embargo, otras deficiencias como la de vitamina B12, ácido fólico, vitamina D, zinc y yodo también son relevantes desde el punto de vista nutricional.</w:t>
      </w:r>
    </w:p>
    <w:p>
      <w:pPr>
        <w:spacing w:after="200"/>
      </w:pPr>
      <w:r>
        <w:rPr>
          <w:color w:val="3D3735"/>
        </w:rPr>
        <w:t xml:space="preserve">La identificación de deficiencias específicas permite implementar intervenciones nutricionales dirigidas, incluyendo la recomendación de alimentos fuentes, la prescripción de suplementación cuando sea necesario, y el seguimiento de la respuesta al tratamiento. Es importante investigar las causas subyacentes de las deficiencias, que pueden incluir ingesta insuficiente, malabsorción, pérdidas aumentadas o mayor requerimiento.</w:t>
      </w:r>
    </w:p>
    <w:p>
      <w:pPr>
        <w:pStyle w:val="Heading2"/>
      </w:pPr>
      <w:r>
        <w:t xml:space="preserve">Alergias e Intolerancias Alimentarias</w:t>
      </w:r>
    </w:p>
    <w:p>
      <w:pPr>
        <w:spacing w:after="200"/>
      </w:pPr>
      <w:r>
        <w:rPr>
          <w:color w:val="3D3735"/>
        </w:rPr>
        <w:t xml:space="preserve">Las alergias alimentarias representan reacciones inmunológicas mediadas por IgE que pueden poner en riesgo la vida del paciente, mientras que las intolerancias alimentarias son reacciones no inmunológicas que causan síntomas gastrointestinales o sistémicos molestos. La distinción entre ambas condiciones es fundamental para el manejo nutricional apropiado. Las alergias requieren evitación estricta del alérgeno y educación sobre la lectura de etiquetas, mientras que las intolerancias pueden permitir cantidades variables del alimento problemático.</w:t>
      </w:r>
    </w:p>
    <w:p>
      <w:pPr>
        <w:spacing w:after="100"/>
      </w:pPr>
      <w:r>
        <w:rPr>
          <w:b/>
          <w:bCs/>
          <w:color w:val="3D3735"/>
        </w:rPr>
        <w:t xml:space="preserve">Las alergias e intolerancias más frecuentes incluyen:</w:t>
      </w:r>
    </w:p>
    <w:p>
      <w:pPr>
        <w:pStyle w:val="ListParagraph"/>
        <w:numPr>
          <w:ilvl w:val="0"/>
          <w:numId w:val="3"/>
        </w:numPr>
        <w:spacing w:after="100"/>
      </w:pPr>
      <w:r>
        <w:rPr>
          <w:color w:val="3D3735"/>
        </w:rPr>
        <w:t xml:space="preserve">Alergia a proteína de leche de vaca: Común en lactantes, requiere fórmula extensamente hidrolizada o elemental. Puede presentar resolución espontánea en la infancia.</w:t>
      </w:r>
    </w:p>
    <w:p>
      <w:pPr>
        <w:pStyle w:val="ListParagraph"/>
        <w:numPr>
          <w:ilvl w:val="0"/>
          <w:numId w:val="3"/>
        </w:numPr>
        <w:spacing w:after="100"/>
      </w:pPr>
      <w:r>
        <w:rPr>
          <w:color w:val="3D3735"/>
        </w:rPr>
        <w:t xml:space="preserve">Intolerancia a la lactosa: Deficiencia de lactasa que causa síntomas gastrointestinales. Manejo con reducción de lácteos o uso de lactasa exógena.</w:t>
      </w:r>
    </w:p>
    <w:p>
      <w:pPr>
        <w:pStyle w:val="ListParagraph"/>
        <w:numPr>
          <w:ilvl w:val="0"/>
          <w:numId w:val="3"/>
        </w:numPr>
        <w:spacing w:after="100"/>
      </w:pPr>
      <w:r>
        <w:rPr>
          <w:color w:val="3D3735"/>
        </w:rPr>
        <w:t xml:space="preserve">Enfermedad celíaca: Intolerancia permanente al gluten que causa atrofia de vellosidades intestinales. Requiere dieta libre de gluten de por vida.</w:t>
      </w:r>
    </w:p>
    <w:p>
      <w:pPr>
        <w:pStyle w:val="ListParagraph"/>
        <w:numPr>
          <w:ilvl w:val="0"/>
          <w:numId w:val="3"/>
        </w:numPr>
        <w:spacing w:after="200"/>
      </w:pPr>
      <w:r>
        <w:rPr>
          <w:color w:val="3D3735"/>
        </w:rPr>
        <w:t xml:space="preserve">Alergia al maní y frutos secos: Potencialmente grave, requiere evitación estricta y portación de adrenalina autoinyectable.</w:t>
      </w:r>
    </w:p>
    <w:p>
      <w:pPr>
        <w:pStyle w:val="Heading2"/>
      </w:pPr>
      <w:r>
        <w:t xml:space="preserve">Antecedentes Familiares</w:t>
      </w:r>
    </w:p>
    <w:p>
      <w:pPr>
        <w:spacing w:after="200"/>
      </w:pPr>
      <w:r>
        <w:rPr>
          <w:color w:val="3D3735"/>
        </w:rPr>
        <w:t xml:space="preserve">Los antecedentes familiares permiten identificar la predisposición genética del paciente a diversas condiciones con componentes nutricionales relevantes. La presencia de diabetes tipo 2, hipertensión arterial, obesidad, preeclampsia, prematuridad o defectos del tubo neural en familiares de primer grado aumenta el riesgo del paciente de desarrollar estas condiciones. Esta información es particularmente importante en el contexto del embarazo, donde los antecedentes familiares pueden orientar la prevención de complicaciones.</w:t>
      </w:r>
    </w:p>
    <w:p>
      <w:pPr>
        <w:spacing w:after="200"/>
      </w:pPr>
      <w:r>
        <w:rPr>
          <w:color w:val="3D3735"/>
        </w:rPr>
        <w:t xml:space="preserve">Es importante documentar el parentesco específico de cada antecedente familiar, ya que el grado de relación influye en el nivel de riesgo. Los familiares de primer grado (padres, hermanos, hijos) comparten aproximadamente el 50% del material genético, mientras que los de segundo grado (abuelos, tíos) comparten el 25%. Esta información permite estratificar el riesgo del paciente y priorizar las intervenciones preventivas apropiadas.</w:t>
      </w:r>
    </w:p>
    <w:p>
      <w:pPr>
        <w:pStyle w:val="Heading2"/>
      </w:pPr>
      <w:r>
        <w:t xml:space="preserve">Suplementación y Medicamentos</w:t>
      </w:r>
    </w:p>
    <w:p>
      <w:pPr>
        <w:spacing w:after="200"/>
      </w:pPr>
      <w:r>
        <w:rPr>
          <w:color w:val="3D3735"/>
        </w:rPr>
        <w:t xml:space="preserve">El registro de la suplementación actual del paciente es fundamental para evitar duplicaciones y evaluar la adecuación de las dosis. Los suplementos más frecuentes en la práctica nutricional incluyen ácido fólico, hierro, calcio, vitamina B12 y vitamina D. Cada uno de estos tiene indicaciones específicas, dosis recomendadas y potenciales interacciones que deben ser consideradas en la planificación nutricional.</w:t>
      </w:r>
    </w:p>
    <w:p>
      <w:pPr>
        <w:spacing w:after="200"/>
      </w:pPr>
      <w:r>
        <w:rPr>
          <w:color w:val="3D3735"/>
        </w:rPr>
        <w:t xml:space="preserve">Los medicamentos actuales también deben ser documentados detalladamente, ya que muchos fármacos tienen interacciones significativas con nutrientes. Por ejemplo, los antiácidos pueden reducir la absorción de hierro y vitamina B12; la metformina puede causar deficiencia de vitamina B12; los diuréticos pueden alterar el balance de potasio y magnesio; y los antibióticos pueden afectar la microbiota intestinal. El conocimiento de estas interacciones permite implementar estrategias preventivas y ajustar las recomendaciones nutricionales apropiadamente.</w:t>
      </w:r>
    </w:p>
    <w:p>
      <w:pPr>
        <w:pStyle w:val="Heading1"/>
      </w:pPr>
      <w:r>
        <w:t xml:space="preserve">Sección 3: Antecedentes Gineco-Obstétricos</w:t>
      </w:r>
    </w:p>
    <w:p>
      <w:pPr>
        <w:spacing w:after="200"/>
      </w:pPr>
      <w:r>
        <w:rPr>
          <w:color w:val="3D3735"/>
        </w:rPr>
        <w:t xml:space="preserve">Los antecedentes gineco-obstétricos constituyen un componente esencial de la evaluación nutricional en mujeres, particularmente durante el embarazo. Esta sección recopila información sobre el historial reproductivo previo y las características del embarazo actual cuando aplica. La información obtenida permite identificar factores de riesgo obstétrico, estimar requerimientos nutricionales específicos y planificar intervenciones preventivas para complicaciones relacionadas con la nutrición materna.</w:t>
      </w:r>
    </w:p>
    <w:p>
      <w:pPr>
        <w:pStyle w:val="Heading2"/>
      </w:pPr>
      <w:r>
        <w:t xml:space="preserve">Clasificación GPCA</w:t>
      </w:r>
    </w:p>
    <w:p>
      <w:pPr>
        <w:spacing w:after="200"/>
      </w:pPr>
      <w:r>
        <w:rPr>
          <w:color w:val="3D3735"/>
        </w:rPr>
        <w:t xml:space="preserve">La clasificación GPCA (Gestas, Partos, Cesáreas, Abortos) proporciona un resumen estandarizado del historial reproductivo de la paciente. Esta nomenclatura permite comunicar de manera concisa y universal la experiencia obstétrica previa. Los valores registrados en cada categoría tienen implicaciones nutricionales específicas que deben ser consideradas en la evaluación y planificación dietética.</w:t>
      </w:r>
    </w:p>
    <w:p>
      <w:pPr>
        <w:pStyle w:val="ListParagraph"/>
        <w:numPr>
          <w:ilvl w:val="0"/>
          <w:numId w:val="4"/>
        </w:numPr>
        <w:spacing w:after="100"/>
      </w:pPr>
      <w:r>
        <w:rPr>
          <w:color w:val="3D3735"/>
        </w:rPr>
        <w:t xml:space="preserve">Gestas (G): Número total de embarazos, independientemente de su desenlace. Cada embarazo representa un desgaste nutricional significativo, particularmente de las reservas de hierro, calcio y ácido fólico. Mujeres con múltiples gestaciones tienen mayor riesgo de deficiencias nutricionales.</w:t>
      </w:r>
    </w:p>
    <w:p>
      <w:pPr>
        <w:pStyle w:val="ListParagraph"/>
        <w:numPr>
          <w:ilvl w:val="0"/>
          <w:numId w:val="4"/>
        </w:numPr>
        <w:spacing w:after="100"/>
      </w:pPr>
      <w:r>
        <w:rPr>
          <w:color w:val="3D3735"/>
        </w:rPr>
        <w:t xml:space="preserve">Partos (P): Número de partos vaginales. El parto vaginal se asocia con pérdidas sanguíneas moderadas que contribuyen al agotamiento de las reservas de hierro. La recuperación nutricional postparto debe considerar este factor.</w:t>
      </w:r>
    </w:p>
    <w:p>
      <w:pPr>
        <w:pStyle w:val="ListParagraph"/>
        <w:numPr>
          <w:ilvl w:val="0"/>
          <w:numId w:val="4"/>
        </w:numPr>
        <w:spacing w:after="100"/>
      </w:pPr>
      <w:r>
        <w:rPr>
          <w:color w:val="3D3735"/>
        </w:rPr>
        <w:t xml:space="preserve">Cesáreas (C): Número de cesáreas realizadas. Las cesáreas implican pérdidas sanguíneas mayores que el parto vaginal y un período de recuperación más prolongado. Las adherencias abdominales pueden afectar la función gastrointestinal.</w:t>
      </w:r>
    </w:p>
    <w:p>
      <w:pPr>
        <w:pStyle w:val="ListParagraph"/>
        <w:numPr>
          <w:ilvl w:val="0"/>
          <w:numId w:val="4"/>
        </w:numPr>
        <w:spacing w:after="200"/>
      </w:pPr>
      <w:r>
        <w:rPr>
          <w:color w:val="3D3735"/>
        </w:rPr>
        <w:t xml:space="preserve">Abortos (A): Número de abortos espontáneos o inducidos. Los abortos, especialmente los del segundo trimestre, pueden causar pérdidas significativas de sangre y nutrientes. Múltiples abortos pueden indicar condiciones subyacentes con implicaciones nutricionales.</w:t>
      </w:r>
    </w:p>
    <w:p>
      <w:pPr>
        <w:pStyle w:val="Heading2"/>
      </w:pPr>
      <w:r>
        <w:t xml:space="preserve">Peso de Hijos al Nacer</w:t>
      </w:r>
    </w:p>
    <w:p>
      <w:pPr>
        <w:spacing w:after="200"/>
      </w:pPr>
      <w:r>
        <w:rPr>
          <w:color w:val="3D3735"/>
        </w:rPr>
        <w:t xml:space="preserve">El registro del peso de los hijos al nacer proporciona información valiosa sobre la historia nutricional materna. Los hijos con bajo peso al nacer (&lt;2500 g) pueden indicar restricción del crecimiento intrauterino relacionada con deficiencias nutricionales maternas, mientras que los hijos macrosómicos (&gt;4000 g) pueden sugerir diabetes gestacional no diagnosticada o sobrenutrición materna. Ambos extremos tienen implicaciones para la salud metabólica a largo plazo tanto de la madre como de los hijos.</w:t>
      </w:r>
    </w:p>
    <w:p>
      <w:pPr>
        <w:spacing w:after="200"/>
      </w:pPr>
      <w:r>
        <w:rPr>
          <w:color w:val="3D3735"/>
        </w:rPr>
        <w:t xml:space="preserve">La tendencia de los pesos de nacimiento a lo largo de los embarazos sucesivos también es informativa. Un patrón de pesos progresivamente decrecientes puede indicar agotamiento de las reservas maternas entre embarazos, mientras que pesos progresivamente crecientes pueden sugerir aumento gradual del peso materno o desarrollo de resistencia a la insulina.</w:t>
      </w:r>
    </w:p>
    <w:p>
      <w:pPr>
        <w:pStyle w:val="Heading2"/>
      </w:pPr>
      <w:r>
        <w:t xml:space="preserve">Intervalo Intergenésico</w:t>
      </w:r>
    </w:p>
    <w:p>
      <w:pPr>
        <w:spacing w:after="200"/>
      </w:pPr>
      <w:r>
        <w:rPr>
          <w:color w:val="3D3735"/>
        </w:rPr>
        <w:t xml:space="preserve">El intervalo intergenésico es el tiempo transcurrido entre el parto anterior y la concepción del embarazo actual. Este parámetro tiene profundas implicaciones nutricionales, ya que la recuperación de las reservas maternas de hierro, folato y otros nutrientes requiere un período mínimo. La Organización Mundial de la Salud recomienda un intervalo mínimo de 24 meses entre embarazos para permitir la recuperación nutricional completa de la madre y reducir el riesgo de complicaciones obstétricas.</w:t>
      </w:r>
    </w:p>
    <w:p>
      <w:pPr>
        <w:spacing w:after="200"/>
      </w:pPr>
      <w:r>
        <w:rPr>
          <w:color w:val="3D3735"/>
        </w:rPr>
        <w:t xml:space="preserve">Los intervalos cortos (&lt;18 meses) se asocian con mayor riesgo de parto prematuro, bajo peso al nacer, anemia materna y depleción de reservas nutricionales. En estas pacientes, la intervención nutricional debe ser más intensiva, con énfasis en la suplementación agresiva de hierro y otros nutrientes críticos, así como en la optimización de la dieta para acelerar la recuperación de las reservas maternas.</w:t>
      </w:r>
    </w:p>
    <w:p>
      <w:pPr>
        <w:pStyle w:val="Heading2"/>
      </w:pPr>
      <w:r>
        <w:t xml:space="preserve">Embarazo Actual</w:t>
      </w:r>
    </w:p>
    <w:p>
      <w:pPr>
        <w:spacing w:after="200"/>
      </w:pPr>
      <w:r>
        <w:rPr>
          <w:color w:val="3D3735"/>
        </w:rPr>
        <w:t xml:space="preserve">La sección del embarazo actual recopila información específica sobre la gestación en curso, incluyendo la fecha de última menstruación (FUM), edad gestacional calculada, tipo de embarazo (simple o múltiple), fecha probable de parto, síntomas actuales y complicaciones presentes. Cada uno de estos elementos tiene implicaciones nutricionales específicas que guían la intervención dietética.</w:t>
      </w:r>
    </w:p>
    <w:p>
      <w:pPr>
        <w:spacing w:after="100"/>
      </w:pPr>
      <w:r>
        <w:rPr>
          <w:b/>
          <w:bCs/>
          <w:color w:val="3D3735"/>
        </w:rPr>
        <w:t xml:space="preserve">Componentes clave de la evaluación del embarazo actual:</w:t>
      </w:r>
    </w:p>
    <w:p>
      <w:pPr>
        <w:pStyle w:val="ListParagraph"/>
        <w:numPr>
          <w:ilvl w:val="0"/>
          <w:numId w:val="3"/>
        </w:numPr>
        <w:spacing w:after="100"/>
      </w:pPr>
      <w:r>
        <w:rPr>
          <w:color w:val="3D3735"/>
        </w:rPr>
        <w:t xml:space="preserve">Fecha de última menstruación (FUM): Permite calcular la edad gestacional y la fecha probable de parto. Determina las necesidades nutricionales según el trimestre de embarazo.</w:t>
      </w:r>
    </w:p>
    <w:p>
      <w:pPr>
        <w:pStyle w:val="ListParagraph"/>
        <w:numPr>
          <w:ilvl w:val="0"/>
          <w:numId w:val="3"/>
        </w:numPr>
        <w:spacing w:after="100"/>
      </w:pPr>
      <w:r>
        <w:rPr>
          <w:color w:val="3D3735"/>
        </w:rPr>
        <w:t xml:space="preserve">Tipo de embarazo: Los embarazos múltiples (gemelares o más) tienen requerimientos nutricionales significativamente mayores que los embarazos simples, requiriendo mayor ingesta calórica, proteica y de micronutrientes.</w:t>
      </w:r>
    </w:p>
    <w:p>
      <w:pPr>
        <w:pStyle w:val="ListParagraph"/>
        <w:numPr>
          <w:ilvl w:val="0"/>
          <w:numId w:val="3"/>
        </w:numPr>
        <w:spacing w:after="200"/>
      </w:pPr>
      <w:r>
        <w:rPr>
          <w:color w:val="3D3735"/>
        </w:rPr>
        <w:t xml:space="preserve">Síntomas actuales: Las náuseas, vómitos, acidez, estreñimiento y pica son síntomas comunes que pueden afectar significativamente la ingesta alimentaria y requerir estrategias dietéticas específicas para su manejo.</w:t>
      </w:r>
    </w:p>
    <w:p>
      <w:pPr>
        <w:pStyle w:val="Heading2"/>
      </w:pPr>
      <w:r>
        <w:t xml:space="preserve">Síntomas del Embarazo</w:t>
      </w:r>
    </w:p>
    <w:p>
      <w:pPr>
        <w:spacing w:after="200"/>
      </w:pPr>
      <w:r>
        <w:rPr>
          <w:color w:val="3D3735"/>
        </w:rPr>
        <w:t xml:space="preserve">Los síntomas del embarazo pueden afectar significativamente la ingesta alimentaria y el estado nutricional materno. Las náuseas y vómitos del embarazo, que afectan hasta el 80% de las gestantes, pueden causar ingesta insuficiente y pérdida de peso en casos severos. La hiperemesis gravídica, la forma más severa, requiere intervención médica y nutricional intensiva. Las estrategias dietéticas incluyen comidas pequeñas y frecuentes, alimentos secos al despertar, evitar olores desencadenantes y asegurar una adecuada hidratación.</w:t>
      </w:r>
    </w:p>
    <w:p>
      <w:pPr>
        <w:spacing w:after="200"/>
      </w:pPr>
      <w:r>
        <w:rPr>
          <w:color w:val="3D3735"/>
        </w:rPr>
        <w:t xml:space="preserve">El pica, definido como el deseo irresistible de consumir sustancias no nutritivas como hielo, tierra, arcilla o almidón, es un síntoma frecuente que puede indicar deficiencias nutricionales subyacentes, particularmente de hierro y zinc. Su identificación es importante porque puede interferir con la absorción de nutrientes y causar toxicidad dependiendo de la sustancia consumida. La acidez y el estreñimiento son otros síntomas comunes que requieren intervenciones dietéticas específicas.</w:t>
      </w:r>
    </w:p>
    <w:p>
      <w:pPr>
        <w:pStyle w:val="Heading1"/>
      </w:pPr>
      <w:r>
        <w:t xml:space="preserve">Sección 4: Estilo de Vida</w:t>
      </w:r>
    </w:p>
    <w:p>
      <w:pPr>
        <w:spacing w:after="200"/>
      </w:pPr>
      <w:r>
        <w:rPr>
          <w:color w:val="3D3735"/>
        </w:rPr>
        <w:t xml:space="preserve">La evaluación del estilo de vida complementa la información clínica con datos sobre hábitos y comportamientos que influyen directamente en el estado nutricional y la salud general del individuo. Esta sección aborda aspectos como el consumo de sustancias, la actividad física, los patrones de sueño, el nivel de estrés y la seguridad alimentaria. La comprensión de estos factores es esencial para desarrollar intervenciones nutricionales realistas y sostenibles que se integren al contexto de vida del paciente.</w:t>
      </w:r>
    </w:p>
    <w:p>
      <w:pPr>
        <w:pStyle w:val="Heading2"/>
      </w:pPr>
      <w:r>
        <w:t xml:space="preserve">Consumo de Sustancias</w:t>
      </w:r>
    </w:p>
    <w:p>
      <w:pPr>
        <w:spacing w:after="200"/>
      </w:pPr>
      <w:r>
        <w:rPr>
          <w:color w:val="3D3735"/>
        </w:rPr>
        <w:t xml:space="preserve">El consumo de alcohol, tabaco y otras sustancias tiene implicaciones nutricionales significativas que van más allá de los efectos tóxicos directos. El alcohol interfiere con la absorción y metabolismo de múltiples nutrientes, incluyendo tiamina, ácido fólico, vitamina B12, zinc y vitamina A. Además, las calorías provenientes del alcohol pueden desplazar alimentos nutritivos de la dieta, contribuyendo a deficiencias nutricionales. El tabaquismo aumenta los requerimientos de vitamina C y otros antioxidantes debido al estrés oxidativo inducido por los componentes del humo de tabaco.</w:t>
      </w:r>
    </w:p>
    <w:p>
      <w:pPr>
        <w:spacing w:after="200"/>
      </w:pPr>
      <w:r>
        <w:rPr>
          <w:color w:val="3D3735"/>
        </w:rPr>
        <w:t xml:space="preserve">En el contexto del embarazo, el consumo de cualquier cantidad de alcohol o tabaco es completamente contraindicado debido a los riesgos de teratogenicidad, restricción del crecimiento intrauterino, parto prematuro y síndrome alcohólico fetal. La identificación del consumo de sustancias permite implementar intervenciones de cesación apropiadas y ajustar las recomendaciones nutricionales para compensar las pérdidas aumentadas de nutrientes específicos.</w:t>
      </w:r>
    </w:p>
    <w:p>
      <w:pPr>
        <w:pStyle w:val="Heading2"/>
      </w:pPr>
      <w:r>
        <w:t xml:space="preserve">Actividad Física</w:t>
      </w:r>
    </w:p>
    <w:p>
      <w:pPr>
        <w:spacing w:after="200"/>
      </w:pPr>
      <w:r>
        <w:rPr>
          <w:color w:val="3D3735"/>
        </w:rPr>
        <w:t xml:space="preserve">La evaluación de la actividad física es fundamental para la estimación precisa de los requerimientos energéticos y la prescripción de ejercicio como componente del estilo de vida saludable. Se debe documentar el tipo de actividad, frecuencia semanal y duración de las sesiones. Esta información permite calcular el nivel de actividad física (sedentario, ligero, moderado, activo, muy activo) que determina el factor de ajuste en las fórmulas de requerimientos energéticos.</w:t>
      </w:r>
    </w:p>
    <w:p>
      <w:pPr>
        <w:spacing w:after="200"/>
      </w:pPr>
      <w:r>
        <w:rPr>
          <w:color w:val="3D3735"/>
        </w:rPr>
        <w:t xml:space="preserve">En el contexto del embarazo, la actividad física moderada es generalmente beneficiosa y recomendada, contribuyendo al control del peso gestacional, la prevención de la diabetes gestacional, la reducción de molestias del embarazo y la preparación para el parto. Sin embargo, es importante evaluar las contraindicaciones absolutas y relativas al ejercicio durante el embarazo y adaptar las recomendaciones según el estado de salud materno y la evolución del embarazo.</w:t>
      </w:r>
    </w:p>
    <w:p>
      <w:pPr>
        <w:pStyle w:val="Heading2"/>
      </w:pPr>
      <w:r>
        <w:t xml:space="preserve">Sueño y Estrés</w:t>
      </w:r>
    </w:p>
    <w:p>
      <w:pPr>
        <w:spacing w:after="200"/>
      </w:pPr>
      <w:r>
        <w:rPr>
          <w:color w:val="3D3735"/>
        </w:rPr>
        <w:t xml:space="preserve">El sueño y el nivel de estrés son factores frecuentemente ignorados que tienen un impacto significativo en el estado nutricional y los patrones alimentarios. La privación del sueño altera las hormonas reguladoras del apetito (leptina y grelina), favoreciendo el aumento del apetito y las elecciones alimentarias poco saludables. El insomnio y la somnolencia diurna pueden interferir con la capacidad de planificar y preparar comidas nutritivas, incrementando la dependencia de alimentos procesados y de conveniencia.</w:t>
      </w:r>
    </w:p>
    <w:p>
      <w:pPr>
        <w:spacing w:after="200"/>
      </w:pPr>
      <w:r>
        <w:rPr>
          <w:color w:val="3D3735"/>
        </w:rPr>
        <w:t xml:space="preserve">El estrés crónico activa el eje hipotálamo-hipófisis-suprarrenal, aumentando los niveles de cortisol, lo que puede favorecer la acumulación de grasa abdominal, el síndrome metabólico y los patrones de alimentación emocional. La evaluación del nivel de estrés percibido permite identificar pacientes que pueden beneficiarse de intervenciones adicionales como técnicas de manejo del estrés, derivación a psicología o adaptación de las recomendaciones dietéticas para mejorar la resiliencia al estrés.</w:t>
      </w:r>
    </w:p>
    <w:p>
      <w:pPr>
        <w:pStyle w:val="Heading2"/>
      </w:pPr>
      <w:r>
        <w:t xml:space="preserve">Seguridad Alimentaria</w:t>
      </w:r>
    </w:p>
    <w:p>
      <w:pPr>
        <w:spacing w:after="200"/>
      </w:pPr>
      <w:r>
        <w:rPr>
          <w:color w:val="3D3735"/>
        </w:rPr>
        <w:t xml:space="preserve">La seguridad alimentaria se refiere al acceso físico, social y económico suficiente y estable a alimentos inocuos y nutritivos que satisfagan las necesidades dietéticas y preferencias alimentarias para una vida activa y saludable. La evaluación de este aspecto es fundamental porque la inseguridad alimentaria es un determinante social de la salud que puede limitar severamente la capacidad del paciente para implementar las recomendaciones nutricionales.</w:t>
      </w:r>
    </w:p>
    <w:p>
      <w:pPr>
        <w:spacing w:after="200"/>
      </w:pPr>
      <w:r>
        <w:rPr>
          <w:color w:val="3D3735"/>
        </w:rPr>
        <w:t xml:space="preserve">La identificación de situaciones de inseguridad alimentaria permite al profesional de la nutrición adaptar las recomendaciones para que sean económicamente viables, derivar a programas de asistencia social cuando sea apropiado, y priorizar las intervenciones nutricionales más críticas. El registro de quién prepara los alimentos en el hogar también es relevante, ya que las personas encargadas de la preparación de alimentos son aliados clave en la implementación de cambios dietéticos y deben ser incluidas en la educación nutricional cuando sea posible.</w:t>
      </w:r>
    </w:p>
    <w:p>
      <w:pPr>
        <w:pStyle w:val="Heading1"/>
      </w:pPr>
      <w:r>
        <w:t xml:space="preserve">Consideraciones Metodológicas</w:t>
      </w:r>
    </w:p>
    <w:p>
      <w:pPr>
        <w:pStyle w:val="Heading2"/>
      </w:pPr>
      <w:r>
        <w:t xml:space="preserve">Técnicas de Entrevista</w:t>
      </w:r>
    </w:p>
    <w:p>
      <w:pPr>
        <w:spacing w:after="200"/>
      </w:pPr>
      <w:r>
        <w:rPr>
          <w:color w:val="3D3735"/>
        </w:rPr>
        <w:t xml:space="preserve">La calidad de la información recolectada durante la anamnesis depende en gran medida de las habilidades de comunicación del profesional. Se recomienda utilizar un enfoque de entrevista semiestructurada que combine preguntas abiertas con preguntas cerradas específicas. Las preguntas abiertas permiten al paciente expresar sus preocupaciones en sus propias palabras, mientras que las preguntas cerradas aseguran la recolección sistemática de datos específicos necesarios para la evaluación nutricional.</w:t>
      </w:r>
    </w:p>
    <w:p>
      <w:pPr>
        <w:spacing w:after="200"/>
      </w:pPr>
      <w:r>
        <w:rPr>
          <w:color w:val="3D3735"/>
        </w:rPr>
        <w:t xml:space="preserve">Es fundamental crear un ambiente de confianza y respeto donde el paciente se sienta cómodo compartiendo información personal sobre su salud, hábitos alimentarios y circunstancias de vida. La escucha activa, la empatía y la ausencia de juicio crítico son habilidades esenciales que facilitan la obtención de información veraz y completa. El profesional debe estar atento a señales verbales y no verbales que puedan indicar áreas sensibles que requieran mayor exploración.</w:t>
      </w:r>
    </w:p>
    <w:p>
      <w:pPr>
        <w:pStyle w:val="Heading2"/>
      </w:pPr>
      <w:r>
        <w:t xml:space="preserve">Registro y Documentación</w:t>
      </w:r>
    </w:p>
    <w:p>
      <w:pPr>
        <w:spacing w:after="200"/>
      </w:pPr>
      <w:r>
        <w:rPr>
          <w:color w:val="3D3735"/>
        </w:rPr>
        <w:t xml:space="preserve">La documentación apropiada de la anamnesis es esencial por múltiples razones: garantiza la continuidad de la atención, proporciona evidencia legal del cuidado proporcionado, facilita la comunicación entre profesionales de salud, y permite el seguimiento del progreso del paciente. Los registros deben ser claros, precisos, objetivos y completos, utilizando terminología estandarizada cuando sea apropiado.</w:t>
      </w:r>
    </w:p>
    <w:p>
      <w:pPr>
        <w:spacing w:after="200"/>
      </w:pPr>
      <w:r>
        <w:rPr>
          <w:color w:val="3D3735"/>
        </w:rPr>
        <w:t xml:space="preserve">La historia clínica nutricional debe actualizarse en cada consulta, documentando los cambios en el estado de salud, las modificaciones en los hábitos alimentarios, la respuesta a las intervenciones anteriores y los nuevos objetivos terapéuticos. Este registro longitudinal permite identificar tendencias, evaluar la efectividad de las intervenciones y ajustar el plan de manejo según la evolución del paciente.</w:t>
      </w:r>
    </w:p>
    <w:p>
      <w:pPr>
        <w:pStyle w:val="Heading2"/>
      </w:pPr>
      <w:r>
        <w:t xml:space="preserve">Integración con la Evaluación Nutricional</w:t>
      </w:r>
    </w:p>
    <w:p>
      <w:pPr>
        <w:spacing w:after="200"/>
      </w:pPr>
      <w:r>
        <w:rPr>
          <w:color w:val="3D3735"/>
        </w:rPr>
        <w:t xml:space="preserve">La información recolectada en la anamnesis debe ser integrada con los datos de la evaluación antropométrica, bioquímica y dietética para formar una impresión diagnóstica completa. El diagnóstico nutricional se formula utilizando el modelo PES (Problema, Etiología, Signos/Síntomas) que permite identificar claramente el problema nutricional, sus causas y las evidencias que lo respaldan. Este diagnóstico fundamentado guía la planificación de la intervención nutricional.</w:t>
      </w:r>
    </w:p>
    <w:p>
      <w:pPr>
        <w:spacing w:after="200"/>
      </w:pPr>
      <w:r>
        <w:rPr>
          <w:color w:val="3D3735"/>
        </w:rPr>
        <w:t xml:space="preserve">El proceso de anamnesis no concluye con la primera entrevista, sino que continúa a lo largo de toda la relación terapéutica. Cada consulta proporciona oportunidad para profundizar en aspectos no explorados inicialmente, actualizar información y reevaluar las necesidades del paciente. La anamnesis dinámica y continua es característica de una práctica nutricional de calidad orientada a la atención integral del paciente.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361"/>
        <w:sz w:val="20"/>
        <w:szCs w:val="20"/>
      </w:rPr>
      <w:t xml:space="preserve">Guía de Anamnesis Nutricional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26211F"/>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B6361"/>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3D37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2026-03-25T02:47:38.565Z</dcterms:created>
  <dcterms:modified xsi:type="dcterms:W3CDTF">2026-03-25T02:47:38.565Z</dcterms:modified>
</cp:coreProperties>
</file>

<file path=docProps/custom.xml><?xml version="1.0" encoding="utf-8"?>
<Properties xmlns="http://schemas.openxmlformats.org/officeDocument/2006/custom-properties" xmlns:vt="http://schemas.openxmlformats.org/officeDocument/2006/docPropsVTypes"/>
</file>