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before="1000"/>
        <w:jc w:val="center"/>
      </w:pPr>
      <w:r>
        <w:rPr>
          <w:rFonts w:ascii="Times New Roman" w:cs="Times New Roman" w:eastAsia="Times New Roman" w:hAnsi="Times New Roman"/>
          <w:b/>
          <w:bCs/>
          <w:color w:val="1A365D"/>
          <w:sz w:val="48"/>
          <w:szCs w:val="48"/>
        </w:rPr>
        <w:t xml:space="preserve">CONTENIDOS Y HABILIDADES</w:t>
      </w:r>
    </w:p>
    <w:p>
      <w:pPr>
        <w:spacing w:after="200"/>
        <w:jc w:val="center"/>
      </w:pPr>
      <w:r>
        <w:rPr>
          <w:rFonts w:ascii="Times New Roman" w:cs="Times New Roman" w:eastAsia="Times New Roman" w:hAnsi="Times New Roman"/>
          <w:b/>
          <w:bCs/>
          <w:color w:val="1A365D"/>
          <w:sz w:val="44"/>
          <w:szCs w:val="44"/>
        </w:rPr>
        <w:t xml:space="preserve">EN NUTRICIÓN INFANTIL</w:t>
      </w:r>
    </w:p>
    <w:p>
      <w:pPr>
        <w:spacing w:after="600"/>
        <w:jc w:val="center"/>
      </w:pPr>
      <w:r>
        <w:rPr>
          <w:rFonts w:ascii="Times New Roman" w:cs="Times New Roman" w:eastAsia="Times New Roman" w:hAnsi="Times New Roman"/>
          <w:i/>
          <w:iCs/>
          <w:color w:val="2D3748"/>
          <w:sz w:val="32"/>
          <w:szCs w:val="32"/>
        </w:rPr>
        <w:t xml:space="preserve">Etapa Escolar y Adolescente (5-19 años)</w:t>
      </w:r>
    </w:p>
    <w:p>
      <w:pPr>
        <w:spacing w:before="800"/>
      </w:pPr>
    </w:p>
    <w:p>
      <w:pPr>
        <w:jc w:val="center"/>
      </w:pPr>
      <w:r>
        <w:rPr>
          <w:color w:val="4A5568"/>
          <w:sz w:val="28"/>
          <w:szCs w:val="28"/>
        </w:rPr>
        <w:t xml:space="preserve">─────────────────────────────</w:t>
      </w:r>
    </w:p>
    <w:p>
      <w:pPr>
        <w:spacing w:before="600"/>
      </w:pPr>
    </w:p>
    <w:p>
      <w:pPr>
        <w:spacing w:after="200"/>
        <w:jc w:val="center"/>
      </w:pPr>
      <w:r>
        <w:rPr>
          <w:rFonts w:ascii="Calibri" w:cs="Calibri" w:eastAsia="Calibri" w:hAnsi="Calibri"/>
          <w:color w:val="2D3748"/>
          <w:sz w:val="26"/>
          <w:szCs w:val="26"/>
        </w:rPr>
        <w:t xml:space="preserve">Guía para la Formación del Nutricionista</w:t>
      </w:r>
    </w:p>
    <w:p>
      <w:pPr>
        <w:jc w:val="center"/>
      </w:pPr>
      <w:r>
        <w:rPr>
          <w:rFonts w:ascii="Calibri" w:cs="Calibri" w:eastAsia="Calibri" w:hAnsi="Calibri"/>
          <w:color w:val="4A5568"/>
          <w:sz w:val="24"/>
          <w:szCs w:val="24"/>
        </w:rPr>
        <w:t xml:space="preserve">Documento de Referencia Curricular</w:t>
      </w:r>
    </w:p>
    <w:p>
      <w:pPr>
        <w:spacing w:before="2000"/>
      </w:pPr>
    </w:p>
    <w:p>
      <w:pPr>
        <w:jc w:val="center"/>
      </w:pPr>
      <w:r>
        <w:rPr>
          <w:rFonts w:ascii="Times New Roman" w:cs="Times New Roman" w:eastAsia="Times New Roman" w:hAnsi="Times New Roman"/>
          <w:b/>
          <w:bCs/>
          <w:color w:val="1A365D"/>
          <w:sz w:val="28"/>
          <w:szCs w:val="28"/>
        </w:rPr>
        <w:t xml:space="preserve">2025</w:t>
      </w:r>
    </w:p>
    <w:p>
      <w:r>
        <w:br w:type="page"/>
      </w:r>
    </w:p>
    <w:p>
      <w:pPr>
        <w:sectPr>
          <w:pgSz w:w="11906" w:h="16838" w:orient="portrait"/>
          <w:pgMar w:top="0" w:right="0" w:bottom="0" w:left="0" w:header="708" w:footer="708" w:gutter="0"/>
          <w:pgNumType/>
          <w:docGrid w:linePitch="360"/>
        </w:sectPr>
      </w:pPr>
    </w:p>
    <w:sdt>
      <w:sdtPr>
        <w:alias w:val="Índice de Contenidos"/>
      </w:sdtPr>
      <w:sdtContent>
        <w:p>
          <w:r>
            <w:fldChar w:fldCharType="begin" w:dirty="true"/>
            <w:instrText xml:space="preserve">TOC \h \o "1-3"</w:instrText>
            <w:fldChar w:fldCharType="separate"/>
          </w:r>
        </w:p>
        <w:p>
          <w:pPr>
            <w:pStyle w:val="9"/>
            <w:tabs>
              <w:tab w:val="right" w:leader="dot" w:pos="9026"/>
            </w:tabs>
          </w:pPr>
          <w:r>
            <w:t>1. Introducción</w:t>
          </w:r>
          <w:r>
            <w:tab/>
          </w:r>
          <w:r>
            <w:t>3</w:t>
          </w:r>
        </w:p>
        <w:p>
          <w:pPr>
            <w:pStyle w:val="9"/>
            <w:tabs>
              <w:tab w:val="right" w:leader="dot" w:pos="9026"/>
            </w:tabs>
          </w:pPr>
          <w:r>
            <w:t>2. Contenidos Teóricos Fundamentales</w:t>
          </w:r>
          <w:r>
            <w:tab/>
          </w:r>
          <w:r>
            <w:t>3</w:t>
          </w:r>
        </w:p>
        <w:p>
          <w:pPr>
            <w:pStyle w:val="11"/>
            <w:ind w:left="360"/>
            <w:tabs>
              <w:tab w:val="right" w:leader="dot" w:pos="9026"/>
            </w:tabs>
          </w:pPr>
          <w:r>
            <w:t>2.1 Bases Fisiológicas del Crecimiento y Desarrollo (5-19 años)</w:t>
          </w:r>
          <w:r>
            <w:tab/>
          </w:r>
          <w:r>
            <w:t>3</w:t>
          </w:r>
        </w:p>
        <w:p>
          <w:pPr>
            <w:pStyle w:val="11"/>
            <w:ind w:left="360"/>
            <w:tabs>
              <w:tab w:val="right" w:leader="dot" w:pos="9026"/>
            </w:tabs>
          </w:pPr>
          <w:r>
            <w:t>2.2 Requerimientos Nutricionales por Etapa</w:t>
          </w:r>
          <w:r>
            <w:tab/>
          </w:r>
          <w:r>
            <w:t>4</w:t>
          </w:r>
        </w:p>
        <w:p>
          <w:pPr>
            <w:pStyle w:val="11"/>
            <w:ind w:left="360"/>
            <w:tabs>
              <w:tab w:val="right" w:leader="dot" w:pos="9026"/>
            </w:tabs>
          </w:pPr>
          <w:r>
            <w:t>2.3 Evaluación Nutricional en Escolares y Adolescentes</w:t>
          </w:r>
          <w:r>
            <w:tab/>
          </w:r>
          <w:r>
            <w:t>5</w:t>
          </w:r>
        </w:p>
        <w:p>
          <w:pPr>
            <w:pStyle w:val="9"/>
            <w:tabs>
              <w:tab w:val="right" w:leader="dot" w:pos="9026"/>
            </w:tabs>
          </w:pPr>
          <w:r>
            <w:t>3. Problemáticas Nutricionales Específicas</w:t>
          </w:r>
          <w:r>
            <w:tab/>
          </w:r>
          <w:r>
            <w:t>7</w:t>
          </w:r>
        </w:p>
        <w:p>
          <w:pPr>
            <w:pStyle w:val="11"/>
            <w:ind w:left="360"/>
            <w:tabs>
              <w:tab w:val="right" w:leader="dot" w:pos="9026"/>
            </w:tabs>
          </w:pPr>
          <w:r>
            <w:t>3.1 Malnutrición por Déficit y Exceso</w:t>
          </w:r>
          <w:r>
            <w:tab/>
          </w:r>
          <w:r>
            <w:t>7</w:t>
          </w:r>
        </w:p>
        <w:p>
          <w:pPr>
            <w:pStyle w:val="11"/>
            <w:ind w:left="360"/>
            <w:tabs>
              <w:tab w:val="right" w:leader="dot" w:pos="9026"/>
            </w:tabs>
          </w:pPr>
          <w:r>
            <w:t>3.2 Deficiencias de Micronutrientes</w:t>
          </w:r>
          <w:r>
            <w:tab/>
          </w:r>
          <w:r>
            <w:t>8</w:t>
          </w:r>
        </w:p>
        <w:p>
          <w:pPr>
            <w:pStyle w:val="11"/>
            <w:ind w:left="360"/>
            <w:tabs>
              <w:tab w:val="right" w:leader="dot" w:pos="9026"/>
            </w:tabs>
          </w:pPr>
          <w:r>
            <w:t>3.3 Trastornos de la Conducta Alimentaria</w:t>
          </w:r>
          <w:r>
            <w:tab/>
          </w:r>
          <w:r>
            <w:t>9</w:t>
          </w:r>
        </w:p>
        <w:p>
          <w:pPr>
            <w:pStyle w:val="11"/>
            <w:ind w:left="360"/>
            <w:tabs>
              <w:tab w:val="right" w:leader="dot" w:pos="9026"/>
            </w:tabs>
          </w:pPr>
          <w:r>
            <w:t>3.4 Enfermedades Crónicas Relacionadas con la Nutrición</w:t>
          </w:r>
          <w:r>
            <w:tab/>
          </w:r>
          <w:r>
            <w:t>10</w:t>
          </w:r>
        </w:p>
        <w:p>
          <w:pPr>
            <w:pStyle w:val="9"/>
            <w:tabs>
              <w:tab w:val="right" w:leader="dot" w:pos="9026"/>
            </w:tabs>
          </w:pPr>
          <w:r>
            <w:t>4. Ámbitos de Intervención Profesional</w:t>
          </w:r>
          <w:r>
            <w:tab/>
          </w:r>
          <w:r>
            <w:t>11</w:t>
          </w:r>
        </w:p>
        <w:p>
          <w:pPr>
            <w:pStyle w:val="11"/>
            <w:ind w:left="360"/>
            <w:tabs>
              <w:tab w:val="right" w:leader="dot" w:pos="9026"/>
            </w:tabs>
          </w:pPr>
          <w:r>
            <w:t>4.1 Alimentación Escolar</w:t>
          </w:r>
          <w:r>
            <w:tab/>
          </w:r>
          <w:r>
            <w:t>11</w:t>
          </w:r>
        </w:p>
        <w:p>
          <w:pPr>
            <w:pStyle w:val="11"/>
            <w:ind w:left="360"/>
            <w:tabs>
              <w:tab w:val="right" w:leader="dot" w:pos="9026"/>
            </w:tabs>
          </w:pPr>
          <w:r>
            <w:t>4.2 Nutrición Deportiva en Adolescentes</w:t>
          </w:r>
          <w:r>
            <w:tab/>
          </w:r>
          <w:r>
            <w:t>11</w:t>
          </w:r>
        </w:p>
        <w:p>
          <w:pPr>
            <w:pStyle w:val="11"/>
            <w:ind w:left="360"/>
            <w:tabs>
              <w:tab w:val="right" w:leader="dot" w:pos="9026"/>
            </w:tabs>
          </w:pPr>
          <w:r>
            <w:t>4.3 Educación Alimentaria y Nutricional</w:t>
          </w:r>
          <w:r>
            <w:tab/>
          </w:r>
          <w:r>
            <w:t>12</w:t>
          </w:r>
        </w:p>
        <w:p>
          <w:pPr>
            <w:pStyle w:val="9"/>
            <w:tabs>
              <w:tab w:val="right" w:leader="dot" w:pos="9026"/>
            </w:tabs>
          </w:pPr>
          <w:r>
            <w:t>5. Habilidades y Competencias Profesionales</w:t>
          </w:r>
          <w:r>
            <w:tab/>
          </w:r>
          <w:r>
            <w:t>13</w:t>
          </w:r>
        </w:p>
        <w:p>
          <w:pPr>
            <w:pStyle w:val="11"/>
            <w:ind w:left="360"/>
            <w:tabs>
              <w:tab w:val="right" w:leader="dot" w:pos="9026"/>
            </w:tabs>
          </w:pPr>
          <w:r>
            <w:t>5.1 Competencias Técnicas</w:t>
          </w:r>
          <w:r>
            <w:tab/>
          </w:r>
          <w:r>
            <w:t>13</w:t>
          </w:r>
        </w:p>
        <w:p>
          <w:pPr>
            <w:pStyle w:val="11"/>
            <w:ind w:left="360"/>
            <w:tabs>
              <w:tab w:val="right" w:leader="dot" w:pos="9026"/>
            </w:tabs>
          </w:pPr>
          <w:r>
            <w:t>5.2 Competencias Comunicativas y Educativas</w:t>
          </w:r>
          <w:r>
            <w:tab/>
          </w:r>
          <w:r>
            <w:t>14</w:t>
          </w:r>
        </w:p>
        <w:p>
          <w:pPr>
            <w:pStyle w:val="11"/>
            <w:ind w:left="360"/>
            <w:tabs>
              <w:tab w:val="right" w:leader="dot" w:pos="9026"/>
            </w:tabs>
          </w:pPr>
          <w:r>
            <w:t>5.3 Competencias de Gestión y Liderazgo</w:t>
          </w:r>
          <w:r>
            <w:tab/>
          </w:r>
          <w:r>
            <w:t>14</w:t>
          </w:r>
        </w:p>
        <w:p>
          <w:pPr>
            <w:pStyle w:val="9"/>
            <w:tabs>
              <w:tab w:val="right" w:leader="dot" w:pos="9026"/>
            </w:tabs>
          </w:pPr>
          <w:r>
            <w:t>6. Conclusiones y Recomendaciones</w:t>
          </w:r>
          <w:r>
            <w:tab/>
          </w:r>
          <w:r>
            <w:t>15</w:t>
          </w:r>
        </w:p>
        <w:p>
          <w:pPr>
            <w:pStyle w:val="9"/>
            <w:tabs>
              <w:tab w:val="right" w:leader="dot" w:pos="9026"/>
            </w:tabs>
          </w:pPr>
          <w:r>
            <w:t>Referencias Bibliográficas</w:t>
          </w:r>
          <w:r>
            <w:tab/>
          </w:r>
          <w:r>
            <w:t>16</w:t>
          </w:r>
        </w:p>
        <w:p>
          <w:r>
            <w:fldChar w:fldCharType="end"/>
          </w:r>
        </w:p>
      </w:sdtContent>
    </w:sdt>
    <w:p>
      <w:pPr>
        <w:spacing w:after="400" w:before="200"/>
        <w:jc w:val="center"/>
      </w:pPr>
      <w:r>
        <w:rPr>
          <w:rFonts w:ascii="Calibri" w:cs="Calibri" w:eastAsia="Calibri" w:hAnsi="Calibri"/>
          <w:i/>
          <w:iCs/>
          <w:color w:val="999999"/>
          <w:sz w:val="18"/>
          <w:szCs w:val="18"/>
        </w:rPr>
        <w:t xml:space="preserve">Nota: Este índice se genera automáticamente. Para actualizar los números de página, haga clic derecho sobre el índice y seleccione "Actualizar campo."</w:t>
      </w:r>
    </w:p>
    <w:p>
      <w:r>
        <w:br w:type="page"/>
      </w:r>
    </w:p>
    <w:p>
      <w:pPr>
        <w:pStyle w:val="Heading1"/>
      </w:pPr>
      <w:r>
        <w:t xml:space="preserve">1. Introducción</w:t>
      </w:r>
    </w:p>
    <w:p>
      <w:pPr>
        <w:spacing w:after="200" w:line="312"/>
      </w:pPr>
      <w:r>
        <w:rPr>
          <w:rFonts w:ascii="Calibri" w:cs="Calibri" w:eastAsia="Calibri" w:hAnsi="Calibri"/>
          <w:sz w:val="22"/>
          <w:szCs w:val="22"/>
        </w:rPr>
        <w:t xml:space="preserve">La nutrición durante la infancia media y la adolescencia constituye un pilar fundamental para el desarrollo óptimo del ser humano. El período comprendido entre los 5 y los 19 años representa una etapa crítica donde se consolidan hábitos alimentarios, se completan procesos de crecimiento y desarrollo, y se establecen las bases para la salud adulta. Durante estas décadas de vida, los individuos experimentan transformaciones físicas, cognitivas y emocionales significativas que demandan una atención nutricional especializada y contextualizada.</w:t>
      </w:r>
    </w:p>
    <w:p>
      <w:pPr>
        <w:spacing w:after="200" w:line="312"/>
      </w:pPr>
      <w:r>
        <w:rPr>
          <w:rFonts w:ascii="Calibri" w:cs="Calibri" w:eastAsia="Calibri" w:hAnsi="Calibri"/>
          <w:sz w:val="22"/>
          <w:szCs w:val="22"/>
        </w:rPr>
        <w:t xml:space="preserve">El nutricionista especializado en este grupo poblacional debe poseer un conjunto integral de conocimientos teóricos y habilidades prácticas que le permitan abordar la complejidad de las necesidades nutricionales en estas etapas. La formación profesional debe contemplar no solo los aspectos biológicos y fisiológicos del crecimiento, sino también los determinantes psicosociales, culturales y ambientales que influyen en la conducta alimentaria de escolares y adolescentes.</w:t>
      </w:r>
    </w:p>
    <w:p>
      <w:pPr>
        <w:spacing w:after="200" w:line="312"/>
      </w:pPr>
      <w:r>
        <w:rPr>
          <w:rFonts w:ascii="Calibri" w:cs="Calibri" w:eastAsia="Calibri" w:hAnsi="Calibri"/>
          <w:sz w:val="22"/>
          <w:szCs w:val="22"/>
        </w:rPr>
        <w:t xml:space="preserve">El presente documento tiene como objetivo sistematizar los contenidos curriculares y las competencias profesionales que debe adquirir un nutricionista para desempeñarse eficazmente en el ámbito de la nutrición infantil enfocada en escolares y adolescentes. Se estructura en torno a seis ejes temáticos principales que abarcan desde los fundamentos fisiológicos hasta las competencias prácticas de intervención profesional.</w:t>
      </w:r>
    </w:p>
    <w:p>
      <w:pPr>
        <w:pStyle w:val="Heading1"/>
      </w:pPr>
      <w:r>
        <w:t xml:space="preserve">2. Contenidos Teóricos Fundamentales</w:t>
      </w:r>
    </w:p>
    <w:p>
      <w:pPr>
        <w:pStyle w:val="Heading2"/>
      </w:pPr>
      <w:r>
        <w:t xml:space="preserve">2.1 Bases Fisiológicas del Crecimiento y Desarrollo (5-19 años)</w:t>
      </w:r>
    </w:p>
    <w:p>
      <w:pPr>
        <w:spacing w:after="200" w:line="312"/>
      </w:pPr>
      <w:r>
        <w:rPr>
          <w:rFonts w:ascii="Calibri" w:cs="Calibri" w:eastAsia="Calibri" w:hAnsi="Calibri"/>
          <w:sz w:val="22"/>
          <w:szCs w:val="22"/>
        </w:rPr>
        <w:t xml:space="preserve">El conocimiento de las bases fisiológicas del crecimiento constituye el fundamento esencial para comprender las necesidades nutricionales en esta etapa de la vida. El nutricionista debe dominar los procesos de crecimiento lineal, maduración ósea, desarrollo puberal y composición corporal que caracterizan a escolares y adolescentes. Estos procesos no ocurren de manera lineal ni uniforme, sino que presentan patrones específicos que varían según el sexo, la edad cronológica, el estadio puberal y factores genéticos y ambientales.</w:t>
      </w:r>
    </w:p>
    <w:p>
      <w:pPr>
        <w:spacing w:after="150" w:line="312"/>
      </w:pPr>
      <w:r>
        <w:rPr>
          <w:rFonts w:ascii="Calibri" w:cs="Calibri" w:eastAsia="Calibri" w:hAnsi="Calibri"/>
          <w:b/>
          <w:bCs/>
          <w:sz w:val="22"/>
          <w:szCs w:val="22"/>
        </w:rPr>
        <w:t xml:space="preserve">Contenidos específicos que debe dominar el profesional:</w:t>
      </w:r>
    </w:p>
    <w:p>
      <w:pPr>
        <w:pStyle w:val="ListParagraph"/>
        <w:numPr>
          <w:ilvl w:val="0"/>
          <w:numId w:val="2"/>
        </w:numPr>
        <w:spacing w:after="100" w:line="312"/>
      </w:pPr>
      <w:r>
        <w:rPr>
          <w:rFonts w:ascii="Calibri" w:cs="Calibri" w:eastAsia="Calibri" w:hAnsi="Calibri"/>
          <w:sz w:val="22"/>
          <w:szCs w:val="22"/>
        </w:rPr>
        <w:t xml:space="preserve">Patrones de crecimiento físico: curvas de crecimiento, velocidad de crecimiento, estirones puberales y diferencias sexuales en el patrón de crecimiento. El profesional debe conocer las tablas de referencia de la OMS y los estándares nacionales, así como interpretar adecuadamente los percentiles y puntuaciones Z para identificar desviaciones del patrón normal.</w:t>
      </w:r>
    </w:p>
    <w:p>
      <w:pPr>
        <w:pStyle w:val="ListParagraph"/>
        <w:numPr>
          <w:ilvl w:val="0"/>
          <w:numId w:val="2"/>
        </w:numPr>
        <w:spacing w:after="100" w:line="312"/>
      </w:pPr>
      <w:r>
        <w:rPr>
          <w:rFonts w:ascii="Calibri" w:cs="Calibri" w:eastAsia="Calibri" w:hAnsi="Calibri"/>
          <w:sz w:val="22"/>
          <w:szCs w:val="22"/>
        </w:rPr>
        <w:t xml:space="preserve">Desarrollo puberal y sus implicaciones nutricionales: cambios hormonales, aparición de caracteres sexuales secundarios, menarquia y sus repercusiones en las necesidades de hierro y otros nutrientes. El estirón puberal representa el período de máximo crecimiento postnatal y demanda un aporte calórico y proteico significativamente aumentado.</w:t>
      </w:r>
    </w:p>
    <w:p>
      <w:pPr>
        <w:pStyle w:val="ListParagraph"/>
        <w:numPr>
          <w:ilvl w:val="0"/>
          <w:numId w:val="2"/>
        </w:numPr>
        <w:spacing w:after="100" w:line="312"/>
      </w:pPr>
      <w:r>
        <w:rPr>
          <w:rFonts w:ascii="Calibri" w:cs="Calibri" w:eastAsia="Calibri" w:hAnsi="Calibri"/>
          <w:sz w:val="22"/>
          <w:szCs w:val="22"/>
        </w:rPr>
        <w:t xml:space="preserve">Composición corporal y su evolución: cambios en la proporción de masa magra, masa grasa, agua corporal y densidad mineral ósea. Durante la pubertad se producen cambios significativos en la composición corporal que difieren entre sexos: las mujeres incrementan proporcionalmente más masa grasa, mientras que los varones desarrollan mayor masa muscular.</w:t>
      </w:r>
    </w:p>
    <w:p>
      <w:pPr>
        <w:pStyle w:val="ListParagraph"/>
        <w:numPr>
          <w:ilvl w:val="0"/>
          <w:numId w:val="2"/>
        </w:numPr>
        <w:spacing w:after="100" w:line="312"/>
      </w:pPr>
      <w:r>
        <w:rPr>
          <w:rFonts w:ascii="Calibri" w:cs="Calibri" w:eastAsia="Calibri" w:hAnsi="Calibri"/>
          <w:sz w:val="22"/>
          <w:szCs w:val="22"/>
        </w:rPr>
        <w:t xml:space="preserve">Desarrollo cognitivo y psicosocial: maduración del sistema nervioso, desarrollo de la identidad y la autonomía, influencia del grupo de pares en las decisiones alimentarias. Estos aspectos son cruciales para diseñar intervenciones educativas efectivas y culturalmente apropiadas.</w:t>
      </w:r>
    </w:p>
    <w:p>
      <w:pPr>
        <w:pStyle w:val="ListParagraph"/>
        <w:numPr>
          <w:ilvl w:val="0"/>
          <w:numId w:val="2"/>
        </w:numPr>
        <w:spacing w:after="200" w:line="312"/>
      </w:pPr>
      <w:r>
        <w:rPr>
          <w:rFonts w:ascii="Calibri" w:cs="Calibri" w:eastAsia="Calibri" w:hAnsi="Calibri"/>
          <w:sz w:val="22"/>
          <w:szCs w:val="22"/>
        </w:rPr>
        <w:t xml:space="preserve">Maduración ósea y salud ósea: importancia del pico de masa ósea, factores que influyen en la mineralización ósea y papel de la nutrición en la prevención de la osteoporosis futura. La adolescencia representa una ventana crítica para la optimización de la masa ósea.</w:t>
      </w:r>
    </w:p>
    <w:p>
      <w:pPr>
        <w:pStyle w:val="Heading2"/>
      </w:pPr>
      <w:r>
        <w:t xml:space="preserve">2.2 Requerimientos Nutricionales por Etapa</w:t>
      </w:r>
    </w:p>
    <w:p>
      <w:pPr>
        <w:spacing w:after="200" w:line="312"/>
      </w:pPr>
      <w:r>
        <w:rPr>
          <w:rFonts w:ascii="Calibri" w:cs="Calibri" w:eastAsia="Calibri" w:hAnsi="Calibri"/>
          <w:sz w:val="22"/>
          <w:szCs w:val="22"/>
        </w:rPr>
        <w:t xml:space="preserve">El cálculo y la interpretación de los requerimientos nutricionales constituyen competencias centrales del nutricionista infantil. Los requerimientos varían considerablemente según la etapa de desarrollo, el sexo, el nivel de actividad física y el estado de salud. El profesional debe conocer las recomendaciones internacionales (FAO/OMS, Dietary Reference Intakes) y nacionales, así como su aplicación práctica en la planificación dietética.</w:t>
      </w:r>
    </w:p>
    <w:p>
      <w:pPr>
        <w:spacing w:after="150" w:before="200"/>
      </w:pPr>
      <w:r>
        <w:rPr>
          <w:rFonts w:ascii="Calibri" w:cs="Calibri" w:eastAsia="Calibri" w:hAnsi="Calibri"/>
          <w:b/>
          <w:bCs/>
          <w:sz w:val="20"/>
          <w:szCs w:val="20"/>
        </w:rPr>
        <w:t xml:space="preserve">Tabla 1. Requerimientos nutricionales promedio según grupo etario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2340"/>
        <w:gridCol w:w="2340"/>
      </w:tblGrid>
      <w:tr>
        <w:trPr>
          <w:tblHeader/>
        </w:trPr>
        <w:tc>
          <w:tcPr>
            <w:tcBorders>
              <w:top w:val="single" w:color="CBD5E0" w:sz="1"/>
              <w:left w:val="single" w:color="CBD5E0" w:sz="1"/>
              <w:bottom w:val="single" w:color="CBD5E0" w:sz="1"/>
              <w:right w:val="single" w:color="CBD5E0" w:sz="1"/>
            </w:tcBorders>
            <w:shd w:fill="E2E8F0" w:val="clear"/>
            <w:vAlign w:val="center"/>
          </w:tcPr>
          <w:p>
            <w:pPr>
              <w:jc w:val="center"/>
            </w:pPr>
            <w:r>
              <w:rPr>
                <w:rFonts w:ascii="Calibri" w:cs="Calibri" w:eastAsia="Calibri" w:hAnsi="Calibri"/>
                <w:b/>
                <w:bCs/>
                <w:sz w:val="20"/>
                <w:szCs w:val="20"/>
              </w:rPr>
              <w:t xml:space="preserve">Grupo Etario</w:t>
            </w:r>
          </w:p>
        </w:tc>
        <w:tc>
          <w:tcPr>
            <w:tcBorders>
              <w:top w:val="single" w:color="CBD5E0" w:sz="1"/>
              <w:left w:val="single" w:color="CBD5E0" w:sz="1"/>
              <w:bottom w:val="single" w:color="CBD5E0" w:sz="1"/>
              <w:right w:val="single" w:color="CBD5E0" w:sz="1"/>
            </w:tcBorders>
            <w:shd w:fill="E2E8F0" w:val="clear"/>
            <w:vAlign w:val="center"/>
          </w:tcPr>
          <w:p>
            <w:pPr>
              <w:jc w:val="center"/>
            </w:pPr>
            <w:r>
              <w:rPr>
                <w:rFonts w:ascii="Calibri" w:cs="Calibri" w:eastAsia="Calibri" w:hAnsi="Calibri"/>
                <w:b/>
                <w:bCs/>
                <w:sz w:val="20"/>
                <w:szCs w:val="20"/>
              </w:rPr>
              <w:t xml:space="preserve">Energía (kcal/día)</w:t>
            </w:r>
          </w:p>
        </w:tc>
        <w:tc>
          <w:tcPr>
            <w:tcBorders>
              <w:top w:val="single" w:color="CBD5E0" w:sz="1"/>
              <w:left w:val="single" w:color="CBD5E0" w:sz="1"/>
              <w:bottom w:val="single" w:color="CBD5E0" w:sz="1"/>
              <w:right w:val="single" w:color="CBD5E0" w:sz="1"/>
            </w:tcBorders>
            <w:shd w:fill="E2E8F0" w:val="clear"/>
            <w:vAlign w:val="center"/>
          </w:tcPr>
          <w:p>
            <w:pPr>
              <w:jc w:val="center"/>
            </w:pPr>
            <w:r>
              <w:rPr>
                <w:rFonts w:ascii="Calibri" w:cs="Calibri" w:eastAsia="Calibri" w:hAnsi="Calibri"/>
                <w:b/>
                <w:bCs/>
                <w:sz w:val="20"/>
                <w:szCs w:val="20"/>
              </w:rPr>
              <w:t xml:space="preserve">Proteínas (g/día)</w:t>
            </w:r>
          </w:p>
        </w:tc>
        <w:tc>
          <w:tcPr>
            <w:tcBorders>
              <w:top w:val="single" w:color="CBD5E0" w:sz="1"/>
              <w:left w:val="single" w:color="CBD5E0" w:sz="1"/>
              <w:bottom w:val="single" w:color="CBD5E0" w:sz="1"/>
              <w:right w:val="single" w:color="CBD5E0" w:sz="1"/>
            </w:tcBorders>
            <w:shd w:fill="E2E8F0" w:val="clear"/>
            <w:vAlign w:val="center"/>
          </w:tcPr>
          <w:p>
            <w:pPr>
              <w:jc w:val="center"/>
            </w:pPr>
            <w:r>
              <w:rPr>
                <w:rFonts w:ascii="Calibri" w:cs="Calibri" w:eastAsia="Calibri" w:hAnsi="Calibri"/>
                <w:b/>
                <w:bCs/>
                <w:sz w:val="20"/>
                <w:szCs w:val="20"/>
              </w:rPr>
              <w:t xml:space="preserve">Principales Micronutrientes</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Escolares (5-9 años)</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1,400 - 1,800</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19 - 34</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Calcio, Hierro, Zinc, Vitamina D</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Preadolescentes (10-12 años)</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1,800 - 2,200</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34 - 45</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Calcio, Hierro, Folato, Vitamina B12</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Adolescentes (13-15 años)</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2,000 - 2,800</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45 - 52</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Calcio, Hierro, Zinc, Vitamina D, B6</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Adolescentes mayores (16-19 años)</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2,200 - 3,000</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46 - 56</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Calcio, Hierro, Zinc, Vitaminas D, B12</w:t>
            </w:r>
          </w:p>
        </w:tc>
      </w:tr>
    </w:tbl>
    <w:p>
      <w:pPr>
        <w:spacing w:after="300" w:before="50"/>
        <w:jc w:val="center"/>
      </w:pPr>
      <w:r>
        <w:rPr>
          <w:rFonts w:ascii="Calibri" w:cs="Calibri" w:eastAsia="Calibri" w:hAnsi="Calibri"/>
          <w:i/>
          <w:iCs/>
          <w:color w:val="666666"/>
          <w:sz w:val="18"/>
          <w:szCs w:val="18"/>
        </w:rPr>
        <w:t xml:space="preserve">Fuente: Elaboración basada en recomendaciones FAO/OMS y Dietary Reference Intakes (DRI)</w:t>
      </w:r>
    </w:p>
    <w:p>
      <w:pPr>
        <w:spacing w:after="150" w:line="312"/>
      </w:pPr>
      <w:r>
        <w:rPr>
          <w:rFonts w:ascii="Calibri" w:cs="Calibri" w:eastAsia="Calibri" w:hAnsi="Calibri"/>
          <w:b/>
          <w:bCs/>
          <w:sz w:val="22"/>
          <w:szCs w:val="22"/>
        </w:rPr>
        <w:t xml:space="preserve">Contenidos específicos sobre requerimientos nutricionales:</w:t>
      </w:r>
    </w:p>
    <w:p>
      <w:pPr>
        <w:pStyle w:val="ListParagraph"/>
        <w:numPr>
          <w:ilvl w:val="0"/>
          <w:numId w:val="3"/>
        </w:numPr>
        <w:spacing w:after="100" w:line="312"/>
      </w:pPr>
      <w:r>
        <w:rPr>
          <w:rFonts w:ascii="Calibri" w:cs="Calibri" w:eastAsia="Calibri" w:hAnsi="Calibri"/>
          <w:sz w:val="22"/>
          <w:szCs w:val="22"/>
        </w:rPr>
        <w:t xml:space="preserve">Requerimientos energéticos: métodos de estimación (ecuaciones predictivas, calorimetría indirecta), factores de actividad física, ajustes por estadios puberales y necesidades de crecimiento. El balance energético durante la adolescencia debe contemplar tanto las necesidades de mantenimiento como las del crecimiento y la actividad física.</w:t>
      </w:r>
    </w:p>
    <w:p>
      <w:pPr>
        <w:pStyle w:val="ListParagraph"/>
        <w:numPr>
          <w:ilvl w:val="0"/>
          <w:numId w:val="3"/>
        </w:numPr>
        <w:spacing w:after="100" w:line="312"/>
      </w:pPr>
      <w:r>
        <w:rPr>
          <w:rFonts w:ascii="Calibri" w:cs="Calibri" w:eastAsia="Calibri" w:hAnsi="Calibri"/>
          <w:sz w:val="22"/>
          <w:szCs w:val="22"/>
        </w:rPr>
        <w:t xml:space="preserve">Macronutrientes: distribución calórica óptima (50-60% hidratos de carbono, 10-15% proteínas, 25-35% lípidos), calidad de las proteínas, ácidos grasos esenciales, fibra dietética y su papel en la salud intestinal. Se debe enfatizar la importancia de las proteínas de alto valor biológico durante el estirón puberal.</w:t>
      </w:r>
    </w:p>
    <w:p>
      <w:pPr>
        <w:pStyle w:val="ListParagraph"/>
        <w:numPr>
          <w:ilvl w:val="0"/>
          <w:numId w:val="3"/>
        </w:numPr>
        <w:spacing w:after="100" w:line="312"/>
      </w:pPr>
      <w:r>
        <w:rPr>
          <w:rFonts w:ascii="Calibri" w:cs="Calibri" w:eastAsia="Calibri" w:hAnsi="Calibri"/>
          <w:sz w:val="22"/>
          <w:szCs w:val="22"/>
        </w:rPr>
        <w:t xml:space="preserve">Micronutrientes críticos: calcio (1,300 mg/día en adolescentes), hierro (mayor requerimiento en mujeres post-menarquia), zinc, vitamina D, vitamina B12 y folatos. Las deficiencias de estos micronutrientes tienen consecuencias significativas en el crecimiento, el desarrollo cognitivo y la salud reproductiva.</w:t>
      </w:r>
    </w:p>
    <w:p>
      <w:pPr>
        <w:pStyle w:val="ListParagraph"/>
        <w:numPr>
          <w:ilvl w:val="0"/>
          <w:numId w:val="3"/>
        </w:numPr>
        <w:spacing w:after="200" w:line="312"/>
      </w:pPr>
      <w:r>
        <w:rPr>
          <w:rFonts w:ascii="Calibri" w:cs="Calibri" w:eastAsia="Calibri" w:hAnsi="Calibri"/>
          <w:sz w:val="22"/>
          <w:szCs w:val="22"/>
        </w:rPr>
        <w:t xml:space="preserve">Hidratación: requerimientos hídricos, importancia de la ingesta de agua, bebidas adecuadas e inadecuadas para cada grupo etario. El consumo de bebidas azucaradas representa uno de los principales problemas nutricionales en esta población.</w:t>
      </w:r>
    </w:p>
    <w:p>
      <w:pPr>
        <w:pStyle w:val="Heading2"/>
      </w:pPr>
      <w:r>
        <w:t xml:space="preserve">2.3 Evaluación Nutricional en Escolares y Adolescentes</w:t>
      </w:r>
    </w:p>
    <w:p>
      <w:pPr>
        <w:spacing w:after="200" w:line="312"/>
      </w:pPr>
      <w:r>
        <w:rPr>
          <w:rFonts w:ascii="Calibri" w:cs="Calibri" w:eastAsia="Calibri" w:hAnsi="Calibri"/>
          <w:sz w:val="22"/>
          <w:szCs w:val="22"/>
        </w:rPr>
        <w:t xml:space="preserve">La evaluación nutricional es una competencia fundamental que permite al nutricionista identificar el estado nutricional, detectar problemas de manera temprana y monitorizar la efectividad de las intervenciones. En escolares y adolescentes, la evaluación debe ser integral, considerando indicadores antropométricos, bioquímicos, clínicos y dietéticos, adaptados a las particularidades del crecimiento y desarrollo de estas etapas.</w:t>
      </w:r>
    </w:p>
    <w:p>
      <w:pPr>
        <w:pStyle w:val="Heading3"/>
      </w:pPr>
      <w:r>
        <w:t xml:space="preserve">2.3.1 Indicadores Antropométricos</w:t>
      </w:r>
    </w:p>
    <w:p>
      <w:pPr>
        <w:spacing w:after="200" w:line="312"/>
      </w:pPr>
      <w:r>
        <w:rPr>
          <w:rFonts w:ascii="Calibri" w:cs="Calibri" w:eastAsia="Calibri" w:hAnsi="Calibri"/>
          <w:sz w:val="22"/>
          <w:szCs w:val="22"/>
        </w:rPr>
        <w:t xml:space="preserve">La antropometría constituye la herramienta fundamental para la evaluación nutricional en estas edades. El profesional debe dominar las técnicas de medición, los estándares de referencia y la interpretación de los indicadores. Los principales indicadores incluyen el índice de masa corporal para la edad (IMC/E), la talla para la edad (T/E), el peso para la edad (P/E) y el peso para la talla (P/T), así como indicadores de composición corporal como la circunferencia de cintura y los pliegues cutáneos.</w:t>
      </w:r>
    </w:p>
    <w:p>
      <w:pPr>
        <w:spacing w:after="150" w:before="200"/>
      </w:pPr>
      <w:r>
        <w:rPr>
          <w:rFonts w:ascii="Calibri" w:cs="Calibri" w:eastAsia="Calibri" w:hAnsi="Calibri"/>
          <w:b/>
          <w:bCs/>
          <w:sz w:val="20"/>
          <w:szCs w:val="20"/>
        </w:rPr>
        <w:t xml:space="preserve">Tabla 2. Principales indicadores antropométricos y su interpretación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3120"/>
        <w:gridCol w:w="3900"/>
      </w:tblGrid>
      <w:tr>
        <w:trPr>
          <w:tblHeader/>
        </w:trPr>
        <w:tc>
          <w:tcPr>
            <w:tcBorders>
              <w:top w:val="single" w:color="CBD5E0" w:sz="1"/>
              <w:left w:val="single" w:color="CBD5E0" w:sz="1"/>
              <w:bottom w:val="single" w:color="CBD5E0" w:sz="1"/>
              <w:right w:val="single" w:color="CBD5E0" w:sz="1"/>
            </w:tcBorders>
            <w:shd w:fill="E2E8F0" w:val="clear"/>
            <w:vAlign w:val="center"/>
          </w:tcPr>
          <w:p>
            <w:pPr>
              <w:jc w:val="center"/>
            </w:pPr>
            <w:r>
              <w:rPr>
                <w:rFonts w:ascii="Calibri" w:cs="Calibri" w:eastAsia="Calibri" w:hAnsi="Calibri"/>
                <w:b/>
                <w:bCs/>
                <w:sz w:val="20"/>
                <w:szCs w:val="20"/>
              </w:rPr>
              <w:t xml:space="preserve">Indicador</w:t>
            </w:r>
          </w:p>
        </w:tc>
        <w:tc>
          <w:tcPr>
            <w:tcBorders>
              <w:top w:val="single" w:color="CBD5E0" w:sz="1"/>
              <w:left w:val="single" w:color="CBD5E0" w:sz="1"/>
              <w:bottom w:val="single" w:color="CBD5E0" w:sz="1"/>
              <w:right w:val="single" w:color="CBD5E0" w:sz="1"/>
            </w:tcBorders>
            <w:shd w:fill="E2E8F0" w:val="clear"/>
            <w:vAlign w:val="center"/>
          </w:tcPr>
          <w:p>
            <w:pPr>
              <w:jc w:val="center"/>
            </w:pPr>
            <w:r>
              <w:rPr>
                <w:rFonts w:ascii="Calibri" w:cs="Calibri" w:eastAsia="Calibri" w:hAnsi="Calibri"/>
                <w:b/>
                <w:bCs/>
                <w:sz w:val="20"/>
                <w:szCs w:val="20"/>
              </w:rPr>
              <w:t xml:space="preserve">Puntos de corte OMS</w:t>
            </w:r>
          </w:p>
        </w:tc>
        <w:tc>
          <w:tcPr>
            <w:tcBorders>
              <w:top w:val="single" w:color="CBD5E0" w:sz="1"/>
              <w:left w:val="single" w:color="CBD5E0" w:sz="1"/>
              <w:bottom w:val="single" w:color="CBD5E0" w:sz="1"/>
              <w:right w:val="single" w:color="CBD5E0" w:sz="1"/>
            </w:tcBorders>
            <w:shd w:fill="E2E8F0" w:val="clear"/>
            <w:vAlign w:val="center"/>
          </w:tcPr>
          <w:p>
            <w:pPr>
              <w:jc w:val="center"/>
            </w:pPr>
            <w:r>
              <w:rPr>
                <w:rFonts w:ascii="Calibri" w:cs="Calibri" w:eastAsia="Calibri" w:hAnsi="Calibri"/>
                <w:b/>
                <w:bCs/>
                <w:sz w:val="20"/>
                <w:szCs w:val="20"/>
              </w:rPr>
              <w:t xml:space="preserve">Interpretación Clínica</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IMC/Edad</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&lt; -2 DE: Delgadez
&gt; +1 DE: Sobrepeso
&gt; +2 DE: Obesidad</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Indicador principal de estado nutricional actual. Permite clasificar desnutrición, sobrepeso y obesidad.</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Talla/Edad</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&lt; -2 DE: Talla baja</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Indica desnutrición crónica. Requiere evaluación de factores genéticos y ambientales.</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Circunferencia de Cintura</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Percentil &gt;90: Riesgo cardiovascular</w:t>
            </w:r>
          </w:p>
        </w:tc>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sz w:val="20"/>
                <w:szCs w:val="20"/>
              </w:rPr>
              <w:t xml:space="preserve">Indicador de adiposidad central y riesgo metabólico. Complementario al IMC.</w:t>
            </w:r>
          </w:p>
        </w:tc>
      </w:tr>
    </w:tbl>
    <w:p>
      <w:pPr>
        <w:spacing w:after="300" w:before="50"/>
        <w:jc w:val="center"/>
      </w:pPr>
      <w:r>
        <w:rPr>
          <w:rFonts w:ascii="Calibri" w:cs="Calibri" w:eastAsia="Calibri" w:hAnsi="Calibri"/>
          <w:i/>
          <w:iCs/>
          <w:color w:val="666666"/>
          <w:sz w:val="18"/>
          <w:szCs w:val="18"/>
        </w:rPr>
        <w:t xml:space="preserve">Fuente: Patrones de Crecimiento de la OMS para escolares y adolescentes (5-19 años)</w:t>
      </w:r>
    </w:p>
    <w:p>
      <w:pPr>
        <w:pStyle w:val="Heading3"/>
      </w:pPr>
      <w:r>
        <w:t xml:space="preserve">2.3.2 Otros Componentes de la Evaluación</w:t>
      </w:r>
    </w:p>
    <w:p>
      <w:pPr>
        <w:spacing w:after="150" w:line="312"/>
      </w:pPr>
      <w:r>
        <w:rPr>
          <w:rFonts w:ascii="Calibri" w:cs="Calibri" w:eastAsia="Calibri" w:hAnsi="Calibri"/>
          <w:sz w:val="22"/>
          <w:szCs w:val="22"/>
        </w:rPr>
        <w:t xml:space="preserve">La evaluación nutricional completa debe incluir además:</w:t>
      </w:r>
    </w:p>
    <w:p>
      <w:pPr>
        <w:pStyle w:val="ListParagraph"/>
        <w:numPr>
          <w:ilvl w:val="0"/>
          <w:numId w:val="4"/>
        </w:numPr>
        <w:spacing w:after="100" w:line="312"/>
      </w:pPr>
      <w:r>
        <w:rPr>
          <w:rFonts w:ascii="Calibri" w:cs="Calibri" w:eastAsia="Calibri" w:hAnsi="Calibri"/>
          <w:sz w:val="22"/>
          <w:szCs w:val="22"/>
        </w:rPr>
        <w:t xml:space="preserve">Evaluación dietética: recordatorios de 24 horas, frecuencia de consumo alimentario, cuestiones de hábitos alimentarios, identificación de patrones de ingesta y comportamientos alimentarios de riesgo. Los métodos deben adaptarse a la capacidad cognitiva y el nivel de autonomía del escolar o adolescente.</w:t>
      </w:r>
    </w:p>
    <w:p>
      <w:pPr>
        <w:pStyle w:val="ListParagraph"/>
        <w:numPr>
          <w:ilvl w:val="0"/>
          <w:numId w:val="4"/>
        </w:numPr>
        <w:spacing w:after="100" w:line="312"/>
      </w:pPr>
      <w:r>
        <w:rPr>
          <w:rFonts w:ascii="Calibri" w:cs="Calibri" w:eastAsia="Calibri" w:hAnsi="Calibri"/>
          <w:sz w:val="22"/>
          <w:szCs w:val="22"/>
        </w:rPr>
        <w:t xml:space="preserve">Evaluación bioquímica: interpretación de marcadores nutricionales (hemoglobina, ferritina, vitamina D, perfil lipídico, glucemia), indicaciones de solicitud de exámenes de laboratorio y su correlación con el estado nutricional.</w:t>
      </w:r>
    </w:p>
    <w:p>
      <w:pPr>
        <w:pStyle w:val="ListParagraph"/>
        <w:numPr>
          <w:ilvl w:val="0"/>
          <w:numId w:val="4"/>
        </w:numPr>
        <w:spacing w:after="100" w:line="312"/>
      </w:pPr>
      <w:r>
        <w:rPr>
          <w:rFonts w:ascii="Calibri" w:cs="Calibri" w:eastAsia="Calibri" w:hAnsi="Calibri"/>
          <w:sz w:val="22"/>
          <w:szCs w:val="22"/>
        </w:rPr>
        <w:t xml:space="preserve">Evaluación clínica: signos físicos de deficiencias nutricionales, exploración de signos de malnutrición, evaluación del desarrollo puberal mediante estadios de Tanner.</w:t>
      </w:r>
    </w:p>
    <w:p>
      <w:pPr>
        <w:pStyle w:val="ListParagraph"/>
        <w:numPr>
          <w:ilvl w:val="0"/>
          <w:numId w:val="4"/>
        </w:numPr>
        <w:spacing w:after="200" w:line="312"/>
      </w:pPr>
      <w:r>
        <w:rPr>
          <w:rFonts w:ascii="Calibri" w:cs="Calibri" w:eastAsia="Calibri" w:hAnsi="Calibri"/>
          <w:sz w:val="22"/>
          <w:szCs w:val="22"/>
        </w:rPr>
        <w:t xml:space="preserve">Evaluación del contexto familiar, escolar y social: identificación de factores de riesgo y protectores, accesibilidad a alimentos, seguridad alimentaria, dinámica familiar en relación con la alimentación.</w:t>
      </w:r>
    </w:p>
    <w:p>
      <w:pPr>
        <w:pStyle w:val="Heading1"/>
      </w:pPr>
      <w:r>
        <w:t xml:space="preserve">3. Problemáticas Nutricionales Específicas</w:t>
      </w:r>
    </w:p>
    <w:p>
      <w:pPr>
        <w:pStyle w:val="Heading2"/>
      </w:pPr>
      <w:r>
        <w:t xml:space="preserve">3.1 Malnutrición por Déficit y Exceso</w:t>
      </w:r>
    </w:p>
    <w:p>
      <w:pPr>
        <w:spacing w:after="200" w:line="312"/>
      </w:pPr>
      <w:r>
        <w:rPr>
          <w:rFonts w:ascii="Calibri" w:cs="Calibri" w:eastAsia="Calibri" w:hAnsi="Calibri"/>
          <w:sz w:val="22"/>
          <w:szCs w:val="22"/>
        </w:rPr>
        <w:t xml:space="preserve">La malnutrición en la infancia y adolescencia presenta un panorama complejo caracterizado por la "triple carga" de la malnutrición: desnutrición, deficiencias de micronutrientes y sobrepeso/obesidad. El nutricionista debe estar preparado para identificar, prevenir y tratar estas condiciones, comprendiendo sus determinantes multifactoriales y sus consecuencias a corto y largo plazo. La transición nutricional que experimentan muchos países ha generado un escenario donde conviven problemas tradicionalmente asociados a la pobreza con aquellos propios de la modernidad alimentaria.</w:t>
      </w:r>
    </w:p>
    <w:p>
      <w:pPr>
        <w:spacing w:after="150" w:line="312"/>
      </w:pPr>
      <w:r>
        <w:rPr>
          <w:rFonts w:ascii="Calibri" w:cs="Calibri" w:eastAsia="Calibri" w:hAnsi="Calibri"/>
          <w:b/>
          <w:bCs/>
          <w:sz w:val="22"/>
          <w:szCs w:val="22"/>
        </w:rPr>
        <w:t xml:space="preserve">Contenidos sobre desnutrición:</w:t>
      </w:r>
    </w:p>
    <w:p>
      <w:pPr>
        <w:pStyle w:val="ListParagraph"/>
        <w:numPr>
          <w:ilvl w:val="0"/>
          <w:numId w:val="4"/>
        </w:numPr>
        <w:spacing w:after="100" w:line="312"/>
      </w:pPr>
      <w:r>
        <w:rPr>
          <w:rFonts w:ascii="Calibri" w:cs="Calibri" w:eastAsia="Calibri" w:hAnsi="Calibri"/>
          <w:sz w:val="22"/>
          <w:szCs w:val="22"/>
        </w:rPr>
        <w:t xml:space="preserve">Etiología y clasificación: desnutrición aguda (emaciación), desnutrición crónica (retraso del crecimiento), desnutrición global. Diferencias en el abordaje según el tipo y severidad, y su relación con condiciones socioeconómicas y patologías subyacentes.</w:t>
      </w:r>
    </w:p>
    <w:p>
      <w:pPr>
        <w:pStyle w:val="ListParagraph"/>
        <w:numPr>
          <w:ilvl w:val="0"/>
          <w:numId w:val="4"/>
        </w:numPr>
        <w:spacing w:after="100" w:line="312"/>
      </w:pPr>
      <w:r>
        <w:rPr>
          <w:rFonts w:ascii="Calibri" w:cs="Calibri" w:eastAsia="Calibri" w:hAnsi="Calibri"/>
          <w:sz w:val="22"/>
          <w:szCs w:val="22"/>
        </w:rPr>
        <w:t xml:space="preserve">Consecuencias: impacto en el crecimiento, desarrollo cognitivo, rendimiento escolar, sistema inmunológico y salud futura. La desnutrición durante estos períodos puede tener efectos irreversibles o difíciles de revertir.</w:t>
      </w:r>
    </w:p>
    <w:p>
      <w:pPr>
        <w:pStyle w:val="ListParagraph"/>
        <w:numPr>
          <w:ilvl w:val="0"/>
          <w:numId w:val="4"/>
        </w:numPr>
        <w:spacing w:after="200" w:line="312"/>
      </w:pPr>
      <w:r>
        <w:rPr>
          <w:rFonts w:ascii="Calibri" w:cs="Calibri" w:eastAsia="Calibri" w:hAnsi="Calibri"/>
          <w:sz w:val="22"/>
          <w:szCs w:val="22"/>
        </w:rPr>
        <w:t xml:space="preserve">Tratamiento nutricional: realimentación, planes dietéticos de recuperación, suplementación, seguimiento y prevención de recaídas. El abordaje debe ser integral y considerar el contexto familiar y social.</w:t>
      </w:r>
    </w:p>
    <w:p>
      <w:pPr>
        <w:spacing w:after="150" w:line="312"/>
      </w:pPr>
      <w:r>
        <w:rPr>
          <w:rFonts w:ascii="Calibri" w:cs="Calibri" w:eastAsia="Calibri" w:hAnsi="Calibri"/>
          <w:b/>
          <w:bCs/>
          <w:sz w:val="22"/>
          <w:szCs w:val="22"/>
        </w:rPr>
        <w:t xml:space="preserve">Contenidos sobre sobrepeso y obesidad:</w:t>
      </w:r>
    </w:p>
    <w:p>
      <w:pPr>
        <w:pStyle w:val="ListParagraph"/>
        <w:numPr>
          <w:ilvl w:val="0"/>
          <w:numId w:val="4"/>
        </w:numPr>
        <w:spacing w:after="100" w:line="312"/>
      </w:pPr>
      <w:r>
        <w:rPr>
          <w:rFonts w:ascii="Calibri" w:cs="Calibri" w:eastAsia="Calibri" w:hAnsi="Calibri"/>
          <w:sz w:val="22"/>
          <w:szCs w:val="22"/>
        </w:rPr>
        <w:t xml:space="preserve">Epidemiología: prevalencia global y tendencias, factores de riesgo (genéticos, ambientales, conductuales), determinantes sociales y culturales. La obesidad infantil ha alcanzado proporciones epidémicas en la mayoría de los países.</w:t>
      </w:r>
    </w:p>
    <w:p>
      <w:pPr>
        <w:pStyle w:val="ListParagraph"/>
        <w:numPr>
          <w:ilvl w:val="0"/>
          <w:numId w:val="4"/>
        </w:numPr>
        <w:spacing w:after="100" w:line="312"/>
      </w:pPr>
      <w:r>
        <w:rPr>
          <w:rFonts w:ascii="Calibri" w:cs="Calibri" w:eastAsia="Calibri" w:hAnsi="Calibri"/>
          <w:sz w:val="22"/>
          <w:szCs w:val="22"/>
        </w:rPr>
        <w:t xml:space="preserve">Comorbilidades: síndrome metabólico, diabetes tipo 2, hipertensión arterial, dislipidemias, esteatosis hepática, problemas ortopédicos y consecuencias psicosociales. Cada vez es más frecuente la aparición de enfermedades antes consideradas del adulto.</w:t>
      </w:r>
    </w:p>
    <w:p>
      <w:pPr>
        <w:pStyle w:val="ListParagraph"/>
        <w:numPr>
          <w:ilvl w:val="0"/>
          <w:numId w:val="4"/>
        </w:numPr>
        <w:spacing w:after="200" w:line="312"/>
      </w:pPr>
      <w:r>
        <w:rPr>
          <w:rFonts w:ascii="Calibri" w:cs="Calibri" w:eastAsia="Calibri" w:hAnsi="Calibri"/>
          <w:sz w:val="22"/>
          <w:szCs w:val="22"/>
        </w:rPr>
        <w:t xml:space="preserve">Abordaje terapéutico: modificación de estilo de vida, tratamiento dietético, actividad física, intervención familiar, tratamiento multidisciplinario y criterios de derivación. El enfoque debe ser sensible y evitar el estigmatización del niño o adolescente.</w:t>
      </w:r>
    </w:p>
    <w:p>
      <w:pPr>
        <w:pStyle w:val="Heading2"/>
      </w:pPr>
      <w:r>
        <w:t xml:space="preserve">3.2 Deficiencias de Micronutrientes</w:t>
      </w:r>
    </w:p>
    <w:p>
      <w:pPr>
        <w:spacing w:after="200" w:line="312"/>
      </w:pPr>
      <w:r>
        <w:rPr>
          <w:rFonts w:ascii="Calibri" w:cs="Calibri" w:eastAsia="Calibri" w:hAnsi="Calibri"/>
          <w:sz w:val="22"/>
          <w:szCs w:val="22"/>
        </w:rPr>
        <w:t xml:space="preserve">Las deficiencias de micronutrientes, también conocidas como "hambre oculta", afectan significativamente a la población infantil y adolescente a nivel mundial. El nutricionista debe conocer las principales deficiencias, sus manifestaciones clínicas y subclínicas, los grupos de mayor riesgo y las estrategias de prevención y tratamiento. Estas deficiencias pueden coexistir con sobrepeso u obesidad, lo que complica el panorama nutricional.</w:t>
      </w:r>
    </w:p>
    <w:p>
      <w:pPr>
        <w:spacing w:after="150" w:line="312"/>
      </w:pPr>
      <w:r>
        <w:rPr>
          <w:rFonts w:ascii="Calibri" w:cs="Calibri" w:eastAsia="Calibri" w:hAnsi="Calibri"/>
          <w:b/>
          <w:bCs/>
          <w:sz w:val="22"/>
          <w:szCs w:val="22"/>
        </w:rPr>
        <w:t xml:space="preserve">Principales deficiencias a abordar:</w:t>
      </w:r>
    </w:p>
    <w:p>
      <w:pPr>
        <w:pStyle w:val="ListParagraph"/>
        <w:numPr>
          <w:ilvl w:val="0"/>
          <w:numId w:val="5"/>
        </w:numPr>
        <w:spacing w:after="100" w:line="312"/>
      </w:pPr>
      <w:r>
        <w:rPr>
          <w:rFonts w:ascii="Calibri" w:cs="Calibri" w:eastAsia="Calibri" w:hAnsi="Calibri"/>
          <w:sz w:val="22"/>
          <w:szCs w:val="22"/>
        </w:rPr>
        <w:t xml:space="preserve">Deficiencia de hierro y anemia ferropénica: es la deficiencia nutricional más prevalente a nivel mundial. Afecta particularmente a adolescentes mujeres post-menarquia. Consecuencias: fatiga, disminución del rendimiento cognitivo y escolar, alteraciones del desarrollo. El nutricionista debe conocer las fuentes dietéticas de hierro hemo y no hemo, factores que favorecen y inhiben su absorción, y los protocolos de suplementación.</w:t>
      </w:r>
    </w:p>
    <w:p>
      <w:pPr>
        <w:pStyle w:val="ListParagraph"/>
        <w:numPr>
          <w:ilvl w:val="0"/>
          <w:numId w:val="5"/>
        </w:numPr>
        <w:spacing w:after="100" w:line="312"/>
      </w:pPr>
      <w:r>
        <w:rPr>
          <w:rFonts w:ascii="Calibri" w:cs="Calibri" w:eastAsia="Calibri" w:hAnsi="Calibri"/>
          <w:sz w:val="22"/>
          <w:szCs w:val="22"/>
        </w:rPr>
        <w:t xml:space="preserve">Deficiencia de calcio y vitamina D: impacto en la mineralización ósea y el logro del pico de masa ósea. Relación con el riesgo de osteoporosis y fracturas en la edad adulta. Fuentes dietéticas, factores que afectan la síntesis de vitamina D y criterios de suplementación según guías clínicas actuales.</w:t>
      </w:r>
    </w:p>
    <w:p>
      <w:pPr>
        <w:pStyle w:val="ListParagraph"/>
        <w:numPr>
          <w:ilvl w:val="0"/>
          <w:numId w:val="5"/>
        </w:numPr>
        <w:spacing w:after="100" w:line="312"/>
      </w:pPr>
      <w:r>
        <w:rPr>
          <w:rFonts w:ascii="Calibri" w:cs="Calibri" w:eastAsia="Calibri" w:hAnsi="Calibri"/>
          <w:sz w:val="22"/>
          <w:szCs w:val="22"/>
        </w:rPr>
        <w:t xml:space="preserve">Deficiencia de zinc: asociada a retraso del crecimiento, alteraciones del apetito y del sistema inmunológico. Es particularmente relevante en poblaciones con dietas pobres en proteínas animales y altas en fitatos.</w:t>
      </w:r>
    </w:p>
    <w:p>
      <w:pPr>
        <w:pStyle w:val="ListParagraph"/>
        <w:numPr>
          <w:ilvl w:val="0"/>
          <w:numId w:val="5"/>
        </w:numPr>
        <w:spacing w:after="200" w:line="312"/>
      </w:pPr>
      <w:r>
        <w:rPr>
          <w:rFonts w:ascii="Calibri" w:cs="Calibri" w:eastAsia="Calibri" w:hAnsi="Calibri"/>
          <w:sz w:val="22"/>
          <w:szCs w:val="22"/>
        </w:rPr>
        <w:t xml:space="preserve">Otras deficiencias relevantes: vitamina A (en poblaciones específicas), vitamina B12 (especialmente en dietas vegetarianas/veganas), folatos, yodo. El profesional debe estar preparado para identificar grupos de riesgo y aplicar estrategias de fortificación, suplementación y modificación dietética.</w:t>
      </w:r>
    </w:p>
    <w:p>
      <w:pPr>
        <w:pStyle w:val="Heading2"/>
      </w:pPr>
      <w:r>
        <w:t xml:space="preserve">3.3 Trastornos de la Conducta Alimentaria</w:t>
      </w:r>
    </w:p>
    <w:p>
      <w:pPr>
        <w:spacing w:after="200" w:line="312"/>
      </w:pPr>
      <w:r>
        <w:rPr>
          <w:rFonts w:ascii="Calibri" w:cs="Calibri" w:eastAsia="Calibri" w:hAnsi="Calibri"/>
          <w:sz w:val="22"/>
          <w:szCs w:val="22"/>
        </w:rPr>
        <w:t xml:space="preserve">Los trastornos de la conducta alimentaria (TCA) representan una de las problemáticas más complejas y graves que puede enfrentar el nutricionista en su práctica con adolescentes. La adolescencia es el período de mayor riesgo para el desarrollo de estas patologías, que incluyen anorexia nerviosa, bulimia nerviosa, trastorno por atracones y otras condiciones relacionadas. El profesional debe estar preparado para la detección temprana, la intervención inicial y el trabajo en equipo multidisciplinario, ya que el tratamiento integral requiere la participación de psiquiatras, psicólogos y otros especialistas de la salud mental.</w:t>
      </w:r>
    </w:p>
    <w:p>
      <w:pPr>
        <w:spacing w:after="150" w:line="312"/>
      </w:pPr>
      <w:r>
        <w:rPr>
          <w:rFonts w:ascii="Calibri" w:cs="Calibri" w:eastAsia="Calibri" w:hAnsi="Calibri"/>
          <w:b/>
          <w:bCs/>
          <w:sz w:val="22"/>
          <w:szCs w:val="22"/>
        </w:rPr>
        <w:t xml:space="preserve">Contenidos esenciales sobre TCA:</w:t>
      </w:r>
    </w:p>
    <w:p>
      <w:pPr>
        <w:pStyle w:val="ListParagraph"/>
        <w:numPr>
          <w:ilvl w:val="0"/>
          <w:numId w:val="4"/>
        </w:numPr>
        <w:spacing w:after="100" w:line="312"/>
      </w:pPr>
      <w:r>
        <w:rPr>
          <w:rFonts w:ascii="Calibri" w:cs="Calibri" w:eastAsia="Calibri" w:hAnsi="Calibri"/>
          <w:sz w:val="22"/>
          <w:szCs w:val="22"/>
        </w:rPr>
        <w:t xml:space="preserve">Etiología multifactorial: factores biológicos, psicológicos, familiares, socioculturales y ambientales. Influencia de los medios de comunicación, redes sociales y la presión social por alcanzar ideales de delgadez irracionales.</w:t>
      </w:r>
    </w:p>
    <w:p>
      <w:pPr>
        <w:pStyle w:val="ListParagraph"/>
        <w:numPr>
          <w:ilvl w:val="0"/>
          <w:numId w:val="4"/>
        </w:numPr>
        <w:spacing w:after="100" w:line="312"/>
      </w:pPr>
      <w:r>
        <w:rPr>
          <w:rFonts w:ascii="Calibri" w:cs="Calibri" w:eastAsia="Calibri" w:hAnsi="Calibri"/>
          <w:sz w:val="22"/>
          <w:szCs w:val="22"/>
        </w:rPr>
        <w:t xml:space="preserve">Clasificación y criterios diagnósticos: anorexia nerviosa (restrictiva y purgativa), bulimia nerviosa, trastorno por atracones, trastorno por evitación/restricción de la ingesta alimentaria (ARFID) y otros especificados y no especificados según el DSM-5.</w:t>
      </w:r>
    </w:p>
    <w:p>
      <w:pPr>
        <w:pStyle w:val="ListParagraph"/>
        <w:numPr>
          <w:ilvl w:val="0"/>
          <w:numId w:val="4"/>
        </w:numPr>
        <w:spacing w:after="100" w:line="312"/>
      </w:pPr>
      <w:r>
        <w:rPr>
          <w:rFonts w:ascii="Calibri" w:cs="Calibri" w:eastAsia="Calibri" w:hAnsi="Calibri"/>
          <w:sz w:val="22"/>
          <w:szCs w:val="22"/>
        </w:rPr>
        <w:t xml:space="preserve">Signos de alarma: cambios bruscos en los hábitos alimentarios, eliminación de grupos de alimentos, preocupación excesiva por el peso y la figura, ejercicio compulsivo, aislamiento social, cambios de humor y deterioro del rendimiento académico.</w:t>
      </w:r>
    </w:p>
    <w:p>
      <w:pPr>
        <w:pStyle w:val="ListParagraph"/>
        <w:numPr>
          <w:ilvl w:val="0"/>
          <w:numId w:val="4"/>
        </w:numPr>
        <w:spacing w:after="100" w:line="312"/>
      </w:pPr>
      <w:r>
        <w:rPr>
          <w:rFonts w:ascii="Calibri" w:cs="Calibri" w:eastAsia="Calibri" w:hAnsi="Calibri"/>
          <w:sz w:val="22"/>
          <w:szCs w:val="22"/>
        </w:rPr>
        <w:t xml:space="preserve">Consecuencias médicas: desnutrición severa, alteraciones electrolíticas, arritmias cardíacas, alteraciones endocrinas, osteopenia/osteoporosis, alteraciones gastrointestinales y consecuencias psiquiátricas.</w:t>
      </w:r>
    </w:p>
    <w:p>
      <w:pPr>
        <w:pStyle w:val="ListParagraph"/>
        <w:numPr>
          <w:ilvl w:val="0"/>
          <w:numId w:val="4"/>
        </w:numPr>
        <w:spacing w:after="200" w:line="312"/>
      </w:pPr>
      <w:r>
        <w:rPr>
          <w:rFonts w:ascii="Calibri" w:cs="Calibri" w:eastAsia="Calibri" w:hAnsi="Calibri"/>
          <w:sz w:val="22"/>
          <w:szCs w:val="22"/>
        </w:rPr>
        <w:t xml:space="preserve">Rol del nutricionista: detección temprana, educación nutricional, rehabilitación alimentaria, seguimiento del estado nutricional, trabajo colaborativo con el equipo de salud mental y apoyo a la familia. Es fundamental conocer los límites del rol profesional y los criterios de derivación oportuna.</w:t>
      </w:r>
    </w:p>
    <w:p>
      <w:pPr>
        <w:pStyle w:val="Heading2"/>
      </w:pPr>
      <w:r>
        <w:t xml:space="preserve">3.4 Enfermedades Crónicas Relacionadas con la Nutrición</w:t>
      </w:r>
    </w:p>
    <w:p>
      <w:pPr>
        <w:spacing w:after="200" w:line="312"/>
      </w:pPr>
      <w:r>
        <w:rPr>
          <w:rFonts w:ascii="Calibri" w:cs="Calibri" w:eastAsia="Calibri" w:hAnsi="Calibri"/>
          <w:sz w:val="22"/>
          <w:szCs w:val="22"/>
        </w:rPr>
        <w:t xml:space="preserve">El aumento de la prevalencia de enfermedades crónicas no transmisibles en la población infantil y adolescente representa un desafío creciente para los profesionales de la nutrición. El nutricionista debe estar preparado para participar en la prevención, el tratamiento nutricional y el seguimiento de condiciones como la diabetes tipo 2, las dislipidemias, la hipertensión arterial y otras condiciones metabólicas que antes eran propias del adulto.</w:t>
      </w:r>
    </w:p>
    <w:p>
      <w:pPr>
        <w:spacing w:after="150" w:line="312"/>
      </w:pPr>
      <w:r>
        <w:rPr>
          <w:rFonts w:ascii="Calibri" w:cs="Calibri" w:eastAsia="Calibri" w:hAnsi="Calibri"/>
          <w:b/>
          <w:bCs/>
          <w:sz w:val="22"/>
          <w:szCs w:val="22"/>
        </w:rPr>
        <w:t xml:space="preserve">Contenidos específicos:</w:t>
      </w:r>
    </w:p>
    <w:p>
      <w:pPr>
        <w:pStyle w:val="ListParagraph"/>
        <w:numPr>
          <w:ilvl w:val="0"/>
          <w:numId w:val="6"/>
        </w:numPr>
        <w:spacing w:after="100" w:line="312"/>
      </w:pPr>
      <w:r>
        <w:rPr>
          <w:rFonts w:ascii="Calibri" w:cs="Calibri" w:eastAsia="Calibri" w:hAnsi="Calibri"/>
          <w:sz w:val="22"/>
          <w:szCs w:val="22"/>
        </w:rPr>
        <w:t xml:space="preserve">Diabetes mellitus tipo 2: su incremento dramático en jóvenes asociado a la epidemia de obesidad. Factores de riesgo, diagnóstico, tratamiento nutricional (distribución de carbohidratos, índice glucémico, conteo de carbohidratos), educación diabetológica y prevención de complicaciones agudas y crónicas.</w:t>
      </w:r>
    </w:p>
    <w:p>
      <w:pPr>
        <w:pStyle w:val="ListParagraph"/>
        <w:numPr>
          <w:ilvl w:val="0"/>
          <w:numId w:val="6"/>
        </w:numPr>
        <w:spacing w:after="100" w:line="312"/>
      </w:pPr>
      <w:r>
        <w:rPr>
          <w:rFonts w:ascii="Calibri" w:cs="Calibri" w:eastAsia="Calibri" w:hAnsi="Calibri"/>
          <w:sz w:val="22"/>
          <w:szCs w:val="22"/>
        </w:rPr>
        <w:t xml:space="preserve">Dislipidemias: clasificación, causas primarias y secundarias, diagnóstico, tratamiento dietético (modificación de la ingesta de grasas, fibra soluble, fitosteroles), indicaciones de tratamiento farmacológico.</w:t>
      </w:r>
    </w:p>
    <w:p>
      <w:pPr>
        <w:pStyle w:val="ListParagraph"/>
        <w:numPr>
          <w:ilvl w:val="0"/>
          <w:numId w:val="6"/>
        </w:numPr>
        <w:spacing w:after="100" w:line="312"/>
      </w:pPr>
      <w:r>
        <w:rPr>
          <w:rFonts w:ascii="Calibri" w:cs="Calibri" w:eastAsia="Calibri" w:hAnsi="Calibri"/>
          <w:sz w:val="22"/>
          <w:szCs w:val="22"/>
        </w:rPr>
        <w:t xml:space="preserve">Síndrome metabólico: criterios diagnósticos en pediatría, componentes del síndrome, abordaje integral y prevención de enfermedad cardiovascular futura.</w:t>
      </w:r>
    </w:p>
    <w:p>
      <w:pPr>
        <w:pStyle w:val="ListParagraph"/>
        <w:numPr>
          <w:ilvl w:val="0"/>
          <w:numId w:val="6"/>
        </w:numPr>
        <w:spacing w:after="200" w:line="312"/>
      </w:pPr>
      <w:r>
        <w:rPr>
          <w:rFonts w:ascii="Calibri" w:cs="Calibri" w:eastAsia="Calibri" w:hAnsi="Calibri"/>
          <w:sz w:val="22"/>
          <w:szCs w:val="22"/>
        </w:rPr>
        <w:t xml:space="preserve">Alergias e intolerancias alimentarias: diagnóstico diferencial, dietas de eliminación, reintroducción de alimentos, prevención y manejo de reacciones adversas, alternativas nutricionales para garantizar una dieta equilibrada.</w:t>
      </w:r>
    </w:p>
    <w:p>
      <w:pPr>
        <w:pStyle w:val="Heading1"/>
      </w:pPr>
      <w:r>
        <w:t xml:space="preserve">4. Ámbitos de Intervención Profesional</w:t>
      </w:r>
    </w:p>
    <w:p>
      <w:pPr>
        <w:pStyle w:val="Heading2"/>
      </w:pPr>
      <w:r>
        <w:t xml:space="preserve">4.1 Alimentación Escolar</w:t>
      </w:r>
    </w:p>
    <w:p>
      <w:pPr>
        <w:spacing w:after="200" w:line="312"/>
      </w:pPr>
      <w:r>
        <w:rPr>
          <w:rFonts w:ascii="Calibri" w:cs="Calibri" w:eastAsia="Calibri" w:hAnsi="Calibri"/>
          <w:sz w:val="22"/>
          <w:szCs w:val="22"/>
        </w:rPr>
        <w:t xml:space="preserve">Los programas de alimentación escolar constituyen uno de los principales ámbitos de intervención del nutricionista especializado en esta población. Estos programas tienen un impacto significativo en la nutrición, la educación y el desarrollo social de niñas, niños y adolescentes. El profesional debe estar preparado para participar en el diseño, implementación, monitoreo y evaluación de estos programas, así como para desarrollar iniciativas de educación alimentaria en el contexto escolar.</w:t>
      </w:r>
    </w:p>
    <w:p>
      <w:pPr>
        <w:spacing w:after="150" w:line="312"/>
      </w:pPr>
      <w:r>
        <w:rPr>
          <w:rFonts w:ascii="Calibri" w:cs="Calibri" w:eastAsia="Calibri" w:hAnsi="Calibri"/>
          <w:b/>
          <w:bCs/>
          <w:sz w:val="22"/>
          <w:szCs w:val="22"/>
        </w:rPr>
        <w:t xml:space="preserve">Competencias en alimentación escolar:</w:t>
      </w:r>
    </w:p>
    <w:p>
      <w:pPr>
        <w:pStyle w:val="ListParagraph"/>
        <w:numPr>
          <w:ilvl w:val="0"/>
          <w:numId w:val="4"/>
        </w:numPr>
        <w:spacing w:after="100" w:line="312"/>
      </w:pPr>
      <w:r>
        <w:rPr>
          <w:rFonts w:ascii="Calibri" w:cs="Calibri" w:eastAsia="Calibri" w:hAnsi="Calibri"/>
          <w:sz w:val="22"/>
          <w:szCs w:val="22"/>
        </w:rPr>
        <w:t xml:space="preserve">Diseño de menús: planificación de menús nutritivos, equilibrados y culturalmente apropiados, considerando requerimientos nutricionales, disponibilidad de alimentos, presupuesto, infraestructura y capacidades del personal de cocina.</w:t>
      </w:r>
    </w:p>
    <w:p>
      <w:pPr>
        <w:pStyle w:val="ListParagraph"/>
        <w:numPr>
          <w:ilvl w:val="0"/>
          <w:numId w:val="4"/>
        </w:numPr>
        <w:spacing w:after="100" w:line="312"/>
      </w:pPr>
      <w:r>
        <w:rPr>
          <w:rFonts w:ascii="Calibri" w:cs="Calibri" w:eastAsia="Calibri" w:hAnsi="Calibri"/>
          <w:sz w:val="22"/>
          <w:szCs w:val="22"/>
        </w:rPr>
        <w:t xml:space="preserve">Gestión de comedores escolares: organización, control de calidad, inocuidad alimentaria, capacitación del personal, supervisión de procesos de preparación y distribución de alimentos.</w:t>
      </w:r>
    </w:p>
    <w:p>
      <w:pPr>
        <w:pStyle w:val="ListParagraph"/>
        <w:numPr>
          <w:ilvl w:val="0"/>
          <w:numId w:val="4"/>
        </w:numPr>
        <w:spacing w:after="100" w:line="312"/>
      </w:pPr>
      <w:r>
        <w:rPr>
          <w:rFonts w:ascii="Calibri" w:cs="Calibri" w:eastAsia="Calibri" w:hAnsi="Calibri"/>
          <w:sz w:val="22"/>
          <w:szCs w:val="22"/>
        </w:rPr>
        <w:t xml:space="preserve">Regulación y políticas públicas: conocimiento del marco normativo nacional e internacional sobre alimentación escolar, políticas de kioscos y cantinas saludables, regulación de publicidad de alimentos en entornos escolares.</w:t>
      </w:r>
    </w:p>
    <w:p>
      <w:pPr>
        <w:pStyle w:val="ListParagraph"/>
        <w:numPr>
          <w:ilvl w:val="0"/>
          <w:numId w:val="4"/>
        </w:numPr>
        <w:spacing w:after="200" w:line="312"/>
      </w:pPr>
      <w:r>
        <w:rPr>
          <w:rFonts w:ascii="Calibri" w:cs="Calibri" w:eastAsia="Calibri" w:hAnsi="Calibri"/>
          <w:sz w:val="22"/>
          <w:szCs w:val="22"/>
        </w:rPr>
        <w:t xml:space="preserve">Educación alimentaria en la escuela: integración de la nutrición en el currículo escolar, actividades prácticas de cocina, huertos escolares, talleres con familias y desarrollo de materiales educativos.</w:t>
      </w:r>
    </w:p>
    <w:p>
      <w:pPr>
        <w:pStyle w:val="Heading2"/>
      </w:pPr>
      <w:r>
        <w:t xml:space="preserve">4.2 Nutrición Deportiva en Adolescentes</w:t>
      </w:r>
    </w:p>
    <w:p>
      <w:pPr>
        <w:spacing w:after="200" w:line="312"/>
      </w:pPr>
      <w:r>
        <w:rPr>
          <w:rFonts w:ascii="Calibri" w:cs="Calibri" w:eastAsia="Calibri" w:hAnsi="Calibri"/>
          <w:sz w:val="22"/>
          <w:szCs w:val="22"/>
        </w:rPr>
        <w:t xml:space="preserve">La nutrición deportiva en adolescentes requiere un enfoque especializado que considere tanto las necesidades del crecimiento y desarrollo como las demandas específicas de la actividad física intensa. El nutricionista debe ser capaz de asesorar a jóvenes deportistas, considerando la etapa puberal, el tipo de deporte, la intensidad y frecuencia del entrenamiento, y los objetivos particulares de cada individuo.</w:t>
      </w:r>
    </w:p>
    <w:p>
      <w:pPr>
        <w:spacing w:after="150" w:line="312"/>
      </w:pPr>
      <w:r>
        <w:rPr>
          <w:rFonts w:ascii="Calibri" w:cs="Calibri" w:eastAsia="Calibri" w:hAnsi="Calibri"/>
          <w:b/>
          <w:bCs/>
          <w:sz w:val="22"/>
          <w:szCs w:val="22"/>
        </w:rPr>
        <w:t xml:space="preserve">Contenidos específicos de nutrición deportiva:</w:t>
      </w:r>
    </w:p>
    <w:p>
      <w:pPr>
        <w:pStyle w:val="ListParagraph"/>
        <w:numPr>
          <w:ilvl w:val="0"/>
          <w:numId w:val="4"/>
        </w:numPr>
        <w:spacing w:after="100" w:line="312"/>
      </w:pPr>
      <w:r>
        <w:rPr>
          <w:rFonts w:ascii="Calibri" w:cs="Calibri" w:eastAsia="Calibri" w:hAnsi="Calibri"/>
          <w:sz w:val="22"/>
          <w:szCs w:val="22"/>
        </w:rPr>
        <w:t xml:space="preserve">Requerimientos energéticos aumentados: cálculo de necesidades calóricas según tipo de deporte, fase de entrenamiento y competición. Importancia de garantizar un balance energético adecuado para sostener tanto el crecimiento como el rendimiento deportivo.</w:t>
      </w:r>
    </w:p>
    <w:p>
      <w:pPr>
        <w:pStyle w:val="ListParagraph"/>
        <w:numPr>
          <w:ilvl w:val="0"/>
          <w:numId w:val="4"/>
        </w:numPr>
        <w:spacing w:after="100" w:line="312"/>
      </w:pPr>
      <w:r>
        <w:rPr>
          <w:rFonts w:ascii="Calibri" w:cs="Calibri" w:eastAsia="Calibri" w:hAnsi="Calibri"/>
          <w:sz w:val="22"/>
          <w:szCs w:val="22"/>
        </w:rPr>
        <w:t xml:space="preserve">Distribución de macronutrientes: necesidades proteicas para desarrollo muscular y recuperación, carbohidratos como fuente principal de energía, lípidos y su rol en la síntesis hormonal. Timing de la ingesta en relación con el entrenamiento.</w:t>
      </w:r>
    </w:p>
    <w:p>
      <w:pPr>
        <w:pStyle w:val="ListParagraph"/>
        <w:numPr>
          <w:ilvl w:val="0"/>
          <w:numId w:val="4"/>
        </w:numPr>
        <w:spacing w:after="100" w:line="312"/>
      </w:pPr>
      <w:r>
        <w:rPr>
          <w:rFonts w:ascii="Calibri" w:cs="Calibri" w:eastAsia="Calibri" w:hAnsi="Calibri"/>
          <w:sz w:val="22"/>
          <w:szCs w:val="22"/>
        </w:rPr>
        <w:t xml:space="preserve">Hidratación: estrategias de hidratación antes, durante y después del ejercicio, prevención de la deshidratación, uso de bebidas deportivas y riesgos de la hiperhidratación.</w:t>
      </w:r>
    </w:p>
    <w:p>
      <w:pPr>
        <w:pStyle w:val="ListParagraph"/>
        <w:numPr>
          <w:ilvl w:val="0"/>
          <w:numId w:val="4"/>
        </w:numPr>
        <w:spacing w:after="100" w:line="312"/>
      </w:pPr>
      <w:r>
        <w:rPr>
          <w:rFonts w:ascii="Calibri" w:cs="Calibri" w:eastAsia="Calibri" w:hAnsi="Calibri"/>
          <w:sz w:val="22"/>
          <w:szCs w:val="22"/>
        </w:rPr>
        <w:t xml:space="preserve">Suplementación: criterios de indicación, suplementos con evidencia de eficacia (proteínas, creatina, cafeína en adolescentes mayores), riesgos y regulaciones. Prevención del uso de sustancias prohibidas y peligrosas.</w:t>
      </w:r>
    </w:p>
    <w:p>
      <w:pPr>
        <w:pStyle w:val="ListParagraph"/>
        <w:numPr>
          <w:ilvl w:val="0"/>
          <w:numId w:val="4"/>
        </w:numPr>
        <w:spacing w:after="200" w:line="312"/>
      </w:pPr>
      <w:r>
        <w:rPr>
          <w:rFonts w:ascii="Calibri" w:cs="Calibri" w:eastAsia="Calibri" w:hAnsi="Calibri"/>
          <w:sz w:val="22"/>
          <w:szCs w:val="22"/>
        </w:rPr>
        <w:t xml:space="preserve">Prevención de la tríada de la atleta femenina: baja disponibilidad energética, alteraciones menstruales, osteoporosis. Identificación de signos de alarma y abordaje multidisciplinario.</w:t>
      </w:r>
    </w:p>
    <w:p>
      <w:pPr>
        <w:pStyle w:val="Heading2"/>
      </w:pPr>
      <w:r>
        <w:t xml:space="preserve">4.3 Educación Alimentaria y Nutricional</w:t>
      </w:r>
    </w:p>
    <w:p>
      <w:pPr>
        <w:spacing w:after="200" w:line="312"/>
      </w:pPr>
      <w:r>
        <w:rPr>
          <w:rFonts w:ascii="Calibri" w:cs="Calibri" w:eastAsia="Calibri" w:hAnsi="Calibri"/>
          <w:sz w:val="22"/>
          <w:szCs w:val="22"/>
        </w:rPr>
        <w:t xml:space="preserve">La educación alimentaria y nutricional (EAN) es una herramienta fundamental para la promoción de hábitos saludables en escolares y adolescentes. El nutricionista debe desarrollar competencias pedagógicas y comunicacionales que le permitan diseñar, implementar y evaluar intervenciones educativas efectivas y culturalmente apropiadas. La EAN va más allá de la transmisión de información teórica; debe involucrar a los niños y adolescentes en experiencias alimentarias significativas.</w:t>
      </w:r>
    </w:p>
    <w:p>
      <w:pPr>
        <w:spacing w:after="150" w:line="312"/>
      </w:pPr>
      <w:r>
        <w:rPr>
          <w:rFonts w:ascii="Calibri" w:cs="Calibri" w:eastAsia="Calibri" w:hAnsi="Calibri"/>
          <w:b/>
          <w:bCs/>
          <w:sz w:val="22"/>
          <w:szCs w:val="22"/>
        </w:rPr>
        <w:t xml:space="preserve">Competencias en educación alimentaria:</w:t>
      </w:r>
    </w:p>
    <w:p>
      <w:pPr>
        <w:pStyle w:val="ListParagraph"/>
        <w:numPr>
          <w:ilvl w:val="0"/>
          <w:numId w:val="7"/>
        </w:numPr>
        <w:spacing w:after="100" w:line="312"/>
      </w:pPr>
      <w:r>
        <w:rPr>
          <w:rFonts w:ascii="Calibri" w:cs="Calibri" w:eastAsia="Calibri" w:hAnsi="Calibri"/>
          <w:sz w:val="22"/>
          <w:szCs w:val="22"/>
        </w:rPr>
        <w:t xml:space="preserve">Metodologías educativas: técnicas participativas, aprendizaje basado en la experiencia, gamificación, cocinas didácticas, huertos escolares, talleres prácticos. Adaptación de estrategias según la etapa de desarrollo cognitivo y emocional.</w:t>
      </w:r>
    </w:p>
    <w:p>
      <w:pPr>
        <w:pStyle w:val="ListParagraph"/>
        <w:numPr>
          <w:ilvl w:val="0"/>
          <w:numId w:val="7"/>
        </w:numPr>
        <w:spacing w:after="100" w:line="312"/>
      </w:pPr>
      <w:r>
        <w:rPr>
          <w:rFonts w:ascii="Calibri" w:cs="Calibri" w:eastAsia="Calibri" w:hAnsi="Calibri"/>
          <w:sz w:val="22"/>
          <w:szCs w:val="22"/>
        </w:rPr>
        <w:t xml:space="preserve">Desarrollo de materiales: diseño de recursos educativos atractivos y apropiados para cada grupo etario, uso de tecnologías de la información y comunicación, redes sociales y aplicaciones móviles como herramientas educativas.</w:t>
      </w:r>
    </w:p>
    <w:p>
      <w:pPr>
        <w:pStyle w:val="ListParagraph"/>
        <w:numPr>
          <w:ilvl w:val="0"/>
          <w:numId w:val="7"/>
        </w:numPr>
        <w:spacing w:after="100" w:line="312"/>
      </w:pPr>
      <w:r>
        <w:rPr>
          <w:rFonts w:ascii="Calibri" w:cs="Calibri" w:eastAsia="Calibri" w:hAnsi="Calibri"/>
          <w:sz w:val="22"/>
          <w:szCs w:val="22"/>
        </w:rPr>
        <w:t xml:space="preserve">Trabajo con familias: estrategias para involucrar a padres y cuidadores, talleres de cocina familiar, orientación sobre el rol de modelaje y el ambiente alimentario del hogar, manejo de conductas alimentarias difíciles.</w:t>
      </w:r>
    </w:p>
    <w:p>
      <w:pPr>
        <w:pStyle w:val="ListParagraph"/>
        <w:numPr>
          <w:ilvl w:val="0"/>
          <w:numId w:val="7"/>
        </w:numPr>
        <w:spacing w:after="200" w:line="312"/>
      </w:pPr>
      <w:r>
        <w:rPr>
          <w:rFonts w:ascii="Calibri" w:cs="Calibri" w:eastAsia="Calibri" w:hAnsi="Calibri"/>
          <w:sz w:val="22"/>
          <w:szCs w:val="22"/>
        </w:rPr>
        <w:t xml:space="preserve">Evaluación de intervenciones: diseño de estudios de impacto, indicadores de proceso y resultado, métodos cualitativos y cuantitativos para evaluar cambios en conocimientos, actitudes y prácticas alimentarias.</w:t>
      </w:r>
    </w:p>
    <w:p>
      <w:pPr>
        <w:pStyle w:val="Heading1"/>
      </w:pPr>
      <w:r>
        <w:t xml:space="preserve">5. Habilidades y Competencias Profesionales</w:t>
      </w:r>
    </w:p>
    <w:p>
      <w:pPr>
        <w:pStyle w:val="Heading2"/>
      </w:pPr>
      <w:r>
        <w:t xml:space="preserve">5.1 Competencias Técnicas</w:t>
      </w:r>
    </w:p>
    <w:p>
      <w:pPr>
        <w:spacing w:after="200" w:line="312"/>
      </w:pPr>
      <w:r>
        <w:rPr>
          <w:rFonts w:ascii="Calibri" w:cs="Calibri" w:eastAsia="Calibri" w:hAnsi="Calibri"/>
          <w:sz w:val="22"/>
          <w:szCs w:val="22"/>
        </w:rPr>
        <w:t xml:space="preserve">Las competencias técnicas constituyen el núcleo del quehacer profesional del nutricionista. Estas competencias se refieren a los conocimientos especializados y las habilidades prácticas específicas del campo de la nutrición infantil, que permiten al profesional desempeñarse con solvencia en los diferentes contextos de intervención.</w:t>
      </w:r>
    </w:p>
    <w:p>
      <w:pPr>
        <w:spacing w:after="150" w:before="200"/>
      </w:pPr>
      <w:r>
        <w:rPr>
          <w:rFonts w:ascii="Calibri" w:cs="Calibri" w:eastAsia="Calibri" w:hAnsi="Calibri"/>
          <w:b/>
          <w:bCs/>
          <w:sz w:val="20"/>
          <w:szCs w:val="20"/>
        </w:rPr>
        <w:t xml:space="preserve">Tabla 3. Competencias técnicas del nutricionista infantil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6240"/>
      </w:tblGrid>
      <w:tr>
        <w:trPr>
          <w:tblHeader/>
        </w:trPr>
        <w:tc>
          <w:tcPr>
            <w:tcBorders>
              <w:top w:val="single" w:color="CBD5E0" w:sz="1"/>
              <w:left w:val="single" w:color="CBD5E0" w:sz="1"/>
              <w:bottom w:val="single" w:color="CBD5E0" w:sz="1"/>
              <w:right w:val="single" w:color="CBD5E0" w:sz="1"/>
            </w:tcBorders>
            <w:shd w:fill="E2E8F0" w:val="clear"/>
            <w:vAlign w:val="center"/>
          </w:tcPr>
          <w:p>
            <w:pPr>
              <w:jc w:val="center"/>
            </w:pPr>
            <w:r>
              <w:rPr>
                <w:rFonts w:ascii="Calibri" w:cs="Calibri" w:eastAsia="Calibri" w:hAnsi="Calibri"/>
                <w:b/>
                <w:bCs/>
                <w:sz w:val="20"/>
                <w:szCs w:val="20"/>
              </w:rPr>
              <w:t xml:space="preserve">Área de Competencia</w:t>
            </w:r>
          </w:p>
        </w:tc>
        <w:tc>
          <w:tcPr>
            <w:tcBorders>
              <w:top w:val="single" w:color="CBD5E0" w:sz="1"/>
              <w:left w:val="single" w:color="CBD5E0" w:sz="1"/>
              <w:bottom w:val="single" w:color="CBD5E0" w:sz="1"/>
              <w:right w:val="single" w:color="CBD5E0" w:sz="1"/>
            </w:tcBorders>
            <w:shd w:fill="E2E8F0" w:val="clear"/>
            <w:vAlign w:val="center"/>
          </w:tcPr>
          <w:p>
            <w:pPr>
              <w:jc w:val="center"/>
            </w:pPr>
            <w:r>
              <w:rPr>
                <w:rFonts w:ascii="Calibri" w:cs="Calibri" w:eastAsia="Calibri" w:hAnsi="Calibri"/>
                <w:b/>
                <w:bCs/>
                <w:sz w:val="20"/>
                <w:szCs w:val="20"/>
              </w:rPr>
              <w:t xml:space="preserve">Descripción de la Competencia</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b/>
                <w:bCs/>
                <w:sz w:val="20"/>
                <w:szCs w:val="20"/>
              </w:rPr>
              <w:t xml:space="preserve">Evaluación Nutricional</w:t>
            </w:r>
          </w:p>
        </w:tc>
        <w:tc>
          <w:tcPr>
            <w:tcBorders>
              <w:top w:val="single" w:color="CBD5E0" w:sz="1"/>
              <w:left w:val="single" w:color="CBD5E0" w:sz="1"/>
              <w:bottom w:val="single" w:color="CBD5E0" w:sz="1"/>
              <w:right w:val="single" w:color="CBD5E0" w:sz="1"/>
            </w:tcBorders>
          </w:tcPr>
          <w:p>
            <w:pPr>
              <w:jc w:val="left"/>
            </w:pPr>
            <w:r>
              <w:rPr>
                <w:rFonts w:ascii="Calibri" w:cs="Calibri" w:eastAsia="Calibri" w:hAnsi="Calibri"/>
                <w:sz w:val="20"/>
                <w:szCs w:val="20"/>
              </w:rPr>
              <w:t xml:space="preserve">Realización de evaluación nutricional integral utilizando indicadores antropométricos, bioquímicos, clínicos y dietéticos. Interpretación de resultados según estándares de referencia.</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b/>
                <w:bCs/>
                <w:sz w:val="20"/>
                <w:szCs w:val="20"/>
              </w:rPr>
              <w:t xml:space="preserve">Planificación Dietética</w:t>
            </w:r>
          </w:p>
        </w:tc>
        <w:tc>
          <w:tcPr>
            <w:tcBorders>
              <w:top w:val="single" w:color="CBD5E0" w:sz="1"/>
              <w:left w:val="single" w:color="CBD5E0" w:sz="1"/>
              <w:bottom w:val="single" w:color="CBD5E0" w:sz="1"/>
              <w:right w:val="single" w:color="CBD5E0" w:sz="1"/>
            </w:tcBorders>
          </w:tcPr>
          <w:p>
            <w:pPr>
              <w:jc w:val="left"/>
            </w:pPr>
            <w:r>
              <w:rPr>
                <w:rFonts w:ascii="Calibri" w:cs="Calibri" w:eastAsia="Calibri" w:hAnsi="Calibri"/>
                <w:sz w:val="20"/>
                <w:szCs w:val="20"/>
              </w:rPr>
              <w:t xml:space="preserve">Elaboración de planes de alimentación individualizados, considerando requerimientos, preferencias, contexto sociocultural y recursos económicos. Cálculo de dietas y análisis nutricional.</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b/>
                <w:bCs/>
                <w:sz w:val="20"/>
                <w:szCs w:val="20"/>
              </w:rPr>
              <w:t xml:space="preserve">Intervención Nutricional</w:t>
            </w:r>
          </w:p>
        </w:tc>
        <w:tc>
          <w:tcPr>
            <w:tcBorders>
              <w:top w:val="single" w:color="CBD5E0" w:sz="1"/>
              <w:left w:val="single" w:color="CBD5E0" w:sz="1"/>
              <w:bottom w:val="single" w:color="CBD5E0" w:sz="1"/>
              <w:right w:val="single" w:color="CBD5E0" w:sz="1"/>
            </w:tcBorders>
          </w:tcPr>
          <w:p>
            <w:pPr>
              <w:jc w:val="left"/>
            </w:pPr>
            <w:r>
              <w:rPr>
                <w:rFonts w:ascii="Calibri" w:cs="Calibri" w:eastAsia="Calibri" w:hAnsi="Calibri"/>
                <w:sz w:val="20"/>
                <w:szCs w:val="20"/>
              </w:rPr>
              <w:t xml:space="preserve">Diseño e implementación de intervenciones nutricionales para prevención y tratamiento de problemas nutricionales. Seguimiento y ajuste de intervenciones según respuesta.</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b/>
                <w:bCs/>
                <w:sz w:val="20"/>
                <w:szCs w:val="20"/>
              </w:rPr>
              <w:t xml:space="preserve">Gestión de Programas</w:t>
            </w:r>
          </w:p>
        </w:tc>
        <w:tc>
          <w:tcPr>
            <w:tcBorders>
              <w:top w:val="single" w:color="CBD5E0" w:sz="1"/>
              <w:left w:val="single" w:color="CBD5E0" w:sz="1"/>
              <w:bottom w:val="single" w:color="CBD5E0" w:sz="1"/>
              <w:right w:val="single" w:color="CBD5E0" w:sz="1"/>
            </w:tcBorders>
          </w:tcPr>
          <w:p>
            <w:pPr>
              <w:jc w:val="left"/>
            </w:pPr>
            <w:r>
              <w:rPr>
                <w:rFonts w:ascii="Calibri" w:cs="Calibri" w:eastAsia="Calibri" w:hAnsi="Calibri"/>
                <w:sz w:val="20"/>
                <w:szCs w:val="20"/>
              </w:rPr>
              <w:t xml:space="preserve">Gestión de programas de alimentación escolar, comedores comunitarios y otros proyectos de nutrición. Diseño, implementación, monitoreo y evaluación de programas.</w:t>
            </w:r>
          </w:p>
        </w:tc>
      </w:tr>
      <w:tr>
        <w:tc>
          <w:tcPr>
            <w:tcBorders>
              <w:top w:val="single" w:color="CBD5E0" w:sz="1"/>
              <w:left w:val="single" w:color="CBD5E0" w:sz="1"/>
              <w:bottom w:val="single" w:color="CBD5E0" w:sz="1"/>
              <w:right w:val="single" w:color="CBD5E0" w:sz="1"/>
            </w:tcBorders>
          </w:tcPr>
          <w:p>
            <w:pPr>
              <w:jc w:val="center"/>
            </w:pPr>
            <w:r>
              <w:rPr>
                <w:rFonts w:ascii="Calibri" w:cs="Calibri" w:eastAsia="Calibri" w:hAnsi="Calibri"/>
                <w:b/>
                <w:bCs/>
                <w:sz w:val="20"/>
                <w:szCs w:val="20"/>
              </w:rPr>
              <w:t xml:space="preserve">Investigación</w:t>
            </w:r>
          </w:p>
        </w:tc>
        <w:tc>
          <w:tcPr>
            <w:tcBorders>
              <w:top w:val="single" w:color="CBD5E0" w:sz="1"/>
              <w:left w:val="single" w:color="CBD5E0" w:sz="1"/>
              <w:bottom w:val="single" w:color="CBD5E0" w:sz="1"/>
              <w:right w:val="single" w:color="CBD5E0" w:sz="1"/>
            </w:tcBorders>
          </w:tcPr>
          <w:p>
            <w:pPr>
              <w:jc w:val="left"/>
            </w:pPr>
            <w:r>
              <w:rPr>
                <w:rFonts w:ascii="Calibri" w:cs="Calibri" w:eastAsia="Calibri" w:hAnsi="Calibri"/>
                <w:sz w:val="20"/>
                <w:szCs w:val="20"/>
              </w:rPr>
              <w:t xml:space="preserve">Capacidad para desarrollar investigaciones en nutrición infantil, análisis crítico de evidencia científica y aplicación de hallazgos a la práctica profesional.</w:t>
            </w:r>
          </w:p>
        </w:tc>
      </w:tr>
    </w:tbl>
    <w:p>
      <w:pPr>
        <w:spacing w:after="300"/>
      </w:pPr>
    </w:p>
    <w:p>
      <w:pPr>
        <w:pStyle w:val="Heading2"/>
      </w:pPr>
      <w:r>
        <w:t xml:space="preserve">5.2 Competencias Comunicativas y Educativas</w:t>
      </w:r>
    </w:p>
    <w:p>
      <w:pPr>
        <w:spacing w:after="200" w:line="312"/>
      </w:pPr>
      <w:r>
        <w:rPr>
          <w:rFonts w:ascii="Calibri" w:cs="Calibri" w:eastAsia="Calibri" w:hAnsi="Calibri"/>
          <w:sz w:val="22"/>
          <w:szCs w:val="22"/>
        </w:rPr>
        <w:t xml:space="preserve">La efectividad de la intervención nutricional depende en gran medida de la capacidad del profesional para comunicarse de manera clara, empática y culturalmente sensible. El nutricionista debe desarrollar habilidades para establecer una relación terapéutica efectiva con niños, adolescentes y sus familias, así como para transmitir información de manera comprensible y motivadora.</w:t>
      </w:r>
    </w:p>
    <w:p>
      <w:pPr>
        <w:spacing w:after="150" w:line="312"/>
      </w:pPr>
      <w:r>
        <w:rPr>
          <w:rFonts w:ascii="Calibri" w:cs="Calibri" w:eastAsia="Calibri" w:hAnsi="Calibri"/>
          <w:b/>
          <w:bCs/>
          <w:sz w:val="22"/>
          <w:szCs w:val="22"/>
        </w:rPr>
        <w:t xml:space="preserve">Competencias comunicativas esenciales:</w:t>
      </w:r>
    </w:p>
    <w:p>
      <w:pPr>
        <w:pStyle w:val="ListParagraph"/>
        <w:numPr>
          <w:ilvl w:val="0"/>
          <w:numId w:val="8"/>
        </w:numPr>
        <w:spacing w:after="100" w:line="312"/>
      </w:pPr>
      <w:r>
        <w:rPr>
          <w:rFonts w:ascii="Calibri" w:cs="Calibri" w:eastAsia="Calibri" w:hAnsi="Calibri"/>
          <w:sz w:val="22"/>
          <w:szCs w:val="22"/>
        </w:rPr>
        <w:t xml:space="preserve">Comunicación con niños y adolescentes: adaptación del lenguaje según la etapa de desarrollo, uso de recursos visuales y lúdicos, creación de un ambiente de confianza y respeto a la autonomía progresiva del adolescente.</w:t>
      </w:r>
    </w:p>
    <w:p>
      <w:pPr>
        <w:pStyle w:val="ListParagraph"/>
        <w:numPr>
          <w:ilvl w:val="0"/>
          <w:numId w:val="8"/>
        </w:numPr>
        <w:spacing w:after="100" w:line="312"/>
      </w:pPr>
      <w:r>
        <w:rPr>
          <w:rFonts w:ascii="Calibri" w:cs="Calibri" w:eastAsia="Calibri" w:hAnsi="Calibri"/>
          <w:sz w:val="22"/>
          <w:szCs w:val="22"/>
        </w:rPr>
        <w:t xml:space="preserve">Entrevista motivacional: técnicas para explorar ambivalencia, resolver resistencias y facilitar el cambio de comportamiento. Aplicación de los principios de la entrevista motivacional en consultas individuales y familiares.</w:t>
      </w:r>
    </w:p>
    <w:p>
      <w:pPr>
        <w:pStyle w:val="ListParagraph"/>
        <w:numPr>
          <w:ilvl w:val="0"/>
          <w:numId w:val="8"/>
        </w:numPr>
        <w:spacing w:after="100" w:line="312"/>
      </w:pPr>
      <w:r>
        <w:rPr>
          <w:rFonts w:ascii="Calibri" w:cs="Calibri" w:eastAsia="Calibri" w:hAnsi="Calibri"/>
          <w:sz w:val="22"/>
          <w:szCs w:val="22"/>
        </w:rPr>
        <w:t xml:space="preserve">Consejería nutricional: habilidades para proporcionar orientación nutricional personalizada, establecer metas realistas y acuerdos conductuales, dar seguimiento y reforzar logros.</w:t>
      </w:r>
    </w:p>
    <w:p>
      <w:pPr>
        <w:pStyle w:val="ListParagraph"/>
        <w:numPr>
          <w:ilvl w:val="0"/>
          <w:numId w:val="8"/>
        </w:numPr>
        <w:spacing w:after="100" w:line="312"/>
      </w:pPr>
      <w:r>
        <w:rPr>
          <w:rFonts w:ascii="Calibri" w:cs="Calibri" w:eastAsia="Calibri" w:hAnsi="Calibri"/>
          <w:sz w:val="22"/>
          <w:szCs w:val="22"/>
        </w:rPr>
        <w:t xml:space="preserve">Comunicación con familias: habilidades para trabajar con padres y cuidadores, manejo de conflictos familiares en torno a la alimentación, educación para el establecimiento de límites saludables.</w:t>
      </w:r>
    </w:p>
    <w:p>
      <w:pPr>
        <w:pStyle w:val="ListParagraph"/>
        <w:numPr>
          <w:ilvl w:val="0"/>
          <w:numId w:val="8"/>
        </w:numPr>
        <w:spacing w:after="200" w:line="312"/>
      </w:pPr>
      <w:r>
        <w:rPr>
          <w:rFonts w:ascii="Calibri" w:cs="Calibri" w:eastAsia="Calibri" w:hAnsi="Calibri"/>
          <w:sz w:val="22"/>
          <w:szCs w:val="22"/>
        </w:rPr>
        <w:t xml:space="preserve">Trabajo en equipo multidisciplinario: comunicación efectiva con otros profesionales de la salud (pediatras, psiquiatras, psicólogos, trabajadores sociales), participación activa en equipos de atención integral.</w:t>
      </w:r>
    </w:p>
    <w:p>
      <w:pPr>
        <w:pStyle w:val="Heading2"/>
      </w:pPr>
      <w:r>
        <w:t xml:space="preserve">5.3 Competencias de Gestión y Liderazgo</w:t>
      </w:r>
    </w:p>
    <w:p>
      <w:pPr>
        <w:spacing w:after="200" w:line="312"/>
      </w:pPr>
      <w:r>
        <w:rPr>
          <w:rFonts w:ascii="Calibri" w:cs="Calibri" w:eastAsia="Calibri" w:hAnsi="Calibri"/>
          <w:sz w:val="22"/>
          <w:szCs w:val="22"/>
        </w:rPr>
        <w:t xml:space="preserve">El nutricionista del siglo XXI debe desarrollar competencias de gestión y liderazgo que le permitan participar activamente en la transformación de los sistemas alimentarios y de salud. Estas competencias son especialmente relevantes para quienes se desempeñan en puestos de gestión, coordinación de programas o Advocacy en políticas públicas de nutrición.</w:t>
      </w:r>
    </w:p>
    <w:p>
      <w:pPr>
        <w:spacing w:after="150" w:line="312"/>
      </w:pPr>
      <w:r>
        <w:rPr>
          <w:rFonts w:ascii="Calibri" w:cs="Calibri" w:eastAsia="Calibri" w:hAnsi="Calibri"/>
          <w:b/>
          <w:bCs/>
          <w:sz w:val="22"/>
          <w:szCs w:val="22"/>
        </w:rPr>
        <w:t xml:space="preserve">Competencias de gestión:</w:t>
      </w:r>
    </w:p>
    <w:p>
      <w:pPr>
        <w:pStyle w:val="ListParagraph"/>
        <w:numPr>
          <w:ilvl w:val="0"/>
          <w:numId w:val="4"/>
        </w:numPr>
        <w:spacing w:after="100" w:line="312"/>
      </w:pPr>
      <w:r>
        <w:rPr>
          <w:rFonts w:ascii="Calibri" w:cs="Calibri" w:eastAsia="Calibri" w:hAnsi="Calibri"/>
          <w:sz w:val="22"/>
          <w:szCs w:val="22"/>
        </w:rPr>
        <w:t xml:space="preserve">Gestión de proyectos: diseño, planificación, ejecución, monitoreo y evaluación de proyectos de nutrición. Elaboración de propuestas, gestión de recursos y rendición de cuentas.</w:t>
      </w:r>
    </w:p>
    <w:p>
      <w:pPr>
        <w:pStyle w:val="ListParagraph"/>
        <w:numPr>
          <w:ilvl w:val="0"/>
          <w:numId w:val="4"/>
        </w:numPr>
        <w:spacing w:after="100" w:line="312"/>
      </w:pPr>
      <w:r>
        <w:rPr>
          <w:rFonts w:ascii="Calibri" w:cs="Calibri" w:eastAsia="Calibri" w:hAnsi="Calibri"/>
          <w:sz w:val="22"/>
          <w:szCs w:val="22"/>
        </w:rPr>
        <w:t xml:space="preserve">Liderazgo y trabajo en equipo: capacidad para liderar equipos multidisciplinarios, delegar funciones, resolver conflictos y fomentar un ambiente de trabajo colaborativo.</w:t>
      </w:r>
    </w:p>
    <w:p>
      <w:pPr>
        <w:pStyle w:val="ListParagraph"/>
        <w:numPr>
          <w:ilvl w:val="0"/>
          <w:numId w:val="4"/>
        </w:numPr>
        <w:spacing w:after="100" w:line="312"/>
      </w:pPr>
      <w:r>
        <w:rPr>
          <w:rFonts w:ascii="Calibri" w:cs="Calibri" w:eastAsia="Calibri" w:hAnsi="Calibri"/>
          <w:sz w:val="22"/>
          <w:szCs w:val="22"/>
        </w:rPr>
        <w:t xml:space="preserve">Abogacía y políticas públicas: capacidad para participar en la formulación de políticas de nutrición, Advocacy por el derecho a una alimentación adecuada, incidencia en la agenda pública de nutrición infantil.</w:t>
      </w:r>
    </w:p>
    <w:p>
      <w:pPr>
        <w:pStyle w:val="ListParagraph"/>
        <w:numPr>
          <w:ilvl w:val="0"/>
          <w:numId w:val="4"/>
        </w:numPr>
        <w:spacing w:after="100" w:line="312"/>
      </w:pPr>
      <w:r>
        <w:rPr>
          <w:rFonts w:ascii="Calibri" w:cs="Calibri" w:eastAsia="Calibri" w:hAnsi="Calibri"/>
          <w:sz w:val="22"/>
          <w:szCs w:val="22"/>
        </w:rPr>
        <w:t xml:space="preserve">Ética profesional: conocimiento y aplicación del código de ética profesional, manejo de dilemas éticos, respeto a la confidencialidad, práctica basada en la evidencia y respeto a la autonomía.</w:t>
      </w:r>
    </w:p>
    <w:p>
      <w:pPr>
        <w:pStyle w:val="ListParagraph"/>
        <w:numPr>
          <w:ilvl w:val="0"/>
          <w:numId w:val="4"/>
        </w:numPr>
        <w:spacing w:after="200" w:line="312"/>
      </w:pPr>
      <w:r>
        <w:rPr>
          <w:rFonts w:ascii="Calibri" w:cs="Calibri" w:eastAsia="Calibri" w:hAnsi="Calibri"/>
          <w:sz w:val="22"/>
          <w:szCs w:val="22"/>
        </w:rPr>
        <w:t xml:space="preserve">Actualización continua: capacidad de aprendizaje autónomo, actualización permanente del conocimiento, participación en redes profesionales y contribución al desarrollo de la profesión.</w:t>
      </w:r>
    </w:p>
    <w:p>
      <w:pPr>
        <w:pStyle w:val="Heading1"/>
      </w:pPr>
      <w:r>
        <w:t xml:space="preserve">6. Conclusiones y Recomendaciones</w:t>
      </w:r>
    </w:p>
    <w:p>
      <w:pPr>
        <w:spacing w:after="200" w:line="312"/>
      </w:pPr>
      <w:r>
        <w:rPr>
          <w:rFonts w:ascii="Calibri" w:cs="Calibri" w:eastAsia="Calibri" w:hAnsi="Calibri"/>
          <w:sz w:val="22"/>
          <w:szCs w:val="22"/>
        </w:rPr>
        <w:t xml:space="preserve">La formación del nutricionista especializado en la atención de escolares y adolescentes requiere un enfoque integral que combine conocimientos teóricos sólidos con competencias prácticas relevantes. El período comprendido entre los 5 y los 19 años representa una etapa crucial donde se establecen hábitos alimentarios que perdurarán a lo largo de la vida, y donde las intervenciones nutricionales pueden tener un impacto significativo en la salud presente y futura de los individuos.</w:t>
      </w:r>
    </w:p>
    <w:p>
      <w:pPr>
        <w:spacing w:after="200" w:line="312"/>
      </w:pPr>
      <w:r>
        <w:rPr>
          <w:rFonts w:ascii="Calibri" w:cs="Calibri" w:eastAsia="Calibri" w:hAnsi="Calibri"/>
          <w:sz w:val="22"/>
          <w:szCs w:val="22"/>
        </w:rPr>
        <w:t xml:space="preserve">Los contenidos curriculares deben abarcar desde las bases fisiológicas del crecimiento y desarrollo hasta las competencias específicas de intervención en diferentes ámbitos: clínico, comunitario, escolar y deportivo. La problemática nutricional de esta población es compleja y está marcada por la triple carga de la malnutrición, el incremento de enfermedades crónicas relacionadas con la alimentación, y el impacto de factores ambientales, sociales y culturales en la conducta alimentaria.</w:t>
      </w:r>
    </w:p>
    <w:p>
      <w:pPr>
        <w:spacing w:after="200" w:line="312"/>
      </w:pPr>
      <w:r>
        <w:rPr>
          <w:rFonts w:ascii="Calibri" w:cs="Calibri" w:eastAsia="Calibri" w:hAnsi="Calibri"/>
          <w:sz w:val="22"/>
          <w:szCs w:val="22"/>
        </w:rPr>
        <w:t xml:space="preserve">El nutricionista debe desarrollar no solo competencias técnicas, sino también habilidades comunicativas, educativas y de gestión que le permitan desempeñarse eficazmente en un contexto sanitario cada vez más complejo y multidisciplinario. La formación continua, la práctica basada en la evidencia y el compromiso ético son elementos fundamentales para garantizar una atención de calidad a esta población.</w:t>
      </w:r>
    </w:p>
    <w:p>
      <w:pPr>
        <w:spacing w:after="200" w:line="312"/>
      </w:pPr>
      <w:r>
        <w:rPr>
          <w:rFonts w:ascii="Calibri" w:cs="Calibri" w:eastAsia="Calibri" w:hAnsi="Calibri"/>
          <w:sz w:val="22"/>
          <w:szCs w:val="22"/>
        </w:rPr>
        <w:t xml:space="preserve">Se recomienda que las instituciones formadoras de nutricionistas revisen y actualicen sus planes de estudio para asegurar que estos contenidos y competencias estén adecuadamente representados en la malla curricular. Asimismo, se sugiere fortalecer los espacios de práctica profesional en contextos reales de atención a escolares y adolescentes, promoviendo la interacción interdisciplinaria y la aplicación del conocimiento teórico a situaciones concretas.</w:t>
      </w:r>
    </w:p>
    <w:p>
      <w:pPr>
        <w:pStyle w:val="Heading1"/>
      </w:pPr>
      <w:r>
        <w:t xml:space="preserve">Referencias Bibliográficas</w:t>
      </w:r>
    </w:p>
    <w:p>
      <w:pPr>
        <w:spacing w:after="100" w:line="312"/>
      </w:pPr>
      <w:r>
        <w:rPr>
          <w:rFonts w:ascii="Calibri" w:cs="Calibri" w:eastAsia="Calibri" w:hAnsi="Calibri"/>
          <w:sz w:val="20"/>
          <w:szCs w:val="20"/>
        </w:rPr>
        <w:t xml:space="preserve">1. Organización Mundial de la Salud (OMS). Patrones de crecimiento de la OMS para escolares y adolescentes (5-19 años). Ginebra: OMS; 2007.</w:t>
      </w:r>
    </w:p>
    <w:p>
      <w:pPr>
        <w:spacing w:after="100" w:line="312"/>
      </w:pPr>
      <w:r>
        <w:rPr>
          <w:rFonts w:ascii="Calibri" w:cs="Calibri" w:eastAsia="Calibri" w:hAnsi="Calibri"/>
          <w:sz w:val="20"/>
          <w:szCs w:val="20"/>
        </w:rPr>
        <w:t xml:space="preserve">2. Organización de las Naciones Unidas para la Alimentación y la Agricultura (FAO). Manual de la Alimentación Escolar Saludable. Roma: FAO; 2018.</w:t>
      </w:r>
    </w:p>
    <w:p>
      <w:pPr>
        <w:spacing w:after="100" w:line="312"/>
      </w:pPr>
      <w:r>
        <w:rPr>
          <w:rFonts w:ascii="Calibri" w:cs="Calibri" w:eastAsia="Calibri" w:hAnsi="Calibri"/>
          <w:sz w:val="20"/>
          <w:szCs w:val="20"/>
        </w:rPr>
        <w:t xml:space="preserve">3. UNICEF. Para cada infancia, nutrición: Estrategia de Nutrición de UNICEF 2020-2030. Nueva York: UNICEF; 2020.</w:t>
      </w:r>
    </w:p>
    <w:p>
      <w:pPr>
        <w:spacing w:after="100" w:line="312"/>
      </w:pPr>
      <w:r>
        <w:rPr>
          <w:rFonts w:ascii="Calibri" w:cs="Calibri" w:eastAsia="Calibri" w:hAnsi="Calibri"/>
          <w:sz w:val="20"/>
          <w:szCs w:val="20"/>
        </w:rPr>
        <w:t xml:space="preserve">4. Sociedad Española de Nutrición (SEÑ). Guía de comedores escolares. Madrid: SEÑ; 2020.</w:t>
      </w:r>
    </w:p>
    <w:p>
      <w:pPr>
        <w:spacing w:after="100" w:line="312"/>
      </w:pPr>
      <w:r>
        <w:rPr>
          <w:rFonts w:ascii="Calibri" w:cs="Calibri" w:eastAsia="Calibri" w:hAnsi="Calibri"/>
          <w:sz w:val="20"/>
          <w:szCs w:val="20"/>
        </w:rPr>
        <w:t xml:space="preserve">5. Asociación Española de Pediatría (AEP). Nutrición en el niño en la edad preescolar y escolar. Madrid: AEP; 2020.</w:t>
      </w:r>
    </w:p>
    <w:p>
      <w:pPr>
        <w:spacing w:after="100" w:line="312"/>
      </w:pPr>
      <w:r>
        <w:rPr>
          <w:rFonts w:ascii="Calibri" w:cs="Calibri" w:eastAsia="Calibri" w:hAnsi="Calibri"/>
          <w:sz w:val="20"/>
          <w:szCs w:val="20"/>
        </w:rPr>
        <w:t xml:space="preserve">6. Instituto de Nutrición y Tecnología de los Alimentos (INTA). Guía de alimentación del escolar (6-10 años). Santiago: Universidad de Chile; 2018.</w:t>
      </w:r>
    </w:p>
    <w:p>
      <w:pPr>
        <w:spacing w:after="100" w:line="312"/>
      </w:pPr>
      <w:r>
        <w:rPr>
          <w:rFonts w:ascii="Calibri" w:cs="Calibri" w:eastAsia="Calibri" w:hAnsi="Calibri"/>
          <w:sz w:val="20"/>
          <w:szCs w:val="20"/>
        </w:rPr>
        <w:t xml:space="preserve">7. Sociedad Española de Gastroenterología, Hepatología y Nutrición Pediátrica (SEGHNP). Guía de Nutrición Pediátrica Hospitalaria, 5ª edición. Madrid: SEGHNP; 2021.</w:t>
      </w:r>
    </w:p>
    <w:p>
      <w:pPr>
        <w:spacing w:after="100" w:line="312"/>
      </w:pPr>
      <w:r>
        <w:rPr>
          <w:rFonts w:ascii="Calibri" w:cs="Calibri" w:eastAsia="Calibri" w:hAnsi="Calibri"/>
          <w:sz w:val="20"/>
          <w:szCs w:val="20"/>
        </w:rPr>
        <w:t xml:space="preserve">8. Pediatría Integral. Nutrición en la adolescencia. Rev Pediatr Integral. 2025;XXIX(3).</w:t>
      </w:r>
    </w:p>
    <w:p>
      <w:pPr>
        <w:spacing w:after="100" w:line="312"/>
      </w:pPr>
      <w:r>
        <w:rPr>
          <w:rFonts w:ascii="Calibri" w:cs="Calibri" w:eastAsia="Calibri" w:hAnsi="Calibri"/>
          <w:sz w:val="20"/>
          <w:szCs w:val="20"/>
        </w:rPr>
        <w:t xml:space="preserve">9. International Society for Pediatric and Adolescent Diabetes (ISPAD). Manejo nutricional en niños y adolescentes con diabetes. Guías Clínicas ISPAD; 2022.</w:t>
      </w:r>
    </w:p>
    <w:p>
      <w:pPr>
        <w:spacing w:after="100" w:line="312"/>
      </w:pPr>
      <w:r>
        <w:rPr>
          <w:rFonts w:ascii="Calibri" w:cs="Calibri" w:eastAsia="Calibri" w:hAnsi="Calibri"/>
          <w:sz w:val="20"/>
          <w:szCs w:val="20"/>
        </w:rPr>
        <w:t xml:space="preserve">10. Dietary Reference Intakes (DRI). Institute of Medicine. Washington DC: National Academies Press; 2019.</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Página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de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A5568"/>
        <w:sz w:val="18"/>
        <w:szCs w:val="18"/>
      </w:rPr>
      <w:t xml:space="preserve">Nutrición Infantil: 5-19 años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365D"/>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365D"/>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D3748"/>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2026-03-05T13:41:12.184Z</dcterms:created>
  <dcterms:modified xsi:type="dcterms:W3CDTF">2026-03-05T13:41:12.184Z</dcterms:modified>
</cp:coreProperties>
</file>

<file path=docProps/custom.xml><?xml version="1.0" encoding="utf-8"?>
<Properties xmlns="http://schemas.openxmlformats.org/officeDocument/2006/custom-properties" xmlns:vt="http://schemas.openxmlformats.org/officeDocument/2006/docPropsVTypes"/>
</file>