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80" w:type="dxa"/>
              <w:bottom w:w="180" w:type="dxa"/>
              <w:left w:w="200" w:type="dxa"/>
              <w:right w:w="200" w:type="dxa"/>
            </w:tcMar>
            <w:tcBorders>
              <w:top w:val="single" w:sz="4" w:space="0" w:color="E2E8F0"/>
              <w:left w:val="single" w:sz="28" w:space="0" w:color="1B365D"/>
              <w:bottom w:val="single" w:sz="12" w:space="0" w:color="1B365D"/>
              <w:right w:val="single" w:sz="4" w:space="0" w:color="E2E8F0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D7685"/>
                <w:sz w:val="18"/>
              </w:rPr>
              <w:t>UNIVERSIDAD DEL NORTE SANTO TOMÁS DE AQUINO (UNSTA) — DOCUMENTO DE CÁTEDRA N° 1 — ANTROPOMETRÍA Y COMPOSICIÓN CORPORAL</w:t>
              <w:br/>
            </w:r>
            <w:r>
              <w:rPr>
                <w:rFonts w:ascii="Calibri" w:hAnsi="Calibri"/>
                <w:b/>
                <w:color w:val="1B365D"/>
                <w:sz w:val="34"/>
              </w:rPr>
              <w:t>Manual Teórico-Práctico: Evaluación Antropométrica en Pediatría y Gestación</w:t>
            </w:r>
          </w:p>
          <w:p>
            <w:pPr>
              <w:spacing w:before="80" w:after="0"/>
            </w:pPr>
            <w:r>
              <w:rPr>
                <w:rFonts w:ascii="Calibri" w:hAnsi="Calibri"/>
                <w:i/>
                <w:color w:val="475569"/>
                <w:sz w:val="19"/>
              </w:rPr>
              <w:t>Facultad de Ciencias de la Salud • Carrera de Nutrición • Cátedra de Nutrición Infantil</w:t>
              <w:br/>
              <w:t>Profesor a Cargo: Lic. Germán</w:t>
            </w:r>
          </w:p>
        </w:tc>
      </w:tr>
    </w:tbl>
    <w:p>
      <w:pPr>
        <w:spacing w:before="160"/>
      </w:pP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Cátedra de Nutrición Infantil — Universidad del Norte Santo Tomás de Aquino (UNSTA)</w:t>
      </w:r>
      <w:r>
        <w:rPr>
          <w:rFonts w:ascii="Calibri" w:hAnsi="Calibri"/>
          <w:color w:val="1E293B"/>
          <w:sz w:val="20"/>
        </w:rPr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*Prof. Lic. Germán — Material Oficial de Estudio y Práctica Clínica*</w:t>
      </w:r>
    </w:p>
    <w:p>
      <w:pPr>
        <w:keepNext/>
        <w:spacing w:before="320" w:after="80"/>
      </w:pPr>
      <w:r>
        <w:rPr>
          <w:rFonts w:ascii="Calibri" w:hAnsi="Calibri"/>
          <w:b/>
          <w:color w:val="1B365D"/>
          <w:sz w:val="27"/>
        </w:rPr>
        <w:t>1. INTRODUCCIÓN Y FUNDAMENTO CLÍNICO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La evaluación del estado nutricional mediante antropometría constituye el método no invasivo de primera línea en pediatría y salud materno-infantil. Permite vigilar el crecimiento longitudinal, monitorizar la maduración somática, cuantificar los compartimentos corporales (reserva magra y adiposa) y detectar precozmente desviaciones del canal de crecimiento.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 xml:space="preserve">A diferencia del adulto, en la infancia y adolescencia el crecimiento no es un fenómeno estático: combina incrementos de tamaño corporal con modificaciones continuas de la composición química y la densidad tisular. Por ello, el diagnóstico antropométrico riguroso nunca debe basarse en una sola cifra aislada, sino en la integración armónica de </w:t>
      </w:r>
      <w:r>
        <w:rPr>
          <w:rFonts w:ascii="Calibri" w:hAnsi="Calibri"/>
          <w:b/>
          <w:color w:val="1E293B"/>
          <w:sz w:val="20"/>
        </w:rPr>
        <w:t>mediciones directas, índices relativos y su proyección en curvas de referencia validadas</w:t>
      </w:r>
      <w:r>
        <w:rPr>
          <w:rFonts w:ascii="Calibri" w:hAnsi="Calibri"/>
          <w:color w:val="1E293B"/>
          <w:sz w:val="20"/>
        </w:rPr>
        <w:t>.</w:t>
      </w:r>
    </w:p>
    <w:p>
      <w:pPr>
        <w:keepNext/>
        <w:spacing w:before="320" w:after="80"/>
      </w:pPr>
      <w:r>
        <w:rPr>
          <w:rFonts w:ascii="Calibri" w:hAnsi="Calibri"/>
          <w:b/>
          <w:color w:val="1B365D"/>
          <w:sz w:val="27"/>
        </w:rPr>
        <w:t>2. PUNTOS ANATÓMICOS Y TÉCNICAS DE MARCACIÓN (ESTÁNDAR CDC / ISAK)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La exactitud diagnóstica depende de minimizar el Error Técnico de Medición (ETM). Todo procedimiento debe realizarse con el paciente en ropa interior mínima o vestimenta liviana, siguiendo puntos anatómicos óseos invariables: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 w:sz="4" w:space="0" w:color="auto"/>
              <w:left w:val="single" w:sz="24" w:space="0" w:color="0D7685"/>
              <w:bottom w:val="none" w:sz="4" w:space="0" w:color="auto"/>
              <w:right w:val="none" w:sz="4" w:space="0" w:color="auto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0D7685"/>
                <w:sz w:val="21"/>
              </w:rPr>
              <w:t>📌 ESQUEMA SINTÉTICO / PROTOCOLO CLÍNICO</w:t>
              <w:br/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│ Acromion (borde superolateral)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└──────────────┬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 Punto Medio Mesobraquial ] ───&gt; Nivel para Perímetro Braquial (PB)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│                   y Pliegue Tricipital (PCT)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┌──────────────┴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│  Olécranon (vértice del codo)</w:t>
            </w:r>
          </w:p>
        </w:tc>
      </w:tr>
    </w:tbl>
    <w:p>
      <w:pPr>
        <w:spacing w:before="80" w:after="80"/>
      </w:pPr>
    </w:p>
    <w:p>
      <w:pPr>
        <w:keepNext/>
        <w:spacing w:before="220" w:after="60"/>
      </w:pPr>
      <w:r>
        <w:rPr>
          <w:rFonts w:ascii="Calibri" w:hAnsi="Calibri"/>
          <w:b/>
          <w:color w:val="0D7685"/>
          <w:sz w:val="22"/>
        </w:rPr>
        <w:t>2.1. Marcación Mesobraquial (Punto Medio del Brazo)</w:t>
      </w:r>
    </w:p>
    <w:p>
      <w:pPr>
        <w:spacing w:before="40" w:after="40" w:line="276" w:lineRule="auto"/>
        <w:ind w:left="360"/>
      </w:pPr>
      <w:r>
        <w:rPr>
          <w:rFonts w:ascii="Calibri" w:hAnsi="Calibri"/>
          <w:b/>
          <w:color w:val="1B365D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>Paciente en bipedestación erguida, con el brazo flexionado a 90° frente al cuerpo.</w:t>
      </w:r>
    </w:p>
    <w:p>
      <w:pPr>
        <w:spacing w:before="40" w:after="40" w:line="276" w:lineRule="auto"/>
        <w:ind w:left="360"/>
      </w:pPr>
      <w:r>
        <w:rPr>
          <w:rFonts w:ascii="Calibri" w:hAnsi="Calibri"/>
          <w:b/>
          <w:color w:val="1B365D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 xml:space="preserve">Identificar y palpar el borde superolateral del </w:t>
      </w:r>
      <w:r>
        <w:rPr>
          <w:rFonts w:ascii="Calibri" w:hAnsi="Calibri"/>
          <w:b/>
          <w:color w:val="1E293B"/>
          <w:sz w:val="20"/>
        </w:rPr>
        <w:t>Acromion</w:t>
      </w:r>
      <w:r>
        <w:rPr>
          <w:rFonts w:ascii="Calibri" w:hAnsi="Calibri"/>
          <w:color w:val="1E293B"/>
          <w:sz w:val="20"/>
        </w:rPr>
        <w:t xml:space="preserve"> y el punto más distal del </w:t>
      </w:r>
      <w:r>
        <w:rPr>
          <w:rFonts w:ascii="Calibri" w:hAnsi="Calibri"/>
          <w:b/>
          <w:color w:val="1E293B"/>
          <w:sz w:val="20"/>
        </w:rPr>
        <w:t>Olécranon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40" w:after="40" w:line="276" w:lineRule="auto"/>
        <w:ind w:left="360"/>
      </w:pPr>
      <w:r>
        <w:rPr>
          <w:rFonts w:ascii="Calibri" w:hAnsi="Calibri"/>
          <w:b/>
          <w:color w:val="1B365D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>Medir con cinta antropométrica la distancia exacta entre ambos puntos óseos.</w:t>
      </w:r>
    </w:p>
    <w:p>
      <w:pPr>
        <w:spacing w:before="40" w:after="40" w:line="276" w:lineRule="auto"/>
        <w:ind w:left="360"/>
      </w:pPr>
      <w:r>
        <w:rPr>
          <w:rFonts w:ascii="Calibri" w:hAnsi="Calibri"/>
          <w:b/>
          <w:color w:val="1B365D"/>
          <w:sz w:val="20"/>
        </w:rPr>
        <w:t xml:space="preserve">4. </w:t>
      </w:r>
      <w:r>
        <w:rPr>
          <w:rFonts w:ascii="Calibri" w:hAnsi="Calibri"/>
          <w:color w:val="1E293B"/>
          <w:sz w:val="20"/>
        </w:rPr>
        <w:t xml:space="preserve">Marcar con lápiz dermográfico el </w:t>
      </w:r>
      <w:r>
        <w:rPr>
          <w:rFonts w:ascii="Calibri" w:hAnsi="Calibri"/>
          <w:b/>
          <w:color w:val="1E293B"/>
          <w:sz w:val="20"/>
        </w:rPr>
        <w:t>punto medio exacto</w:t>
      </w:r>
      <w:r>
        <w:rPr>
          <w:rFonts w:ascii="Calibri" w:hAnsi="Calibri"/>
          <w:color w:val="1E293B"/>
          <w:sz w:val="20"/>
        </w:rPr>
        <w:t xml:space="preserve"> sobre la cara posterior y lateral del brazo.</w:t>
      </w:r>
    </w:p>
    <w:p>
      <w:pPr>
        <w:spacing w:before="40" w:after="40" w:line="276" w:lineRule="auto"/>
        <w:ind w:left="360"/>
      </w:pPr>
      <w:r>
        <w:rPr>
          <w:rFonts w:ascii="Calibri" w:hAnsi="Calibri"/>
          <w:b/>
          <w:color w:val="1B365D"/>
          <w:sz w:val="20"/>
        </w:rPr>
        <w:t xml:space="preserve">5. </w:t>
      </w:r>
      <w:r>
        <w:rPr>
          <w:rFonts w:ascii="Calibri" w:hAnsi="Calibri"/>
          <w:color w:val="1E293B"/>
          <w:sz w:val="20"/>
        </w:rPr>
        <w:t>Dejar caer el brazo en posición anatómica relajada a lo largo del cuerpo. A este nivel se tomarán el Perímetro Braquial y el Pliegue Cutáneo Tricipital.</w:t>
      </w:r>
    </w:p>
    <w:p>
      <w:pPr>
        <w:keepNext/>
        <w:spacing w:before="220" w:after="60"/>
      </w:pPr>
      <w:r>
        <w:rPr>
          <w:rFonts w:ascii="Calibri" w:hAnsi="Calibri"/>
          <w:b/>
          <w:color w:val="0D7685"/>
          <w:sz w:val="22"/>
        </w:rPr>
        <w:t>2.2. Punto Subescapular</w:t>
      </w:r>
    </w:p>
    <w:p>
      <w:pPr>
        <w:spacing w:before="40" w:after="40" w:line="276" w:lineRule="auto"/>
        <w:ind w:left="360"/>
      </w:pPr>
      <w:r>
        <w:rPr>
          <w:rFonts w:ascii="Calibri" w:hAnsi="Calibri"/>
          <w:b/>
          <w:color w:val="1B365D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 xml:space="preserve">Palpar el borde medial de la escápula hasta localizar su </w:t>
      </w:r>
      <w:r>
        <w:rPr>
          <w:rFonts w:ascii="Calibri" w:hAnsi="Calibri"/>
          <w:b/>
          <w:color w:val="1E293B"/>
          <w:sz w:val="20"/>
        </w:rPr>
        <w:t>ángulo inferior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40" w:after="40" w:line="276" w:lineRule="auto"/>
        <w:ind w:left="360"/>
      </w:pPr>
      <w:r>
        <w:rPr>
          <w:rFonts w:ascii="Calibri" w:hAnsi="Calibri"/>
          <w:b/>
          <w:color w:val="1B365D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>Marcar un punto a 1.0 a 2.0 cm distal en dirección inferolateral, siguiendo la línea natural de división de la piel (ángulo oblicuo a 45°).</w:t>
      </w:r>
    </w:p>
    <w:p>
      <w:pPr>
        <w:keepNext/>
        <w:spacing w:before="220" w:after="60"/>
      </w:pPr>
      <w:r>
        <w:rPr>
          <w:rFonts w:ascii="Calibri" w:hAnsi="Calibri"/>
          <w:b/>
          <w:color w:val="0D7685"/>
          <w:sz w:val="22"/>
        </w:rPr>
        <w:t>2.3. Referencia de Cintura (Cresta Ilíaca)</w:t>
      </w:r>
    </w:p>
    <w:p>
      <w:pPr>
        <w:spacing w:before="40" w:after="40" w:line="276" w:lineRule="auto"/>
        <w:ind w:left="360"/>
      </w:pPr>
      <w:r>
        <w:rPr>
          <w:rFonts w:ascii="Calibri" w:hAnsi="Calibri"/>
          <w:b/>
          <w:color w:val="1B365D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 xml:space="preserve">Localizar por palpación lateral la cara más superior del borde lateral de la </w:t>
      </w:r>
      <w:r>
        <w:rPr>
          <w:rFonts w:ascii="Calibri" w:hAnsi="Calibri"/>
          <w:b/>
          <w:color w:val="1E293B"/>
          <w:sz w:val="20"/>
        </w:rPr>
        <w:t>cresta ilíaca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40" w:after="40" w:line="276" w:lineRule="auto"/>
        <w:ind w:left="360"/>
      </w:pPr>
      <w:r>
        <w:rPr>
          <w:rFonts w:ascii="Calibri" w:hAnsi="Calibri"/>
          <w:b/>
          <w:color w:val="1B365D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>Marcar una línea horizontal que servirá de guía para el posicionamiento de la cinta métrica en el perímetro de cintura pediátrico (protocolo CDC/NHANES).</w:t>
      </w:r>
    </w:p>
    <w:p>
      <w:pPr>
        <w:keepNext/>
        <w:spacing w:before="320" w:after="80"/>
      </w:pPr>
      <w:r>
        <w:rPr>
          <w:rFonts w:ascii="Calibri" w:hAnsi="Calibri"/>
          <w:b/>
          <w:color w:val="1B365D"/>
          <w:sz w:val="27"/>
        </w:rPr>
        <w:t>3. PROTOCOLO DE MEDICIONES DIRECTAS</w:t>
      </w:r>
    </w:p>
    <w:p>
      <w:pPr>
        <w:keepNext/>
        <w:spacing w:before="220" w:after="60"/>
      </w:pPr>
      <w:r>
        <w:rPr>
          <w:rFonts w:ascii="Calibri" w:hAnsi="Calibri"/>
          <w:b/>
          <w:color w:val="0D7685"/>
          <w:sz w:val="22"/>
        </w:rPr>
        <w:t>3.1. Perímetro Braquial (PB)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Instrumental</w:t>
      </w:r>
      <w:r>
        <w:rPr>
          <w:rFonts w:ascii="Calibri" w:hAnsi="Calibri"/>
          <w:color w:val="1E293B"/>
          <w:sz w:val="20"/>
        </w:rPr>
        <w:t>: Cinta antropométrica inextensible de fibra de vidrio o metálica flexible, de 6 mm de ancho con espacio ciego inicial.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Técnica</w:t>
      </w:r>
      <w:r>
        <w:rPr>
          <w:rFonts w:ascii="Calibri" w:hAnsi="Calibri"/>
          <w:color w:val="1E293B"/>
          <w:sz w:val="20"/>
        </w:rPr>
        <w:t>: Se pasa la cinta de forma perpendicular al eje longitudinal del brazo relajado a la altura de la marca mesobraquial. La cinta debe contactar la piel en todo su contorno sin comprimir los tejidos blandos.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Registro</w:t>
      </w:r>
      <w:r>
        <w:rPr>
          <w:rFonts w:ascii="Calibri" w:hAnsi="Calibri"/>
          <w:color w:val="1E293B"/>
          <w:sz w:val="20"/>
        </w:rPr>
        <w:t>: En centímetros con precisión de 0.1 cm (1 mm). Se realizan dos tomas consecutivas y se promedian.</w:t>
      </w:r>
    </w:p>
    <w:p>
      <w:pPr>
        <w:keepNext/>
        <w:spacing w:before="220" w:after="60"/>
      </w:pPr>
      <w:r>
        <w:rPr>
          <w:rFonts w:ascii="Calibri" w:hAnsi="Calibri"/>
          <w:b/>
          <w:color w:val="0D7685"/>
          <w:sz w:val="22"/>
        </w:rPr>
        <w:t>3.2. Pliegue Cutáneo Tricipital (PCT)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Instrumental</w:t>
      </w:r>
      <w:r>
        <w:rPr>
          <w:rFonts w:ascii="Calibri" w:hAnsi="Calibri"/>
          <w:color w:val="1E293B"/>
          <w:sz w:val="20"/>
        </w:rPr>
        <w:t>: Calibre de pliegues cutáneos (cáliper tipo Harpenden, Holtain o Lange) con presión constante de 10 g/mm^2 calibrado a cero.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Técnica</w:t>
      </w:r>
      <w:r>
        <w:rPr>
          <w:rFonts w:ascii="Calibri" w:hAnsi="Calibri"/>
          <w:color w:val="1E293B"/>
          <w:sz w:val="20"/>
        </w:rPr>
        <w:t>:</w:t>
      </w:r>
    </w:p>
    <w:p>
      <w:pPr>
        <w:spacing w:before="40" w:after="40" w:line="276" w:lineRule="auto"/>
        <w:ind w:left="360"/>
      </w:pPr>
      <w:r>
        <w:rPr>
          <w:rFonts w:ascii="Calibri" w:hAnsi="Calibri"/>
          <w:b/>
          <w:color w:val="1B365D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>Con los dedos pulgar e índice de la mano izquierda, pellizcar firmemente la piel y el tejido celular subcutáneo en sentido vertical sobre la cara posterior del brazo, 1 cm por encima de la marca mesobraquial, separándolo del músculo tríceps subyacente.</w:t>
      </w:r>
    </w:p>
    <w:p>
      <w:pPr>
        <w:spacing w:before="40" w:after="40" w:line="276" w:lineRule="auto"/>
        <w:ind w:left="360"/>
      </w:pPr>
      <w:r>
        <w:rPr>
          <w:rFonts w:ascii="Calibri" w:hAnsi="Calibri"/>
          <w:b/>
          <w:color w:val="1B365D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>Colocar las ramas del cáliper perpendicularmente al pliegue, exactamente en la marca mesobraquial.</w:t>
      </w:r>
    </w:p>
    <w:p>
      <w:pPr>
        <w:spacing w:before="40" w:after="40" w:line="276" w:lineRule="auto"/>
        <w:ind w:left="360"/>
      </w:pPr>
      <w:r>
        <w:rPr>
          <w:rFonts w:ascii="Calibri" w:hAnsi="Calibri"/>
          <w:b/>
          <w:color w:val="1B365D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>Liberar la presión del gatillo del calibre.</w:t>
      </w:r>
    </w:p>
    <w:p>
      <w:pPr>
        <w:spacing w:before="40" w:after="40" w:line="276" w:lineRule="auto"/>
        <w:ind w:left="360"/>
      </w:pPr>
      <w:r>
        <w:rPr>
          <w:rFonts w:ascii="Calibri" w:hAnsi="Calibri"/>
          <w:b/>
          <w:color w:val="1B365D"/>
          <w:sz w:val="20"/>
        </w:rPr>
        <w:t xml:space="preserve">4. </w:t>
      </w:r>
      <w:r>
        <w:rPr>
          <w:rFonts w:ascii="Calibri" w:hAnsi="Calibri"/>
          <w:color w:val="1E293B"/>
          <w:sz w:val="20"/>
        </w:rPr>
        <w:t xml:space="preserve">Realizar la lectura a los </w:t>
      </w:r>
      <w:r>
        <w:rPr>
          <w:rFonts w:ascii="Calibri" w:hAnsi="Calibri"/>
          <w:b/>
          <w:color w:val="1E293B"/>
          <w:sz w:val="20"/>
        </w:rPr>
        <w:t>2 a 3 segundos</w:t>
      </w:r>
      <w:r>
        <w:rPr>
          <w:rFonts w:ascii="Calibri" w:hAnsi="Calibri"/>
          <w:color w:val="1E293B"/>
          <w:sz w:val="20"/>
        </w:rPr>
        <w:t xml:space="preserve"> de liberada la presión para evitar la deformación por compresión hídrica del tejido adiposo.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Registro</w:t>
      </w:r>
      <w:r>
        <w:rPr>
          <w:rFonts w:ascii="Calibri" w:hAnsi="Calibri"/>
          <w:color w:val="1E293B"/>
          <w:sz w:val="20"/>
        </w:rPr>
        <w:t>: En milímetros (mm) con precisión de 0.2 mm o 0.5 mm según calibre.</w:t>
      </w:r>
    </w:p>
    <w:p>
      <w:pPr>
        <w:keepNext/>
        <w:spacing w:before="220" w:after="60"/>
      </w:pPr>
      <w:r>
        <w:rPr>
          <w:rFonts w:ascii="Calibri" w:hAnsi="Calibri"/>
          <w:b/>
          <w:color w:val="0D7685"/>
          <w:sz w:val="22"/>
        </w:rPr>
        <w:t>3.3. Pliegue Cutáneo Subescapular (PSE)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Técnica</w:t>
      </w:r>
      <w:r>
        <w:rPr>
          <w:rFonts w:ascii="Calibri" w:hAnsi="Calibri"/>
          <w:color w:val="1E293B"/>
          <w:sz w:val="20"/>
        </w:rPr>
        <w:t>: Tomar el pellizco en dirección oblicua hacia abajo y hacia afuera a 45° sobre la marca subescapular. Colocar las ramas del cáliper a 1 cm de los dedos y leer a los 2-3 segundos.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Utilidad</w:t>
      </w:r>
      <w:r>
        <w:rPr>
          <w:rFonts w:ascii="Calibri" w:hAnsi="Calibri"/>
          <w:color w:val="1E293B"/>
          <w:sz w:val="20"/>
        </w:rPr>
        <w:t>: Refleja la distribución de adiposidad troncal/central en comparación con la adiposidad periférica de las extremidades (PCT).</w:t>
      </w:r>
    </w:p>
    <w:p>
      <w:pPr>
        <w:keepNext/>
        <w:spacing w:before="220" w:after="60"/>
      </w:pPr>
      <w:r>
        <w:rPr>
          <w:rFonts w:ascii="Calibri" w:hAnsi="Calibri"/>
          <w:b/>
          <w:color w:val="0D7685"/>
          <w:sz w:val="22"/>
        </w:rPr>
        <w:t>3.4. Circunferencia de Cintura (CC)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Técnica Estandarizada (CDC / OMS)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El paciente se ubica de pie, con los pies juntos, brazos a los lados y abdomen relajado.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La cinta se coloca en plano horizontal sobre el punto anatómico establecido: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Estándar CDC</w:t>
      </w:r>
      <w:r>
        <w:rPr>
          <w:rFonts w:ascii="Calibri" w:hAnsi="Calibri"/>
          <w:color w:val="1E293B"/>
          <w:sz w:val="20"/>
        </w:rPr>
        <w:t>: Inmediatamente por encima del borde superior de la cresta ilíaca.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Estándar OMS</w:t>
      </w:r>
      <w:r>
        <w:rPr>
          <w:rFonts w:ascii="Calibri" w:hAnsi="Calibri"/>
          <w:color w:val="1E293B"/>
          <w:sz w:val="20"/>
        </w:rPr>
        <w:t>: En el punto medio entre el borde inferior de la última costilla palpable y el vértice superior de la cresta ilíaca.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 xml:space="preserve">La lectura se realiza </w:t>
      </w:r>
      <w:r>
        <w:rPr>
          <w:rFonts w:ascii="Calibri" w:hAnsi="Calibri"/>
          <w:b/>
          <w:color w:val="1E293B"/>
          <w:sz w:val="20"/>
        </w:rPr>
        <w:t>al final de una espiración no forzada</w:t>
      </w:r>
      <w:r>
        <w:rPr>
          <w:rFonts w:ascii="Calibri" w:hAnsi="Calibri"/>
          <w:color w:val="1E293B"/>
          <w:sz w:val="20"/>
        </w:rPr>
        <w:t xml:space="preserve"> (respiración suave y natural).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Registro</w:t>
      </w:r>
      <w:r>
        <w:rPr>
          <w:rFonts w:ascii="Calibri" w:hAnsi="Calibri"/>
          <w:color w:val="1E293B"/>
          <w:sz w:val="20"/>
        </w:rPr>
        <w:t>: En centímetros (cm) con aproximación a 0.1 cm.</w:t>
      </w:r>
    </w:p>
    <w:p>
      <w:pPr>
        <w:keepNext/>
        <w:spacing w:before="320" w:after="80"/>
      </w:pPr>
      <w:r>
        <w:rPr>
          <w:rFonts w:ascii="Calibri" w:hAnsi="Calibri"/>
          <w:b/>
          <w:color w:val="1B365D"/>
          <w:sz w:val="27"/>
        </w:rPr>
        <w:t>4. DINAMOMETRÍA Y FUERZA DE PRENSIÓN (EVALUACIÓN FUNCIONAL MUSCULAR)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 xml:space="preserve">La evaluación antropométrica clásica cuantifica la masa anatómica, pero no garantiza su competencia fisiológica. La </w:t>
      </w:r>
      <w:r>
        <w:rPr>
          <w:rFonts w:ascii="Calibri" w:hAnsi="Calibri"/>
          <w:b/>
          <w:color w:val="1E293B"/>
          <w:sz w:val="20"/>
        </w:rPr>
        <w:t>dinamometría manual (*Handgrip Strength*)</w:t>
      </w:r>
      <w:r>
        <w:rPr>
          <w:rFonts w:ascii="Calibri" w:hAnsi="Calibri"/>
          <w:color w:val="1E293B"/>
          <w:sz w:val="20"/>
        </w:rPr>
        <w:t xml:space="preserve"> es el método de referencia internacional para valorar la </w:t>
      </w:r>
      <w:r>
        <w:rPr>
          <w:rFonts w:ascii="Calibri" w:hAnsi="Calibri"/>
          <w:b/>
          <w:color w:val="1E293B"/>
          <w:sz w:val="20"/>
        </w:rPr>
        <w:t>fuerza muscular funcional</w:t>
      </w:r>
      <w:r>
        <w:rPr>
          <w:rFonts w:ascii="Calibri" w:hAnsi="Calibri"/>
          <w:color w:val="1E293B"/>
          <w:sz w:val="20"/>
        </w:rPr>
        <w:t>, biomarcador estrechamente asociado a la masa celular corporal, la reserva nutricional somática y la recuperación clínica.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 w:sz="4" w:space="0" w:color="auto"/>
              <w:left w:val="single" w:sz="24" w:space="0" w:color="0D7685"/>
              <w:bottom w:val="none" w:sz="4" w:space="0" w:color="auto"/>
              <w:right w:val="none" w:sz="4" w:space="0" w:color="auto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0D7685"/>
                <w:sz w:val="21"/>
              </w:rPr>
              <w:t>📌 ESQUEMA SINTÉTICO / PROTOCOLO CLÍNICO</w:t>
              <w:br/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PROTOCOLO DE DINAMOMETRÍA DIGITAL (CAMRY EH101)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1. Posición: Sentado con espalda recta, hombros aducidos, codo a 90°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en flexión y antebrazo en posición neutra (o de pie erecto).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2. Ajuste: Calibrar la empuñadura regulable a la longitud de los dedos.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3. Esfuerzo: Contracción isométrica voluntaria máxima durante 3 a 5 seg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animando verbalmente con entusiasmo («¡Fuerza, fuerza, al máximo!»).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4. Ciclo: 3 intentos en cada mano, con descanso de 30 a 60 segundos.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5. Valor diagnóstico: Se toma el VALOR MÁXIMO alcanzado en mano dom.</w:t>
            </w:r>
          </w:p>
        </w:tc>
      </w:tr>
    </w:tbl>
    <w:p>
      <w:pPr>
        <w:spacing w:before="80" w:after="80"/>
      </w:pP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Interpretación clínica</w:t>
      </w:r>
      <w:r>
        <w:rPr>
          <w:rFonts w:ascii="Calibri" w:hAnsi="Calibri"/>
          <w:color w:val="1E293B"/>
          <w:sz w:val="20"/>
        </w:rPr>
        <w:t xml:space="preserve">: Valores de fuerza manual por debajo del percentil 10 o -2 Desvíos Estándar para edad y sexo indican </w:t>
      </w:r>
      <w:r>
        <w:rPr>
          <w:rFonts w:ascii="Calibri" w:hAnsi="Calibri"/>
          <w:b/>
          <w:color w:val="1E293B"/>
          <w:sz w:val="20"/>
        </w:rPr>
        <w:t>dinapenia o debilidad muscular funcional</w:t>
      </w:r>
      <w:r>
        <w:rPr>
          <w:rFonts w:ascii="Calibri" w:hAnsi="Calibri"/>
          <w:color w:val="1E293B"/>
          <w:sz w:val="20"/>
        </w:rPr>
        <w:t>, alertando sobre desnutrición subclínica, atrofia por desuso o baja densidad energética proteica en la pauta habitual.</w:t>
      </w:r>
    </w:p>
    <w:p>
      <w:pPr>
        <w:keepNext/>
        <w:spacing w:before="320" w:after="80"/>
      </w:pPr>
      <w:r>
        <w:rPr>
          <w:rFonts w:ascii="Calibri" w:hAnsi="Calibri"/>
          <w:b/>
          <w:color w:val="1B365D"/>
          <w:sz w:val="27"/>
        </w:rPr>
        <w:t>5. ÍNDICES Y CRITERIOS DIAGNÓSTICOS EN PEDIATRÍA</w:t>
      </w:r>
    </w:p>
    <w:p>
      <w:pPr>
        <w:keepNext/>
        <w:spacing w:before="220" w:after="60"/>
      </w:pPr>
      <w:r>
        <w:rPr>
          <w:rFonts w:ascii="Calibri" w:hAnsi="Calibri"/>
          <w:b/>
          <w:color w:val="0D7685"/>
          <w:sz w:val="22"/>
        </w:rPr>
        <w:t>5.1. Índice de Masa Corporal para la Edad (Curvas OMS 2007: 5 a 19 Años)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El IMC (Peso  [kg] / Talla^2 [m]) debe graficarse siempre en los patrones de crecimiento de la OMS según sexo y edad exacta en meses: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1B365D"/>
              <w:left w:val="single" w:sz="2" w:space="0" w:color="E2E8F0"/>
              <w:bottom w:val="single" w:sz="12" w:space="0" w:color="0D7685"/>
              <w:right w:val="single" w:sz="2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Desvío Estándar (Z-Score)</w:t>
            </w:r>
          </w:p>
        </w:tc>
        <w:tc>
          <w:tcPr>
            <w:tcW w:type="dxa" w:w="326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1B365D"/>
              <w:left w:val="single" w:sz="2" w:space="0" w:color="E2E8F0"/>
              <w:bottom w:val="single" w:sz="12" w:space="0" w:color="0D7685"/>
              <w:right w:val="single" w:sz="2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Percentil Aprox.</w:t>
            </w:r>
          </w:p>
        </w:tc>
        <w:tc>
          <w:tcPr>
            <w:tcW w:type="dxa" w:w="326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1B365D"/>
              <w:left w:val="single" w:sz="2" w:space="0" w:color="E2E8F0"/>
              <w:bottom w:val="single" w:sz="12" w:space="0" w:color="0D7685"/>
              <w:right w:val="single" w:sz="2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Diagnóstico Nutricional Pediátrico</w:t>
            </w:r>
          </w:p>
        </w:tc>
      </w:tr>
      <w:tr>
        <w:tc>
          <w:tcPr>
            <w:tcW w:type="dxa" w:w="326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&gt; +3 DE</w:t>
            </w:r>
          </w:p>
        </w:tc>
        <w:tc>
          <w:tcPr>
            <w:tcW w:type="dxa" w:w="326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&gt; Pc  99.9</w:t>
            </w:r>
          </w:p>
        </w:tc>
        <w:tc>
          <w:tcPr>
            <w:tcW w:type="dxa" w:w="326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Obesidad Severa</w:t>
            </w:r>
          </w:p>
        </w:tc>
      </w:tr>
      <w:tr>
        <w:tc>
          <w:tcPr>
            <w:tcW w:type="dxa" w:w="326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&gt; +2 DE</w:t>
            </w:r>
          </w:p>
        </w:tc>
        <w:tc>
          <w:tcPr>
            <w:tcW w:type="dxa" w:w="326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&gt; Pc  97</w:t>
            </w:r>
          </w:p>
        </w:tc>
        <w:tc>
          <w:tcPr>
            <w:tcW w:type="dxa" w:w="326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Obesidad</w:t>
            </w:r>
          </w:p>
        </w:tc>
      </w:tr>
      <w:tr>
        <w:tc>
          <w:tcPr>
            <w:tcW w:type="dxa" w:w="326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&gt; +1 DE</w:t>
            </w:r>
          </w:p>
        </w:tc>
        <w:tc>
          <w:tcPr>
            <w:tcW w:type="dxa" w:w="326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&gt; Pc  85</w:t>
            </w:r>
          </w:p>
        </w:tc>
        <w:tc>
          <w:tcPr>
            <w:tcW w:type="dxa" w:w="326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Sobrepeso</w:t>
            </w:r>
          </w:p>
        </w:tc>
      </w:tr>
      <w:tr>
        <w:tc>
          <w:tcPr>
            <w:tcW w:type="dxa" w:w="326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-2 DE a  +1 DE</w:t>
            </w:r>
          </w:p>
        </w:tc>
        <w:tc>
          <w:tcPr>
            <w:tcW w:type="dxa" w:w="326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Pc  3 a Pc  85</w:t>
            </w:r>
          </w:p>
        </w:tc>
        <w:tc>
          <w:tcPr>
            <w:tcW w:type="dxa" w:w="326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Normopeso (Adecuado)</w:t>
            </w:r>
          </w:p>
        </w:tc>
      </w:tr>
      <w:tr>
        <w:tc>
          <w:tcPr>
            <w:tcW w:type="dxa" w:w="326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&lt; -2 DE</w:t>
            </w:r>
          </w:p>
        </w:tc>
        <w:tc>
          <w:tcPr>
            <w:tcW w:type="dxa" w:w="326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&lt; Pc  3</w:t>
            </w:r>
          </w:p>
        </w:tc>
        <w:tc>
          <w:tcPr>
            <w:tcW w:type="dxa" w:w="326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Delgadez (Bajo Peso)</w:t>
            </w:r>
          </w:p>
        </w:tc>
      </w:tr>
      <w:tr>
        <w:tc>
          <w:tcPr>
            <w:tcW w:type="dxa" w:w="326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&lt; -3 DE</w:t>
            </w:r>
          </w:p>
        </w:tc>
        <w:tc>
          <w:tcPr>
            <w:tcW w:type="dxa" w:w="326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&lt; Pc  0.1</w:t>
            </w:r>
          </w:p>
        </w:tc>
        <w:tc>
          <w:tcPr>
            <w:tcW w:type="dxa" w:w="326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Delgadez Severa</w:t>
            </w:r>
          </w:p>
        </w:tc>
      </w:tr>
    </w:tbl>
    <w:p>
      <w:pPr>
        <w:spacing w:before="80" w:after="80"/>
      </w:pPr>
    </w:p>
    <w:p>
      <w:pPr>
        <w:keepNext/>
        <w:spacing w:before="220" w:after="60"/>
      </w:pPr>
      <w:r>
        <w:rPr>
          <w:rFonts w:ascii="Calibri" w:hAnsi="Calibri"/>
          <w:b/>
          <w:color w:val="0D7685"/>
          <w:sz w:val="22"/>
        </w:rPr>
        <w:t>5.2. La «Paradoja del IMC» y la Composición Corporal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 xml:space="preserve">El IMC es un índice de corpulencia global que </w:t>
      </w:r>
      <w:r>
        <w:rPr>
          <w:rFonts w:ascii="Calibri" w:hAnsi="Calibri"/>
          <w:b/>
          <w:color w:val="1E293B"/>
          <w:sz w:val="20"/>
        </w:rPr>
        <w:t>no discrimina masa magra de masa grasa</w:t>
      </w:r>
      <w:r>
        <w:rPr>
          <w:rFonts w:ascii="Calibri" w:hAnsi="Calibri"/>
          <w:color w:val="1E293B"/>
          <w:sz w:val="20"/>
        </w:rPr>
        <w:t>. Dos niños con idéntico IMC de 21.5 kg/m^2 a los 10 años pueden presentar realidades clínicas opuestas:</w:t>
      </w:r>
    </w:p>
    <w:p>
      <w:pPr>
        <w:spacing w:before="40" w:after="40" w:line="276" w:lineRule="auto"/>
        <w:ind w:left="360"/>
      </w:pPr>
      <w:r>
        <w:rPr>
          <w:rFonts w:ascii="Calibri" w:hAnsi="Calibri"/>
          <w:b/>
          <w:color w:val="1B365D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Caso A</w:t>
      </w:r>
      <w:r>
        <w:rPr>
          <w:rFonts w:ascii="Calibri" w:hAnsi="Calibri"/>
          <w:color w:val="1E293B"/>
          <w:sz w:val="20"/>
        </w:rPr>
        <w:t>: Niño deportista de alto rendimiento con hipertrofia muscular esquelética, pliegues cutáneos delgados (PCT \approx Pc  25) y cintura estrecha. Su IMC elevado no representa riesgo patológico.</w:t>
      </w:r>
    </w:p>
    <w:p>
      <w:pPr>
        <w:spacing w:before="40" w:after="40" w:line="276" w:lineRule="auto"/>
        <w:ind w:left="360"/>
      </w:pPr>
      <w:r>
        <w:rPr>
          <w:rFonts w:ascii="Calibri" w:hAnsi="Calibri"/>
          <w:b/>
          <w:color w:val="1B365D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Caso B</w:t>
      </w:r>
      <w:r>
        <w:rPr>
          <w:rFonts w:ascii="Calibri" w:hAnsi="Calibri"/>
          <w:color w:val="1E293B"/>
          <w:sz w:val="20"/>
        </w:rPr>
        <w:t>: Niño sedentario con masa muscular empobrecida, grasa visceral central elevada e infiltración adiposa subcutánea (PCT &gt; Pc  90, cintura alterada). Representa obesidad sarcopénica encubierta.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 xml:space="preserve">Por este motivo, en la cátedra es obligatorio complementar el IMC con la valoración de compartimentos por </w:t>
      </w:r>
      <w:r>
        <w:rPr>
          <w:rFonts w:ascii="Calibri" w:hAnsi="Calibri"/>
          <w:b/>
          <w:color w:val="1E293B"/>
          <w:sz w:val="20"/>
        </w:rPr>
        <w:t>pliegues cutáneos</w:t>
      </w:r>
      <w:r>
        <w:rPr>
          <w:rFonts w:ascii="Calibri" w:hAnsi="Calibri"/>
          <w:color w:val="1E293B"/>
          <w:sz w:val="20"/>
        </w:rPr>
        <w:t xml:space="preserve"> y el </w:t>
      </w:r>
      <w:r>
        <w:rPr>
          <w:rFonts w:ascii="Calibri" w:hAnsi="Calibri"/>
          <w:b/>
          <w:color w:val="1E293B"/>
          <w:sz w:val="20"/>
        </w:rPr>
        <w:t>Índice Cintura/Talla</w:t>
      </w:r>
      <w:r>
        <w:rPr>
          <w:rFonts w:ascii="Calibri" w:hAnsi="Calibri"/>
          <w:color w:val="1E293B"/>
          <w:sz w:val="20"/>
        </w:rPr>
        <w:t>.</w:t>
      </w:r>
    </w:p>
    <w:p>
      <w:pPr>
        <w:keepNext/>
        <w:spacing w:before="220" w:after="60"/>
      </w:pPr>
      <w:r>
        <w:rPr>
          <w:rFonts w:ascii="Calibri" w:hAnsi="Calibri"/>
          <w:b/>
          <w:color w:val="0D7685"/>
          <w:sz w:val="22"/>
        </w:rPr>
        <w:t>5.3. Área Muscular del Brazo (AMB / cAMB de Frisancho y Heymsfield)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Permite estimar la reserva proteica muscular somática en las extremidades, asumiendo el brazo como una sección cilíndrica:</w:t>
      </w:r>
    </w:p>
    <w:p>
      <w:pPr>
        <w:spacing w:before="40" w:after="80" w:line="276" w:lineRule="auto"/>
        <w:jc w:val="center"/>
      </w:pPr>
      <w:r>
        <w:rPr>
          <w:rFonts w:ascii="Cambria Math" w:hAnsi="Cambria Math"/>
          <w:b/>
          <w:color w:val="1B365D"/>
          <w:sz w:val="22"/>
        </w:rPr>
        <w:t xml:space="preserve"> Área Braquial Total (ABT)  =   PB ^2  4\pi  =   PB ^2  12.566 </w:t>
      </w:r>
    </w:p>
    <w:p>
      <w:pPr>
        <w:spacing w:before="40" w:after="80" w:line="276" w:lineRule="auto"/>
        <w:jc w:val="center"/>
      </w:pPr>
      <w:r>
        <w:rPr>
          <w:rFonts w:ascii="Cambria Math" w:hAnsi="Cambria Math"/>
          <w:b/>
          <w:color w:val="1B365D"/>
          <w:sz w:val="22"/>
        </w:rPr>
        <w:t xml:space="preserve"> Área Muscular del Brazo (AMB)  =  ( PB  - \pi \times  PCT )^2  4\pi 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Área Muscular Corregida libre de hueso (cAMB de Heymsfield)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Niños y varones: cAMB = AMB - 10.0 cm^2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Niñas y mujeres: cAMB = AMB - 6.5 cm^2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Interpretación según Tablas Percentilares de Frisancho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&lt; Pc  5: Depleción muscular severa (atrofia / malnutrición proteica).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Pc  5 - Pc  15: Reserva muscular marginal / baja.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Pc  15 - Pc  85: Masa muscular adecuada (normotrofia).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&gt; Pc  85: Buen desarrollo muscular somático.</w:t>
      </w:r>
    </w:p>
    <w:p>
      <w:pPr>
        <w:keepNext/>
        <w:spacing w:before="220" w:after="60"/>
      </w:pPr>
      <w:r>
        <w:rPr>
          <w:rFonts w:ascii="Calibri" w:hAnsi="Calibri"/>
          <w:b/>
          <w:color w:val="0D7685"/>
          <w:sz w:val="22"/>
        </w:rPr>
        <w:t>5.4. Índice Cintura / Talla (ICT)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 xml:space="preserve">Constituye el marcador antropométrico más simple y sensible de </w:t>
      </w:r>
      <w:r>
        <w:rPr>
          <w:rFonts w:ascii="Calibri" w:hAnsi="Calibri"/>
          <w:b/>
          <w:color w:val="1E293B"/>
          <w:sz w:val="20"/>
        </w:rPr>
        <w:t>adiposidad visceral y riesgo cardiometabólico precoz</w:t>
      </w:r>
      <w:r>
        <w:rPr>
          <w:rFonts w:ascii="Calibri" w:hAnsi="Calibri"/>
          <w:color w:val="1E293B"/>
          <w:sz w:val="20"/>
        </w:rPr>
        <w:t xml:space="preserve"> en niños y adolescentes:</w:t>
      </w:r>
    </w:p>
    <w:p>
      <w:pPr>
        <w:spacing w:before="40" w:after="80" w:line="276" w:lineRule="auto"/>
        <w:jc w:val="center"/>
      </w:pPr>
      <w:r>
        <w:rPr>
          <w:rFonts w:ascii="Cambria Math" w:hAnsi="Cambria Math"/>
          <w:b/>
          <w:color w:val="1B365D"/>
          <w:sz w:val="22"/>
        </w:rPr>
        <w:t xml:space="preserve"> ICT  =   Circunferencia de Cintura (cm)    Talla (cm)  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Punto de Corte Universal Pediátrico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\mathbfICT &lt; 0.50: Ausencia de adiposidad central excesiva.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 xml:space="preserve">\mathbfICT \ge 0.50: </w:t>
      </w:r>
      <w:r>
        <w:rPr>
          <w:rFonts w:ascii="Calibri" w:hAnsi="Calibri"/>
          <w:b/>
          <w:color w:val="1E293B"/>
          <w:sz w:val="20"/>
        </w:rPr>
        <w:t>Adiposidad visceral de riesgo</w:t>
      </w:r>
      <w:r>
        <w:rPr>
          <w:rFonts w:ascii="Calibri" w:hAnsi="Calibri"/>
          <w:color w:val="1E293B"/>
          <w:sz w:val="20"/>
        </w:rPr>
        <w:t>. Alerta sobre sobrecarga grasa intraabdominal, resistencia a la insulina y dislipidemia pediátrica, independientemente del peso total.</w:t>
      </w:r>
    </w:p>
    <w:p>
      <w:pPr>
        <w:keepNext/>
        <w:spacing w:before="320" w:after="80"/>
      </w:pPr>
      <w:r>
        <w:rPr>
          <w:rFonts w:ascii="Calibri" w:hAnsi="Calibri"/>
          <w:b/>
          <w:color w:val="1B365D"/>
          <w:sz w:val="27"/>
        </w:rPr>
        <w:t>6. VALORACIÓN ANTROPOMÉTRICA EN LA GESTANTE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En la mujer embarazada, la evaluación nutricional tiene como propósito vigilar la ganancia ponderal fisiológica y proteger la reserva calórico-proteica materna sin la interferencia del peso fetal y el edema gravídico.</w:t>
      </w:r>
    </w:p>
    <w:p>
      <w:pPr>
        <w:keepNext/>
        <w:spacing w:before="220" w:after="60"/>
      </w:pPr>
      <w:r>
        <w:rPr>
          <w:rFonts w:ascii="Calibri" w:hAnsi="Calibri"/>
          <w:b/>
          <w:color w:val="0D7685"/>
          <w:sz w:val="22"/>
        </w:rPr>
        <w:t>6.1. Clasificación Pregestacional y Ganancia de Peso (Institute of Medicine - IOM)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 xml:space="preserve">El estado nutricional inicial se establece siempre a partir del </w:t>
      </w:r>
      <w:r>
        <w:rPr>
          <w:rFonts w:ascii="Calibri" w:hAnsi="Calibri"/>
          <w:b/>
          <w:color w:val="1E293B"/>
          <w:sz w:val="20"/>
        </w:rPr>
        <w:t>IMC Pregestacional Habitual</w:t>
      </w:r>
      <w:r>
        <w:rPr>
          <w:rFonts w:ascii="Calibri" w:hAnsi="Calibri"/>
          <w:color w:val="1E293B"/>
          <w:sz w:val="20"/>
        </w:rPr>
        <w:t xml:space="preserve"> (Peso previo / Talla^2):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1B365D"/>
              <w:left w:val="single" w:sz="2" w:space="0" w:color="E2E8F0"/>
              <w:bottom w:val="single" w:sz="12" w:space="0" w:color="0D7685"/>
              <w:right w:val="single" w:sz="2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Estado Nutricional Inicial</w:t>
            </w:r>
          </w:p>
        </w:tc>
        <w:tc>
          <w:tcPr>
            <w:tcW w:type="dxa" w:w="244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1B365D"/>
              <w:left w:val="single" w:sz="2" w:space="0" w:color="E2E8F0"/>
              <w:bottom w:val="single" w:sz="12" w:space="0" w:color="0D7685"/>
              <w:right w:val="single" w:sz="2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IMC Pregestacional ($kg/m^2$)</w:t>
            </w:r>
          </w:p>
        </w:tc>
        <w:tc>
          <w:tcPr>
            <w:tcW w:type="dxa" w:w="244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1B365D"/>
              <w:left w:val="single" w:sz="2" w:space="0" w:color="E2E8F0"/>
              <w:bottom w:val="single" w:sz="12" w:space="0" w:color="0D7685"/>
              <w:right w:val="single" w:sz="2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Ganancia Total Recomendada</w:t>
            </w:r>
          </w:p>
        </w:tc>
        <w:tc>
          <w:tcPr>
            <w:tcW w:type="dxa" w:w="244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1B365D"/>
              <w:left w:val="single" w:sz="2" w:space="0" w:color="E2E8F0"/>
              <w:bottom w:val="single" w:sz="12" w:space="0" w:color="0D7685"/>
              <w:right w:val="single" w:sz="2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Ritmo en 2° y 3° Trimestre</w:t>
            </w:r>
          </w:p>
        </w:tc>
      </w:tr>
      <w:tr>
        <w:tc>
          <w:tcPr>
            <w:tcW w:type="dxa" w:w="244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Bajo Peso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&lt; 18.5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12.5 a 18.0 kg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\approx 0.50 kg / semana</w:t>
            </w:r>
          </w:p>
        </w:tc>
      </w:tr>
      <w:tr>
        <w:tc>
          <w:tcPr>
            <w:tcW w:type="dxa" w:w="244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Normopeso</w:t>
            </w:r>
          </w:p>
        </w:tc>
        <w:tc>
          <w:tcPr>
            <w:tcW w:type="dxa" w:w="244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18.5 - 24.9</w:t>
            </w:r>
          </w:p>
        </w:tc>
        <w:tc>
          <w:tcPr>
            <w:tcW w:type="dxa" w:w="244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11.5 a 16.0 kg</w:t>
            </w:r>
          </w:p>
        </w:tc>
        <w:tc>
          <w:tcPr>
            <w:tcW w:type="dxa" w:w="244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\approx 0.40 kg / semana</w:t>
            </w:r>
          </w:p>
        </w:tc>
      </w:tr>
      <w:tr>
        <w:tc>
          <w:tcPr>
            <w:tcW w:type="dxa" w:w="244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Sobrepeso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25.0 - 29.9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7.0 a 11.5 kg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\approx 0.28 kg / semana</w:t>
            </w:r>
          </w:p>
        </w:tc>
      </w:tr>
      <w:tr>
        <w:tc>
          <w:tcPr>
            <w:tcW w:type="dxa" w:w="244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Obesidad</w:t>
            </w:r>
          </w:p>
        </w:tc>
        <w:tc>
          <w:tcPr>
            <w:tcW w:type="dxa" w:w="244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\ge 30.0</w:t>
            </w:r>
          </w:p>
        </w:tc>
        <w:tc>
          <w:tcPr>
            <w:tcW w:type="dxa" w:w="244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5.0 a 9.0 kg</w:t>
            </w:r>
          </w:p>
        </w:tc>
        <w:tc>
          <w:tcPr>
            <w:tcW w:type="dxa" w:w="244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\approx 0.20 kg / semana</w:t>
            </w:r>
          </w:p>
        </w:tc>
      </w:tr>
    </w:tbl>
    <w:p>
      <w:pPr>
        <w:spacing w:before="80" w:after="80"/>
      </w:pPr>
    </w:p>
    <w:p>
      <w:pPr>
        <w:keepNext/>
        <w:spacing w:before="220" w:after="60"/>
      </w:pPr>
      <w:r>
        <w:rPr>
          <w:rFonts w:ascii="Calibri" w:hAnsi="Calibri"/>
          <w:b/>
          <w:color w:val="0D7685"/>
          <w:sz w:val="22"/>
        </w:rPr>
        <w:t>6.2. El Valor Clínico del PB y PCT en el Embarazo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Durante la segunda mitad de la gestación, la balanza registra el peso combinado de la placenta, el feto, el líquido amniótico y la hipervolemia fisiológica (frecuentemente asociada a edemas periféricos).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Perímetro Braquial (PB)</w:t>
      </w:r>
      <w:r>
        <w:rPr>
          <w:rFonts w:ascii="Calibri" w:hAnsi="Calibri"/>
          <w:color w:val="1E293B"/>
          <w:sz w:val="20"/>
        </w:rPr>
        <w:t xml:space="preserve"> y </w:t>
      </w:r>
      <w:r>
        <w:rPr>
          <w:rFonts w:ascii="Calibri" w:hAnsi="Calibri"/>
          <w:b/>
          <w:color w:val="1E293B"/>
          <w:sz w:val="20"/>
        </w:rPr>
        <w:t>Pliegue Tricipital (PCT)</w:t>
      </w:r>
      <w:r>
        <w:rPr>
          <w:rFonts w:ascii="Calibri" w:hAnsi="Calibri"/>
          <w:color w:val="1E293B"/>
          <w:sz w:val="20"/>
        </w:rPr>
        <w:t>: El brazo es una región anatómicamente alejada de la retención hídrica pélvico-gravídica.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 xml:space="preserve">Un PB materno &lt; 23.5 cm o un PCT por debajo del percentil 10 advierte sobre </w:t>
      </w:r>
      <w:r>
        <w:rPr>
          <w:rFonts w:ascii="Calibri" w:hAnsi="Calibri"/>
          <w:b/>
          <w:color w:val="1E293B"/>
          <w:sz w:val="20"/>
        </w:rPr>
        <w:t>depleción de reservas calórico-proteicas periféricas</w:t>
      </w:r>
      <w:r>
        <w:rPr>
          <w:rFonts w:ascii="Calibri" w:hAnsi="Calibri"/>
          <w:color w:val="1E293B"/>
          <w:sz w:val="20"/>
        </w:rPr>
        <w:t>, alertando riesgo de restricción del crecimiento fetal intrauterino aun cuando la balanza muestre un aumento numérico debido a retención hídrica o edemas.</w:t>
      </w:r>
    </w:p>
    <w:p>
      <w:pPr>
        <w:keepNext/>
        <w:spacing w:before="320" w:after="80"/>
      </w:pPr>
      <w:r>
        <w:rPr>
          <w:rFonts w:ascii="Calibri" w:hAnsi="Calibri"/>
          <w:b/>
          <w:color w:val="1B365D"/>
          <w:sz w:val="27"/>
        </w:rPr>
        <w:t>7. RESUMEN DE PUNTOS CLAVE PARA EL EXAMEN Y LA CONSULTA</w:t>
      </w:r>
    </w:p>
    <w:p>
      <w:pPr>
        <w:spacing w:before="40" w:after="40" w:line="276" w:lineRule="auto"/>
        <w:ind w:left="360"/>
      </w:pPr>
      <w:r>
        <w:rPr>
          <w:rFonts w:ascii="Calibri" w:hAnsi="Calibri"/>
          <w:b/>
          <w:color w:val="1B365D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La medición del PB y PCT siempre se hace en el punto medio mesobraquial exacto</w:t>
      </w:r>
      <w:r>
        <w:rPr>
          <w:rFonts w:ascii="Calibri" w:hAnsi="Calibri"/>
          <w:color w:val="1E293B"/>
          <w:sz w:val="20"/>
        </w:rPr>
        <w:t>, con el brazo relajado al costado del cuerpo.</w:t>
      </w:r>
    </w:p>
    <w:p>
      <w:pPr>
        <w:spacing w:before="40" w:after="40" w:line="276" w:lineRule="auto"/>
        <w:ind w:left="360"/>
      </w:pPr>
      <w:r>
        <w:rPr>
          <w:rFonts w:ascii="Calibri" w:hAnsi="Calibri"/>
          <w:b/>
          <w:color w:val="1B365D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El cáliper se lee a los 2-3 segundos</w:t>
      </w:r>
      <w:r>
        <w:rPr>
          <w:rFonts w:ascii="Calibri" w:hAnsi="Calibri"/>
          <w:color w:val="1E293B"/>
          <w:sz w:val="20"/>
        </w:rPr>
        <w:t>, nunca antes (falta estabilizar) ni después (deforma el tejido).</w:t>
      </w:r>
    </w:p>
    <w:p>
      <w:pPr>
        <w:spacing w:before="40" w:after="40" w:line="276" w:lineRule="auto"/>
        <w:ind w:left="360"/>
      </w:pPr>
      <w:r>
        <w:rPr>
          <w:rFonts w:ascii="Calibri" w:hAnsi="Calibri"/>
          <w:b/>
          <w:color w:val="1B365D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El IMC no diagnostica composición corporal</w:t>
      </w:r>
      <w:r>
        <w:rPr>
          <w:rFonts w:ascii="Calibri" w:hAnsi="Calibri"/>
          <w:color w:val="1E293B"/>
          <w:sz w:val="20"/>
        </w:rPr>
        <w:t>: debe acompañarse siempre de la circunferencia de cintura (o ICT) y la evaluación de masa grasa/magra.</w:t>
      </w:r>
    </w:p>
    <w:p>
      <w:pPr>
        <w:spacing w:before="40" w:after="40" w:line="276" w:lineRule="auto"/>
        <w:ind w:left="360"/>
      </w:pPr>
      <w:r>
        <w:rPr>
          <w:rFonts w:ascii="Calibri" w:hAnsi="Calibri"/>
          <w:b/>
          <w:color w:val="1B365D"/>
          <w:sz w:val="20"/>
        </w:rPr>
        <w:t xml:space="preserve">4. </w:t>
      </w: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Un Índice Cintura/Talla $\ge 0.50$</w:t>
      </w:r>
      <w:r>
        <w:rPr>
          <w:rFonts w:ascii="Calibri" w:hAnsi="Calibri"/>
          <w:color w:val="1E293B"/>
          <w:sz w:val="20"/>
        </w:rPr>
        <w:t xml:space="preserve"> es una bandera roja inmediata de grasa visceral en cualquier edad pediátrica.</w:t>
      </w:r>
    </w:p>
    <w:p>
      <w:pPr>
        <w:spacing w:before="40" w:after="40" w:line="276" w:lineRule="auto"/>
        <w:ind w:left="360"/>
      </w:pPr>
      <w:r>
        <w:rPr>
          <w:rFonts w:ascii="Calibri" w:hAnsi="Calibri"/>
          <w:b/>
          <w:color w:val="1B365D"/>
          <w:sz w:val="20"/>
        </w:rPr>
        <w:t xml:space="preserve">5. </w:t>
      </w: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En la embarazada</w:t>
      </w:r>
      <w:r>
        <w:rPr>
          <w:rFonts w:ascii="Calibri" w:hAnsi="Calibri"/>
          <w:color w:val="1E293B"/>
          <w:sz w:val="20"/>
        </w:rPr>
        <w:t>, el estado nutricional lo define el IMC pregestacional, y el PB/PCT vigila si la madre está perdiendo su propia masa muscular para sostener el embarazo.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7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UNSTA — Cátedra de Nutrición Infantil | Material Docente Oficial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