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C82034" w14:paraId="199FF31E" w14:textId="77777777">
        <w:trPr>
          <w:jc w:val="center"/>
        </w:trPr>
        <w:tc>
          <w:tcPr>
            <w:tcW w:w="9792" w:type="dxa"/>
            <w:tcBorders>
              <w:top w:val="single" w:sz="4" w:space="0" w:color="E2E8F0"/>
              <w:left w:val="single" w:sz="28" w:space="0" w:color="164E63"/>
              <w:bottom w:val="single" w:sz="12" w:space="0" w:color="164E63"/>
              <w:right w:val="single" w:sz="4" w:space="0" w:color="E2E8F0"/>
            </w:tcBorders>
            <w:shd w:val="clear" w:color="auto" w:fill="F8FAFC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36EA8D7C" w14:textId="77777777" w:rsidR="00C82034" w:rsidRDefault="00000000">
            <w:pPr>
              <w:spacing w:after="40"/>
            </w:pPr>
            <w:r>
              <w:rPr>
                <w:rFonts w:ascii="Calibri" w:hAnsi="Calibri"/>
                <w:b/>
                <w:color w:val="059669"/>
                <w:sz w:val="18"/>
              </w:rPr>
              <w:t>UNIVERSIDAD DEL NORTE SANTO TOMÁS DE AQUINO (UNSTA) — DOCUMENTO DE CÁTEDRA N° 2 — NUTRICIÓN BASADA EN PLANTAS Y VITAMINA B12</w:t>
            </w:r>
            <w:r>
              <w:rPr>
                <w:rFonts w:ascii="Calibri" w:hAnsi="Calibri"/>
                <w:b/>
                <w:color w:val="059669"/>
                <w:sz w:val="18"/>
              </w:rPr>
              <w:br/>
            </w:r>
            <w:r>
              <w:rPr>
                <w:rFonts w:ascii="Calibri" w:hAnsi="Calibri"/>
                <w:b/>
                <w:color w:val="164E63"/>
                <w:sz w:val="34"/>
              </w:rPr>
              <w:t>Guía Clínica: Planificación y Manejo de Dietas Basadas en Plantas en Pediatría</w:t>
            </w:r>
          </w:p>
          <w:p w14:paraId="5F429D78" w14:textId="77777777" w:rsidR="00C82034" w:rsidRDefault="00000000">
            <w:pPr>
              <w:spacing w:before="80" w:after="0"/>
            </w:pPr>
            <w:r>
              <w:rPr>
                <w:rFonts w:ascii="Calibri" w:hAnsi="Calibri"/>
                <w:i/>
                <w:color w:val="475569"/>
                <w:sz w:val="19"/>
              </w:rPr>
              <w:t>Facultad de Ciencias de la Salud • Carrera de Nutrición • Cátedra de Nutrición Infantil</w:t>
            </w:r>
            <w:r>
              <w:rPr>
                <w:rFonts w:ascii="Calibri" w:hAnsi="Calibri"/>
                <w:i/>
                <w:color w:val="475569"/>
                <w:sz w:val="19"/>
              </w:rPr>
              <w:br/>
              <w:t>Profesor a Cargo: Lic. Germán</w:t>
            </w:r>
          </w:p>
        </w:tc>
      </w:tr>
    </w:tbl>
    <w:p w14:paraId="283E764E" w14:textId="77777777" w:rsidR="00C82034" w:rsidRDefault="00C82034">
      <w:pPr>
        <w:spacing w:before="160"/>
      </w:pPr>
    </w:p>
    <w:p w14:paraId="7F4D4ED8" w14:textId="77777777" w:rsidR="00C82034" w:rsidRDefault="00000000">
      <w:pPr>
        <w:spacing w:before="40" w:after="80"/>
      </w:pPr>
      <w:r>
        <w:rPr>
          <w:rFonts w:ascii="Calibri" w:hAnsi="Calibri"/>
          <w:b/>
          <w:color w:val="1E293B"/>
          <w:sz w:val="20"/>
        </w:rPr>
        <w:t>Cátedra de Nutrición Infantil — Universidad del Norte Santo Tomás de Aquino (UNSTA)</w:t>
      </w:r>
    </w:p>
    <w:p w14:paraId="53D6C3BB" w14:textId="77777777" w:rsidR="00C82034" w:rsidRDefault="00000000">
      <w:pPr>
        <w:spacing w:before="40" w:after="80"/>
      </w:pPr>
      <w:r>
        <w:rPr>
          <w:rFonts w:ascii="Calibri" w:hAnsi="Calibri"/>
          <w:color w:val="1E293B"/>
          <w:sz w:val="20"/>
        </w:rPr>
        <w:t>*Prof. Lic. Germán — Material Oficial de Estudio y Práctica Clínica*</w:t>
      </w:r>
    </w:p>
    <w:p w14:paraId="711FC229" w14:textId="77777777" w:rsidR="00C82034" w:rsidRDefault="00000000">
      <w:pPr>
        <w:keepNext/>
        <w:spacing w:before="320" w:after="80"/>
      </w:pPr>
      <w:r>
        <w:rPr>
          <w:rFonts w:ascii="Calibri" w:hAnsi="Calibri"/>
          <w:b/>
          <w:color w:val="164E63"/>
          <w:sz w:val="27"/>
        </w:rPr>
        <w:t>1. INTRODUCCIÓN Y DEFINICIÓN DE PATRONES ALIMENTARIOS</w:t>
      </w:r>
    </w:p>
    <w:p w14:paraId="6A6887F1" w14:textId="77777777" w:rsidR="00C82034" w:rsidRDefault="00000000">
      <w:pPr>
        <w:spacing w:before="40" w:after="80"/>
      </w:pPr>
      <w:r>
        <w:rPr>
          <w:rFonts w:ascii="Calibri" w:hAnsi="Calibri"/>
          <w:color w:val="1E293B"/>
          <w:sz w:val="20"/>
        </w:rPr>
        <w:t xml:space="preserve">La adopción de patrones dietarios basados en plantas (*Plant-Based Diets*) ha experimentado un crecimiento sostenido en la población pediátrica y adolescente. Lejos de constituir un impedimento para el desarrollo, las principales sociedades científicas internacionales de nutrición y pediatría reconocen que las dietas vegetarianas adecuadamente planificadas son </w:t>
      </w:r>
      <w:r>
        <w:rPr>
          <w:rFonts w:ascii="Calibri" w:hAnsi="Calibri"/>
          <w:b/>
          <w:color w:val="1E293B"/>
          <w:sz w:val="20"/>
        </w:rPr>
        <w:t>nutricionalmente completas, seguras y viables en todas las etapas del ciclo vital</w:t>
      </w:r>
      <w:r>
        <w:rPr>
          <w:rFonts w:ascii="Calibri" w:hAnsi="Calibri"/>
          <w:color w:val="1E293B"/>
          <w:sz w:val="20"/>
        </w:rPr>
        <w:t>.</w:t>
      </w:r>
    </w:p>
    <w:p w14:paraId="47341BDE" w14:textId="77777777" w:rsidR="00C82034" w:rsidRDefault="00000000">
      <w:pPr>
        <w:spacing w:before="40" w:after="80"/>
      </w:pPr>
      <w:r>
        <w:rPr>
          <w:rFonts w:ascii="Calibri" w:hAnsi="Calibri"/>
          <w:color w:val="1E293B"/>
          <w:sz w:val="20"/>
        </w:rPr>
        <w:t xml:space="preserve">El rol del Licenciado/a en Nutrición no es juzgar, disuadir o crear temores infundados en la familia, sino </w:t>
      </w:r>
      <w:r>
        <w:rPr>
          <w:rFonts w:ascii="Calibri" w:hAnsi="Calibri"/>
          <w:b/>
          <w:color w:val="1E293B"/>
          <w:sz w:val="20"/>
        </w:rPr>
        <w:t>acompañar profesionalmente la decisión</w:t>
      </w:r>
      <w:r>
        <w:rPr>
          <w:rFonts w:ascii="Calibri" w:hAnsi="Calibri"/>
          <w:color w:val="1E293B"/>
          <w:sz w:val="20"/>
        </w:rPr>
        <w:t>, optimizar la densidad de nutrientes, educar en técnicas culinarias facilitadoras y asegurar la suplementación farmacológica innegociable.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82034" w14:paraId="1D267125" w14:textId="77777777">
        <w:trPr>
          <w:jc w:val="center"/>
        </w:trPr>
        <w:tc>
          <w:tcPr>
            <w:tcW w:w="9360" w:type="dxa"/>
            <w:tcBorders>
              <w:top w:val="none" w:sz="4" w:space="0" w:color="auto"/>
              <w:left w:val="single" w:sz="24" w:space="0" w:color="059669"/>
              <w:bottom w:val="none" w:sz="4" w:space="0" w:color="auto"/>
              <w:right w:val="none" w:sz="4" w:space="0" w:color="auto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180" w:type="dxa"/>
            </w:tcMar>
          </w:tcPr>
          <w:p w14:paraId="351DDC08" w14:textId="77777777" w:rsidR="00C82034" w:rsidRDefault="00000000">
            <w:pPr>
              <w:spacing w:before="40" w:after="80"/>
            </w:pPr>
            <w:r>
              <w:rPr>
                <w:rFonts w:ascii="Calibri" w:hAnsi="Calibri"/>
                <w:b/>
                <w:color w:val="059669"/>
                <w:sz w:val="21"/>
              </w:rPr>
              <w:t>📌 ESQUEMA SINTÉTICO / PROTOCOLO CLÍNICO</w:t>
            </w:r>
            <w:r>
              <w:rPr>
                <w:rFonts w:ascii="Calibri" w:hAnsi="Calibri"/>
                <w:b/>
                <w:color w:val="059669"/>
                <w:sz w:val="21"/>
              </w:rPr>
              <w:br/>
            </w:r>
          </w:p>
          <w:p w14:paraId="558EE437" w14:textId="77777777" w:rsidR="00C82034" w:rsidRDefault="00000000"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│     PATRONES BASADOS EN PLANTAS EN PEDIATRÍA</w:t>
            </w:r>
          </w:p>
          <w:p w14:paraId="65D5EC7E" w14:textId="77777777" w:rsidR="00C82034" w:rsidRDefault="00000000"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│ • Ovolactovegetariano: Excluye carnes/pescados</w:t>
            </w:r>
          </w:p>
          <w:p w14:paraId="5ADE87CC" w14:textId="77777777" w:rsidR="00C82034" w:rsidRDefault="00000000"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│   pero incluye huevos y lácteos.</w:t>
            </w:r>
          </w:p>
          <w:p w14:paraId="260C77C6" w14:textId="77777777" w:rsidR="00C82034" w:rsidRDefault="00000000"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│ • Lactovegetariano: Incluye lácteos; no huevo.</w:t>
            </w:r>
          </w:p>
          <w:p w14:paraId="475BB887" w14:textId="77777777" w:rsidR="00C82034" w:rsidRDefault="00000000"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│ • Ovovegetariano: Incluye huevos; no lácteos.</w:t>
            </w:r>
          </w:p>
          <w:p w14:paraId="24C2E577" w14:textId="77777777" w:rsidR="00C82034" w:rsidRDefault="00000000"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│ • Vegetariano Estricto / Vegano: 100% origen</w:t>
            </w:r>
          </w:p>
          <w:p w14:paraId="63E9D893" w14:textId="77777777" w:rsidR="00C82034" w:rsidRDefault="00000000"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│   vegetal (sin carnes, lácteos, huevos ni miel)</w:t>
            </w:r>
          </w:p>
        </w:tc>
      </w:tr>
    </w:tbl>
    <w:p w14:paraId="66CF67F0" w14:textId="77777777" w:rsidR="00C82034" w:rsidRDefault="00C82034">
      <w:pPr>
        <w:spacing w:before="80" w:after="80"/>
      </w:pPr>
    </w:p>
    <w:p w14:paraId="02604EA4" w14:textId="77777777" w:rsidR="00137D0D" w:rsidRDefault="00137D0D">
      <w:pPr>
        <w:keepNext/>
        <w:spacing w:before="320" w:after="80"/>
        <w:rPr>
          <w:rFonts w:ascii="Calibri" w:hAnsi="Calibri"/>
          <w:b/>
          <w:color w:val="164E63"/>
          <w:sz w:val="27"/>
        </w:rPr>
      </w:pPr>
    </w:p>
    <w:p w14:paraId="267CD49C" w14:textId="77777777" w:rsidR="00137D0D" w:rsidRDefault="00137D0D">
      <w:pPr>
        <w:keepNext/>
        <w:spacing w:before="320" w:after="80"/>
        <w:rPr>
          <w:rFonts w:ascii="Calibri" w:hAnsi="Calibri"/>
          <w:b/>
          <w:color w:val="164E63"/>
          <w:sz w:val="27"/>
        </w:rPr>
      </w:pPr>
    </w:p>
    <w:p w14:paraId="63B121AA" w14:textId="77777777" w:rsidR="00137D0D" w:rsidRDefault="00137D0D">
      <w:pPr>
        <w:keepNext/>
        <w:spacing w:before="320" w:after="80"/>
        <w:rPr>
          <w:rFonts w:ascii="Calibri" w:hAnsi="Calibri"/>
          <w:b/>
          <w:color w:val="164E63"/>
          <w:sz w:val="27"/>
        </w:rPr>
      </w:pPr>
    </w:p>
    <w:p w14:paraId="3DD357AD" w14:textId="1DF539A5" w:rsidR="00C82034" w:rsidRDefault="00000000">
      <w:pPr>
        <w:keepNext/>
        <w:spacing w:before="320" w:after="80"/>
      </w:pPr>
      <w:r>
        <w:rPr>
          <w:rFonts w:ascii="Calibri" w:hAnsi="Calibri"/>
          <w:b/>
          <w:color w:val="164E63"/>
          <w:sz w:val="27"/>
        </w:rPr>
        <w:t>2</w:t>
      </w:r>
      <w:bookmarkStart w:id="0" w:name="_Hlk242092307"/>
      <w:r>
        <w:rPr>
          <w:rFonts w:ascii="Calibri" w:hAnsi="Calibri"/>
          <w:b/>
          <w:color w:val="164E63"/>
          <w:sz w:val="27"/>
        </w:rPr>
        <w:t>. LOS 6 GRUPOS ALIMENTARIOS ELEMENTALES EN LA INFANCIA</w:t>
      </w:r>
    </w:p>
    <w:p w14:paraId="6FD75A7E" w14:textId="77777777" w:rsidR="00C82034" w:rsidRDefault="00000000">
      <w:pPr>
        <w:spacing w:before="40" w:after="80"/>
      </w:pPr>
      <w:r>
        <w:rPr>
          <w:rFonts w:ascii="Calibri" w:hAnsi="Calibri"/>
          <w:color w:val="1E293B"/>
          <w:sz w:val="20"/>
        </w:rPr>
        <w:t xml:space="preserve">Para asegurar variedad, suficiencia calórica y micronutrientes sin caer en la monotonía de ultraprocesados ("vegetarianismo chatarra"), el plan alimentario infantil debe rotar diariamente entre estos </w:t>
      </w:r>
      <w:r>
        <w:rPr>
          <w:rFonts w:ascii="Calibri" w:hAnsi="Calibri"/>
          <w:b/>
          <w:color w:val="1E293B"/>
          <w:sz w:val="20"/>
        </w:rPr>
        <w:t>seis pilares fundamentales</w:t>
      </w:r>
      <w:r>
        <w:rPr>
          <w:rFonts w:ascii="Calibri" w:hAnsi="Calibri"/>
          <w:color w:val="1E293B"/>
          <w:sz w:val="20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82034" w14:paraId="7489ABE9" w14:textId="77777777">
        <w:trPr>
          <w:jc w:val="center"/>
        </w:trPr>
        <w:tc>
          <w:tcPr>
            <w:tcW w:w="9360" w:type="dxa"/>
            <w:tcBorders>
              <w:top w:val="none" w:sz="4" w:space="0" w:color="auto"/>
              <w:left w:val="single" w:sz="24" w:space="0" w:color="059669"/>
              <w:bottom w:val="none" w:sz="4" w:space="0" w:color="auto"/>
              <w:right w:val="none" w:sz="4" w:space="0" w:color="auto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180" w:type="dxa"/>
            </w:tcMar>
          </w:tcPr>
          <w:p w14:paraId="33B77B07" w14:textId="77777777" w:rsidR="00C82034" w:rsidRDefault="00000000">
            <w:pPr>
              <w:spacing w:before="40" w:after="80"/>
            </w:pPr>
            <w:r>
              <w:rPr>
                <w:rFonts w:ascii="Calibri" w:hAnsi="Calibri"/>
                <w:b/>
                <w:color w:val="059669"/>
                <w:sz w:val="21"/>
              </w:rPr>
              <w:t>📌 ESQUEMA SINTÉTICO / PROTOCOLO CLÍNICO</w:t>
            </w:r>
            <w:r>
              <w:rPr>
                <w:rFonts w:ascii="Calibri" w:hAnsi="Calibri"/>
                <w:b/>
                <w:color w:val="059669"/>
                <w:sz w:val="21"/>
              </w:rPr>
              <w:br/>
            </w:r>
          </w:p>
          <w:p w14:paraId="20F77AB6" w14:textId="77777777" w:rsidR="00C82034" w:rsidRDefault="00000000"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┌──────────────────────────────┬──────────────────────────────┬</w:t>
            </w:r>
          </w:p>
          <w:p w14:paraId="512B5050" w14:textId="77777777" w:rsidR="00C82034" w:rsidRDefault="00000000"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│ 1. LEGUMBRES Y DERIVADOS     │ 2. CEREALES Y GRANOS ENTEROS │ 3. FRUTOS SECOS Y PASTAS</w:t>
            </w:r>
          </w:p>
          <w:p w14:paraId="05B4EFBF" w14:textId="77777777" w:rsidR="00C82034" w:rsidRDefault="00000000"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├──────────────────────────────┼──────────────────────────────┼</w:t>
            </w:r>
          </w:p>
          <w:p w14:paraId="095E2E55" w14:textId="77777777" w:rsidR="00C82034" w:rsidRDefault="00000000"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│ Lentejas, garbanzos, porotos,│ Avena, arroz integral, maíz, │ Nueces, almendras, castañas,</w:t>
            </w:r>
          </w:p>
          <w:p w14:paraId="7D243257" w14:textId="77777777" w:rsidR="00C82034" w:rsidRDefault="00000000"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│ arvejas secas, soja no OGM,  │ mijo, quinoa, trigo sarraceno│ maní y pasta de maní 100%</w:t>
            </w:r>
          </w:p>
          <w:p w14:paraId="70AC2E09" w14:textId="77777777" w:rsidR="00C82034" w:rsidRDefault="00000000"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│ tofu firme y tempeh.         │ y panes de masa madre.       │ (en niños pequeños, molidos).</w:t>
            </w:r>
          </w:p>
          <w:p w14:paraId="186F07FB" w14:textId="77777777" w:rsidR="00C82034" w:rsidRDefault="00000000"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├──────────────────────────────┼──────────────────────────────┼</w:t>
            </w:r>
          </w:p>
          <w:p w14:paraId="7691F3A2" w14:textId="77777777" w:rsidR="00C82034" w:rsidRDefault="00000000"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│ 4. SEMILLAS Y ACEITES CRUDOS │ 5. VERDURAS Y HORTALIZAS     │ 6. FRUTAS FRESCAS Y SECAS</w:t>
            </w:r>
          </w:p>
          <w:p w14:paraId="583C8AAE" w14:textId="77777777" w:rsidR="00C82034" w:rsidRDefault="00000000"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├──────────────────────────────┼──────────────────────────────┼</w:t>
            </w:r>
          </w:p>
          <w:p w14:paraId="25A126BB" w14:textId="77777777" w:rsidR="00C82034" w:rsidRDefault="00000000"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│ Chía molida, lino molido,    │ Hojas verdes oscuras, brócoli│ Cítricos, kiwi, banana, higos</w:t>
            </w:r>
          </w:p>
          <w:p w14:paraId="32578E87" w14:textId="77777777" w:rsidR="00C82034" w:rsidRDefault="00000000"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│ sésamo integral molido/tahini│ zanahoria, zapallo, tomate y │ desecados, ciruelas desecadas</w:t>
            </w:r>
          </w:p>
          <w:p w14:paraId="6403AC87" w14:textId="77777777" w:rsidR="00C82034" w:rsidRDefault="00000000"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│ y aceite de oliva/canola crudo│ pimiento morrón crudo.      │ y frutas frescas de estación.</w:t>
            </w:r>
          </w:p>
          <w:p w14:paraId="7BFEAEED" w14:textId="77777777" w:rsidR="00C82034" w:rsidRDefault="00000000"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└──────────────────────────────┴──────────────────────────────┴</w:t>
            </w:r>
          </w:p>
        </w:tc>
      </w:tr>
      <w:bookmarkEnd w:id="0"/>
    </w:tbl>
    <w:p w14:paraId="6095068C" w14:textId="77777777" w:rsidR="00C82034" w:rsidRDefault="00C82034">
      <w:pPr>
        <w:spacing w:before="80" w:after="80"/>
      </w:pPr>
    </w:p>
    <w:p w14:paraId="50292145" w14:textId="77777777" w:rsidR="00C82034" w:rsidRDefault="00000000">
      <w:pPr>
        <w:keepNext/>
        <w:spacing w:before="320" w:after="80"/>
      </w:pPr>
      <w:r>
        <w:rPr>
          <w:rFonts w:ascii="Calibri" w:hAnsi="Calibri"/>
          <w:b/>
          <w:color w:val="164E63"/>
          <w:sz w:val="27"/>
        </w:rPr>
        <w:t>3. APORTE PROTEICO Y COMPLEMENTACIÓN AMINOACÍDICA</w:t>
      </w:r>
    </w:p>
    <w:p w14:paraId="54EE29EF" w14:textId="77777777" w:rsidR="00C82034" w:rsidRDefault="00000000">
      <w:pPr>
        <w:spacing w:before="40" w:after="80"/>
      </w:pPr>
      <w:r>
        <w:rPr>
          <w:rFonts w:ascii="Calibri" w:hAnsi="Calibri"/>
          <w:color w:val="1E293B"/>
          <w:sz w:val="20"/>
        </w:rPr>
        <w:t xml:space="preserve">Uno de los mitos más persistentes en la consulta es la supuesta deficiencia proteica en niños vegetarianos. La evidencia científica demuestra que </w:t>
      </w:r>
      <w:r>
        <w:rPr>
          <w:rFonts w:ascii="Calibri" w:hAnsi="Calibri"/>
          <w:b/>
          <w:color w:val="1E293B"/>
          <w:sz w:val="20"/>
        </w:rPr>
        <w:t>cuando se cubren las calorías totales mediante alimentos enteros variados, los requerimientos proteicos cuantitativos se cubren con holgura</w:t>
      </w:r>
      <w:r>
        <w:rPr>
          <w:rFonts w:ascii="Calibri" w:hAnsi="Calibri"/>
          <w:color w:val="1E293B"/>
          <w:sz w:val="20"/>
        </w:rPr>
        <w:t>.</w:t>
      </w:r>
    </w:p>
    <w:p w14:paraId="4FCB95CF" w14:textId="77777777" w:rsidR="00C82034" w:rsidRDefault="00000000">
      <w:pPr>
        <w:keepNext/>
        <w:spacing w:before="220" w:after="60"/>
      </w:pPr>
      <w:r>
        <w:rPr>
          <w:rFonts w:ascii="Calibri" w:hAnsi="Calibri"/>
          <w:b/>
          <w:color w:val="059669"/>
        </w:rPr>
        <w:t>3.1. Aminoácidos Limitantes y Complementación Metabólica</w:t>
      </w:r>
    </w:p>
    <w:p w14:paraId="503EF3D3" w14:textId="77777777" w:rsidR="00C82034" w:rsidRDefault="00000000">
      <w:pPr>
        <w:spacing w:before="40" w:after="80"/>
      </w:pPr>
      <w:r>
        <w:rPr>
          <w:rFonts w:ascii="Calibri" w:hAnsi="Calibri"/>
          <w:color w:val="1E293B"/>
          <w:sz w:val="20"/>
        </w:rPr>
        <w:t>Las proteínas vegetales contienen todos los aminoácidos esenciales, pero presentan variaciones en su concentración relativa (aminoácidos limitantes):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C82034" w14:paraId="3A9E3BB7" w14:textId="77777777">
        <w:trPr>
          <w:jc w:val="center"/>
        </w:trPr>
        <w:tc>
          <w:tcPr>
            <w:tcW w:w="3264" w:type="dxa"/>
            <w:tcBorders>
              <w:top w:val="single" w:sz="6" w:space="0" w:color="164E63"/>
              <w:left w:val="single" w:sz="2" w:space="0" w:color="E2E8F0"/>
              <w:bottom w:val="single" w:sz="12" w:space="0" w:color="059669"/>
              <w:right w:val="single" w:sz="2" w:space="0" w:color="E2E8F0"/>
            </w:tcBorders>
            <w:shd w:val="clear" w:color="auto" w:fill="164E6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1CC663" w14:textId="77777777" w:rsidR="00C82034" w:rsidRDefault="00000000">
            <w:r>
              <w:rPr>
                <w:rFonts w:ascii="Calibri" w:hAnsi="Calibri"/>
                <w:b/>
                <w:color w:val="FFFFFF"/>
                <w:sz w:val="19"/>
              </w:rPr>
              <w:t>Grupo Alimentario</w:t>
            </w:r>
          </w:p>
        </w:tc>
        <w:tc>
          <w:tcPr>
            <w:tcW w:w="3264" w:type="dxa"/>
            <w:tcBorders>
              <w:top w:val="single" w:sz="6" w:space="0" w:color="164E63"/>
              <w:left w:val="single" w:sz="2" w:space="0" w:color="E2E8F0"/>
              <w:bottom w:val="single" w:sz="12" w:space="0" w:color="059669"/>
              <w:right w:val="single" w:sz="2" w:space="0" w:color="E2E8F0"/>
            </w:tcBorders>
            <w:shd w:val="clear" w:color="auto" w:fill="164E6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F38A8C" w14:textId="77777777" w:rsidR="00C82034" w:rsidRDefault="00000000">
            <w:r>
              <w:rPr>
                <w:rFonts w:ascii="Calibri" w:hAnsi="Calibri"/>
                <w:b/>
                <w:color w:val="FFFFFF"/>
                <w:sz w:val="19"/>
              </w:rPr>
              <w:t>Aminoácido Limitante</w:t>
            </w:r>
          </w:p>
        </w:tc>
        <w:tc>
          <w:tcPr>
            <w:tcW w:w="3264" w:type="dxa"/>
            <w:tcBorders>
              <w:top w:val="single" w:sz="6" w:space="0" w:color="164E63"/>
              <w:left w:val="single" w:sz="2" w:space="0" w:color="E2E8F0"/>
              <w:bottom w:val="single" w:sz="12" w:space="0" w:color="059669"/>
              <w:right w:val="single" w:sz="2" w:space="0" w:color="E2E8F0"/>
            </w:tcBorders>
            <w:shd w:val="clear" w:color="auto" w:fill="164E6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16FAC0" w14:textId="77777777" w:rsidR="00C82034" w:rsidRDefault="00000000">
            <w:r>
              <w:rPr>
                <w:rFonts w:ascii="Calibri" w:hAnsi="Calibri"/>
                <w:b/>
                <w:color w:val="FFFFFF"/>
                <w:sz w:val="19"/>
              </w:rPr>
              <w:t>Aminoácido en el que es Rico</w:t>
            </w:r>
          </w:p>
        </w:tc>
      </w:tr>
      <w:tr w:rsidR="00C82034" w14:paraId="4405E9AB" w14:textId="77777777">
        <w:trPr>
          <w:jc w:val="center"/>
        </w:trPr>
        <w:tc>
          <w:tcPr>
            <w:tcW w:w="326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65BC83" w14:textId="77777777" w:rsidR="00C82034" w:rsidRDefault="00000000"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Cereales y Granos (Arroz, trigo, maíz, avena)</w:t>
            </w:r>
          </w:p>
        </w:tc>
        <w:tc>
          <w:tcPr>
            <w:tcW w:w="326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FDD00B" w14:textId="77777777" w:rsidR="00C82034" w:rsidRDefault="00000000"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Lisina</w:t>
            </w:r>
          </w:p>
        </w:tc>
        <w:tc>
          <w:tcPr>
            <w:tcW w:w="326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2329C3" w14:textId="77777777" w:rsidR="00C82034" w:rsidRDefault="00000000"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Metionina y Cisteína</w:t>
            </w:r>
          </w:p>
        </w:tc>
      </w:tr>
      <w:tr w:rsidR="00C82034" w14:paraId="551D33C0" w14:textId="77777777">
        <w:trPr>
          <w:jc w:val="center"/>
        </w:trPr>
        <w:tc>
          <w:tcPr>
            <w:tcW w:w="326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E21811" w14:textId="77777777" w:rsidR="00C82034" w:rsidRDefault="00000000"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Legumbres (Lentejas, porotos, garbanzos, arvejas)</w:t>
            </w:r>
          </w:p>
        </w:tc>
        <w:tc>
          <w:tcPr>
            <w:tcW w:w="326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C220F0" w14:textId="77777777" w:rsidR="00C82034" w:rsidRDefault="00000000"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Metionina</w:t>
            </w:r>
          </w:p>
        </w:tc>
        <w:tc>
          <w:tcPr>
            <w:tcW w:w="326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766C15" w14:textId="77777777" w:rsidR="00C82034" w:rsidRDefault="00000000"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Lisina</w:t>
            </w:r>
          </w:p>
        </w:tc>
      </w:tr>
      <w:tr w:rsidR="00C82034" w14:paraId="20687CAA" w14:textId="77777777">
        <w:trPr>
          <w:jc w:val="center"/>
        </w:trPr>
        <w:tc>
          <w:tcPr>
            <w:tcW w:w="326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572996" w14:textId="77777777" w:rsidR="00C82034" w:rsidRDefault="00000000"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lastRenderedPageBreak/>
              <w:t>Frutos Secos y Semillas</w:t>
            </w:r>
          </w:p>
        </w:tc>
        <w:tc>
          <w:tcPr>
            <w:tcW w:w="326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33B5B" w14:textId="77777777" w:rsidR="00C82034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Lisina</w:t>
            </w:r>
          </w:p>
        </w:tc>
        <w:tc>
          <w:tcPr>
            <w:tcW w:w="326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68E010" w14:textId="77777777" w:rsidR="00C82034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Metionina y Triptófano</w:t>
            </w:r>
          </w:p>
        </w:tc>
      </w:tr>
    </w:tbl>
    <w:p w14:paraId="638337BC" w14:textId="77777777" w:rsidR="00C82034" w:rsidRDefault="00C82034">
      <w:pPr>
        <w:spacing w:before="80" w:after="80"/>
      </w:pPr>
    </w:p>
    <w:p w14:paraId="3BFE070E" w14:textId="77777777" w:rsidR="00C82034" w:rsidRDefault="00000000">
      <w:pPr>
        <w:pStyle w:val="Listaconvietas"/>
        <w:spacing w:before="20" w:after="40"/>
      </w:pPr>
      <w:r>
        <w:rPr>
          <w:rFonts w:ascii="Calibri" w:hAnsi="Calibri"/>
          <w:b/>
          <w:color w:val="1E293B"/>
          <w:sz w:val="20"/>
        </w:rPr>
        <w:t>Regla de Oro Clínica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alibri" w:hAnsi="Calibri"/>
          <w:b/>
          <w:color w:val="1E293B"/>
          <w:sz w:val="20"/>
        </w:rPr>
        <w:t>NO es necesario combinar legumbres y cereales en el mismo plato ni en la misma comida</w:t>
      </w:r>
      <w:r>
        <w:rPr>
          <w:rFonts w:ascii="Calibri" w:hAnsi="Calibri"/>
          <w:color w:val="1E293B"/>
          <w:sz w:val="20"/>
        </w:rPr>
        <w:t>.</w:t>
      </w:r>
    </w:p>
    <w:p w14:paraId="670E0E62" w14:textId="77777777" w:rsidR="00137D0D" w:rsidRDefault="00000000" w:rsidP="00137D0D">
      <w:pPr>
        <w:spacing w:before="40" w:after="80"/>
      </w:pPr>
      <w:r>
        <w:rPr>
          <w:rFonts w:ascii="Calibri" w:hAnsi="Calibri"/>
          <w:color w:val="1E293B"/>
          <w:sz w:val="20"/>
        </w:rPr>
        <w:t xml:space="preserve">El organismo humano mantiene un </w:t>
      </w:r>
      <w:r>
        <w:rPr>
          <w:rFonts w:ascii="Calibri" w:hAnsi="Calibri"/>
          <w:b/>
          <w:color w:val="1E293B"/>
          <w:sz w:val="20"/>
        </w:rPr>
        <w:t>"pool" plasmático de aminoácidos libres</w:t>
      </w:r>
      <w:r>
        <w:rPr>
          <w:rFonts w:ascii="Calibri" w:hAnsi="Calibri"/>
          <w:color w:val="1E293B"/>
          <w:sz w:val="20"/>
        </w:rPr>
        <w:t xml:space="preserve"> en sangre e hígado que recircula durante 12 a 24 horas. Alcanza con que el niño o niña consuma legumbres, cereales, semillas o frutos secos a lo largo de la jornada para que el hígado sintetice armónicamente </w:t>
      </w:r>
      <w:proofErr w:type="spellStart"/>
      <w:r>
        <w:rPr>
          <w:rFonts w:ascii="Calibri" w:hAnsi="Calibri"/>
          <w:color w:val="1E293B"/>
          <w:sz w:val="20"/>
        </w:rPr>
        <w:t>todas</w:t>
      </w:r>
      <w:proofErr w:type="spellEnd"/>
      <w:r>
        <w:rPr>
          <w:rFonts w:ascii="Calibri" w:hAnsi="Calibri"/>
          <w:color w:val="1E293B"/>
          <w:sz w:val="20"/>
        </w:rPr>
        <w:t xml:space="preserve"> las </w:t>
      </w:r>
      <w:proofErr w:type="spellStart"/>
      <w:r>
        <w:rPr>
          <w:rFonts w:ascii="Calibri" w:hAnsi="Calibri"/>
          <w:color w:val="1E293B"/>
          <w:sz w:val="20"/>
        </w:rPr>
        <w:t>proteínas</w:t>
      </w:r>
      <w:proofErr w:type="spellEnd"/>
      <w:r>
        <w:rPr>
          <w:rFonts w:ascii="Calibri" w:hAnsi="Calibri"/>
          <w:color w:val="1E293B"/>
          <w:sz w:val="20"/>
        </w:rPr>
        <w:t xml:space="preserve"> </w:t>
      </w:r>
      <w:proofErr w:type="spellStart"/>
      <w:r>
        <w:rPr>
          <w:rFonts w:ascii="Calibri" w:hAnsi="Calibri"/>
          <w:color w:val="1E293B"/>
          <w:sz w:val="20"/>
        </w:rPr>
        <w:t>corporales</w:t>
      </w:r>
      <w:proofErr w:type="spellEnd"/>
      <w:r>
        <w:rPr>
          <w:rFonts w:ascii="Calibri" w:hAnsi="Calibri"/>
          <w:color w:val="1E293B"/>
          <w:sz w:val="20"/>
        </w:rPr>
        <w:t>.</w:t>
      </w:r>
    </w:p>
    <w:p w14:paraId="4B822DCB" w14:textId="77777777" w:rsidR="00137D0D" w:rsidRDefault="00137D0D" w:rsidP="00137D0D">
      <w:pPr>
        <w:spacing w:before="40" w:after="80"/>
      </w:pPr>
    </w:p>
    <w:p w14:paraId="0B6C594E" w14:textId="214ABEB0" w:rsidR="00C82034" w:rsidRDefault="00000000" w:rsidP="00137D0D">
      <w:pPr>
        <w:spacing w:before="40" w:after="80"/>
      </w:pPr>
      <w:r>
        <w:rPr>
          <w:rFonts w:ascii="Calibri" w:hAnsi="Calibri"/>
          <w:b/>
          <w:color w:val="164E63"/>
          <w:sz w:val="27"/>
        </w:rPr>
        <w:t>4. MICRONUTRIENTES CRÍTICOS Y TÉCNICAS CULINARIAS</w:t>
      </w:r>
    </w:p>
    <w:p w14:paraId="56AAC76C" w14:textId="77777777" w:rsidR="00C82034" w:rsidRDefault="00000000">
      <w:pPr>
        <w:keepNext/>
        <w:spacing w:before="220" w:after="60"/>
      </w:pPr>
      <w:r>
        <w:rPr>
          <w:rFonts w:ascii="Calibri" w:hAnsi="Calibri"/>
          <w:b/>
          <w:color w:val="059669"/>
        </w:rPr>
        <w:t>4.1. Hierro no Hemínico ($Fe^{3+}$)</w:t>
      </w:r>
    </w:p>
    <w:p w14:paraId="70B15C03" w14:textId="77777777" w:rsidR="00C82034" w:rsidRDefault="00000000">
      <w:pPr>
        <w:spacing w:before="40" w:after="80"/>
      </w:pPr>
      <w:r>
        <w:rPr>
          <w:rFonts w:ascii="Calibri" w:hAnsi="Calibri"/>
          <w:color w:val="1E293B"/>
          <w:sz w:val="20"/>
        </w:rPr>
        <w:t>El hierro de origen vegetal se encuentra en estado férrico (Fe^3+), cuya absorción intestinal es regulada por el organismo según los depósitos corporales y está sujeta a factores facilitadores e inhibidores.</w:t>
      </w:r>
    </w:p>
    <w:p w14:paraId="5F23E0DD" w14:textId="77777777" w:rsidR="00C82034" w:rsidRDefault="00000000">
      <w:pPr>
        <w:pStyle w:val="Listaconvietas"/>
        <w:spacing w:before="20" w:after="40"/>
      </w:pPr>
      <w:r>
        <w:rPr>
          <w:rFonts w:ascii="Calibri" w:hAnsi="Calibri"/>
          <w:b/>
          <w:color w:val="1E293B"/>
          <w:sz w:val="20"/>
        </w:rPr>
        <w:t>Facilitadores Mayores</w:t>
      </w:r>
      <w:r>
        <w:rPr>
          <w:rFonts w:ascii="Calibri" w:hAnsi="Calibri"/>
          <w:color w:val="1E293B"/>
          <w:sz w:val="20"/>
        </w:rPr>
        <w:t>:</w:t>
      </w:r>
    </w:p>
    <w:p w14:paraId="7E766F33" w14:textId="77777777" w:rsidR="00C82034" w:rsidRDefault="00000000">
      <w:pPr>
        <w:pStyle w:val="Listaconvietas"/>
        <w:spacing w:before="20" w:after="40"/>
      </w:pPr>
      <w:r>
        <w:rPr>
          <w:rFonts w:ascii="Calibri" w:hAnsi="Calibri"/>
          <w:b/>
          <w:color w:val="1E293B"/>
          <w:sz w:val="20"/>
        </w:rPr>
        <w:t>Vitamina C (Ácido Ascórbico)</w:t>
      </w:r>
      <w:r>
        <w:rPr>
          <w:rFonts w:ascii="Calibri" w:hAnsi="Calibri"/>
          <w:color w:val="1E293B"/>
          <w:sz w:val="20"/>
        </w:rPr>
        <w:t xml:space="preserve">: Reduce el Fe^3+ a ferroso (Fe^2+), forma soluble fácilmente absorbible a través del transportador DMT-1. Agregar jugo de limón fresco, consumir naranja, kiwi o frutillas de postre, o incorporar tomate/morrón crudo en el mismo almuerzo </w:t>
      </w:r>
      <w:r>
        <w:rPr>
          <w:rFonts w:ascii="Calibri" w:hAnsi="Calibri"/>
          <w:b/>
          <w:color w:val="1E293B"/>
          <w:sz w:val="20"/>
        </w:rPr>
        <w:t>triplica la absorción de hierro vegetal</w:t>
      </w:r>
      <w:r>
        <w:rPr>
          <w:rFonts w:ascii="Calibri" w:hAnsi="Calibri"/>
          <w:color w:val="1E293B"/>
          <w:sz w:val="20"/>
        </w:rPr>
        <w:t>.</w:t>
      </w:r>
    </w:p>
    <w:p w14:paraId="2094ED77" w14:textId="77777777" w:rsidR="00C82034" w:rsidRDefault="00000000">
      <w:pPr>
        <w:pStyle w:val="Listaconvietas"/>
        <w:spacing w:before="20" w:after="40"/>
      </w:pPr>
      <w:r>
        <w:rPr>
          <w:rFonts w:ascii="Calibri" w:hAnsi="Calibri"/>
          <w:b/>
          <w:color w:val="1E293B"/>
          <w:sz w:val="20"/>
        </w:rPr>
        <w:t>Ácidos orgánicos y fermentación</w:t>
      </w:r>
      <w:r>
        <w:rPr>
          <w:rFonts w:ascii="Calibri" w:hAnsi="Calibri"/>
          <w:color w:val="1E293B"/>
          <w:sz w:val="20"/>
        </w:rPr>
        <w:t>: La fermentación con masa madre y el uso de vinagre aumentan la biodisponibilidad.</w:t>
      </w:r>
    </w:p>
    <w:p w14:paraId="0C66C47A" w14:textId="77777777" w:rsidR="00C82034" w:rsidRDefault="00000000">
      <w:pPr>
        <w:pStyle w:val="Listaconvietas"/>
        <w:spacing w:before="20" w:after="40"/>
      </w:pPr>
      <w:r>
        <w:rPr>
          <w:rFonts w:ascii="Calibri" w:hAnsi="Calibri"/>
          <w:b/>
          <w:color w:val="1E293B"/>
          <w:sz w:val="20"/>
        </w:rPr>
        <w:t>Inhibidores Mayores</w:t>
      </w:r>
      <w:r>
        <w:rPr>
          <w:rFonts w:ascii="Calibri" w:hAnsi="Calibri"/>
          <w:color w:val="1E293B"/>
          <w:sz w:val="20"/>
        </w:rPr>
        <w:t>:</w:t>
      </w:r>
    </w:p>
    <w:p w14:paraId="5D8C326B" w14:textId="77777777" w:rsidR="00C82034" w:rsidRDefault="00000000">
      <w:pPr>
        <w:pStyle w:val="Listaconvietas"/>
        <w:spacing w:before="20" w:after="40"/>
      </w:pPr>
      <w:r>
        <w:rPr>
          <w:rFonts w:ascii="Calibri" w:hAnsi="Calibri"/>
          <w:b/>
          <w:color w:val="1E293B"/>
          <w:sz w:val="20"/>
        </w:rPr>
        <w:t>Fitatos</w:t>
      </w:r>
      <w:r>
        <w:rPr>
          <w:rFonts w:ascii="Calibri" w:hAnsi="Calibri"/>
          <w:color w:val="1E293B"/>
          <w:sz w:val="20"/>
        </w:rPr>
        <w:t xml:space="preserve">: Compuestos de almacenamiento de fósforo en granos y legumbres que quelan el hierro. Se eliminan mediante </w:t>
      </w:r>
      <w:r>
        <w:rPr>
          <w:rFonts w:ascii="Calibri" w:hAnsi="Calibri"/>
          <w:b/>
          <w:color w:val="1E293B"/>
          <w:sz w:val="20"/>
        </w:rPr>
        <w:t>remojo prolongado (12 a 24 horas desarmando el agua de remojo)</w:t>
      </w:r>
      <w:r>
        <w:rPr>
          <w:rFonts w:ascii="Calibri" w:hAnsi="Calibri"/>
          <w:color w:val="1E293B"/>
          <w:sz w:val="20"/>
        </w:rPr>
        <w:t xml:space="preserve"> y cocción adecuada.</w:t>
      </w:r>
    </w:p>
    <w:p w14:paraId="66771241" w14:textId="77777777" w:rsidR="00C82034" w:rsidRDefault="00000000">
      <w:pPr>
        <w:pStyle w:val="Listaconvietas"/>
        <w:spacing w:before="20" w:after="40"/>
      </w:pPr>
      <w:r>
        <w:rPr>
          <w:rFonts w:ascii="Calibri" w:hAnsi="Calibri"/>
          <w:b/>
          <w:color w:val="1E293B"/>
          <w:sz w:val="20"/>
        </w:rPr>
        <w:t>Taninos y Polifenoles</w:t>
      </w:r>
      <w:r>
        <w:rPr>
          <w:rFonts w:ascii="Calibri" w:hAnsi="Calibri"/>
          <w:color w:val="1E293B"/>
          <w:sz w:val="20"/>
        </w:rPr>
        <w:t xml:space="preserve">: Presentes en el té negro, mate cebado y café. Deben alejarse al menos </w:t>
      </w:r>
      <w:r>
        <w:rPr>
          <w:rFonts w:ascii="Calibri" w:hAnsi="Calibri"/>
          <w:b/>
          <w:color w:val="1E293B"/>
          <w:sz w:val="20"/>
        </w:rPr>
        <w:t>1.5 a 2 horas</w:t>
      </w:r>
      <w:r>
        <w:rPr>
          <w:rFonts w:ascii="Calibri" w:hAnsi="Calibri"/>
          <w:color w:val="1E293B"/>
          <w:sz w:val="20"/>
        </w:rPr>
        <w:t xml:space="preserve"> de las comidas principales.</w:t>
      </w:r>
    </w:p>
    <w:p w14:paraId="01042A39" w14:textId="77777777" w:rsidR="00C82034" w:rsidRDefault="00000000">
      <w:pPr>
        <w:pStyle w:val="Listaconvietas"/>
        <w:spacing w:before="20" w:after="40"/>
      </w:pPr>
      <w:r>
        <w:rPr>
          <w:rFonts w:ascii="Calibri" w:hAnsi="Calibri"/>
          <w:b/>
          <w:color w:val="1E293B"/>
          <w:sz w:val="20"/>
        </w:rPr>
        <w:t>Calcio en altas concentraciones</w:t>
      </w:r>
      <w:r>
        <w:rPr>
          <w:rFonts w:ascii="Calibri" w:hAnsi="Calibri"/>
          <w:color w:val="1E293B"/>
          <w:sz w:val="20"/>
        </w:rPr>
        <w:t>: Competidor directo del transportador. No consumir suplementos de calcio ni lácteos concentrados junto con la comida rica en legumbres.</w:t>
      </w:r>
    </w:p>
    <w:p w14:paraId="17D481AF" w14:textId="77777777" w:rsidR="00C82034" w:rsidRDefault="00000000">
      <w:pPr>
        <w:keepNext/>
        <w:spacing w:before="220" w:after="60"/>
      </w:pPr>
      <w:r>
        <w:rPr>
          <w:rFonts w:ascii="Calibri" w:hAnsi="Calibri"/>
          <w:b/>
          <w:color w:val="059669"/>
        </w:rPr>
        <w:t>4.2. Zinc</w:t>
      </w:r>
    </w:p>
    <w:p w14:paraId="4E7FDA29" w14:textId="77777777" w:rsidR="00C82034" w:rsidRDefault="00000000">
      <w:pPr>
        <w:spacing w:before="40" w:after="80"/>
      </w:pPr>
      <w:r>
        <w:rPr>
          <w:rFonts w:ascii="Calibri" w:hAnsi="Calibri"/>
          <w:color w:val="1E293B"/>
          <w:sz w:val="20"/>
        </w:rPr>
        <w:t>Fundamental para el crecimiento lineal, maduración inmune y cicatrización tisular en pediatría.</w:t>
      </w:r>
    </w:p>
    <w:p w14:paraId="19E13618" w14:textId="77777777" w:rsidR="00C82034" w:rsidRDefault="00000000">
      <w:pPr>
        <w:pStyle w:val="Listaconvietas"/>
        <w:spacing w:before="20" w:after="40"/>
      </w:pPr>
      <w:r>
        <w:rPr>
          <w:rFonts w:ascii="Calibri" w:hAnsi="Calibri"/>
          <w:b/>
          <w:color w:val="1E293B"/>
          <w:sz w:val="20"/>
        </w:rPr>
        <w:t>Fuentes principales</w:t>
      </w:r>
      <w:r>
        <w:rPr>
          <w:rFonts w:ascii="Calibri" w:hAnsi="Calibri"/>
          <w:color w:val="1E293B"/>
          <w:sz w:val="20"/>
        </w:rPr>
        <w:t>: Semillas de calabaza, sésamo, lentejas, garbanzos, tofu, avena arrollada y nueces.</w:t>
      </w:r>
    </w:p>
    <w:p w14:paraId="6FE4F4C2" w14:textId="77777777" w:rsidR="00C82034" w:rsidRDefault="00000000">
      <w:pPr>
        <w:pStyle w:val="Listaconvietas"/>
        <w:spacing w:before="20" w:after="40"/>
      </w:pPr>
      <w:r>
        <w:rPr>
          <w:rFonts w:ascii="Calibri" w:hAnsi="Calibri"/>
          <w:b/>
          <w:color w:val="1E293B"/>
          <w:sz w:val="20"/>
        </w:rPr>
        <w:t>Técnica de optimización</w:t>
      </w:r>
      <w:r>
        <w:rPr>
          <w:rFonts w:ascii="Calibri" w:hAnsi="Calibri"/>
          <w:color w:val="1E293B"/>
          <w:sz w:val="20"/>
        </w:rPr>
        <w:t>: El zinc es susceptible a la quelación por fitatos. Se recomienda:</w:t>
      </w:r>
    </w:p>
    <w:p w14:paraId="3D8E9F9A" w14:textId="77777777" w:rsidR="00C82034" w:rsidRDefault="00000000">
      <w:pPr>
        <w:spacing w:before="40" w:after="40"/>
        <w:ind w:left="360"/>
      </w:pPr>
      <w:r>
        <w:rPr>
          <w:rFonts w:ascii="Calibri" w:hAnsi="Calibri"/>
          <w:b/>
          <w:color w:val="164E63"/>
          <w:sz w:val="20"/>
        </w:rPr>
        <w:t xml:space="preserve">1. </w:t>
      </w:r>
      <w:r>
        <w:rPr>
          <w:rFonts w:ascii="Calibri" w:hAnsi="Calibri"/>
          <w:color w:val="1E293B"/>
          <w:sz w:val="20"/>
        </w:rPr>
        <w:t>Tostado suave de semillas antes del consumo.</w:t>
      </w:r>
    </w:p>
    <w:p w14:paraId="238DAACB" w14:textId="77777777" w:rsidR="00C82034" w:rsidRDefault="00000000">
      <w:pPr>
        <w:spacing w:before="40" w:after="40"/>
        <w:ind w:left="360"/>
      </w:pPr>
      <w:r>
        <w:rPr>
          <w:rFonts w:ascii="Calibri" w:hAnsi="Calibri"/>
          <w:b/>
          <w:color w:val="164E63"/>
          <w:sz w:val="20"/>
        </w:rPr>
        <w:t xml:space="preserve">2. </w:t>
      </w:r>
      <w:r>
        <w:rPr>
          <w:rFonts w:ascii="Calibri" w:hAnsi="Calibri"/>
          <w:color w:val="1E293B"/>
          <w:sz w:val="20"/>
        </w:rPr>
        <w:t>Germinación y brotado de legumbres.</w:t>
      </w:r>
    </w:p>
    <w:p w14:paraId="0CDDEB0A" w14:textId="77777777" w:rsidR="00C82034" w:rsidRDefault="00000000">
      <w:pPr>
        <w:spacing w:before="40" w:after="40"/>
        <w:ind w:left="360"/>
      </w:pPr>
      <w:r>
        <w:rPr>
          <w:rFonts w:ascii="Calibri" w:hAnsi="Calibri"/>
          <w:b/>
          <w:color w:val="164E63"/>
          <w:sz w:val="20"/>
        </w:rPr>
        <w:t xml:space="preserve">3. </w:t>
      </w:r>
      <w:r>
        <w:rPr>
          <w:rFonts w:ascii="Calibri" w:hAnsi="Calibri"/>
          <w:color w:val="1E293B"/>
          <w:sz w:val="20"/>
        </w:rPr>
        <w:t>Consumo de panes leudados con fermentación lenta o masa madre.</w:t>
      </w:r>
    </w:p>
    <w:p w14:paraId="388EA870" w14:textId="77777777" w:rsidR="00C82034" w:rsidRDefault="00000000">
      <w:pPr>
        <w:keepNext/>
        <w:spacing w:before="220" w:after="60"/>
      </w:pPr>
      <w:r>
        <w:rPr>
          <w:rFonts w:ascii="Calibri" w:hAnsi="Calibri"/>
          <w:b/>
          <w:color w:val="059669"/>
        </w:rPr>
        <w:t>4.3. Calcio Vegetal y el Mito de los Oxalatos</w:t>
      </w:r>
    </w:p>
    <w:p w14:paraId="6C7F3446" w14:textId="21217401" w:rsidR="00C82034" w:rsidRDefault="00000000" w:rsidP="00137D0D">
      <w:pPr>
        <w:spacing w:before="40" w:after="80"/>
      </w:pPr>
      <w:proofErr w:type="spellStart"/>
      <w:r>
        <w:rPr>
          <w:rFonts w:ascii="Calibri" w:hAnsi="Calibri"/>
          <w:b/>
          <w:color w:val="1E293B"/>
          <w:sz w:val="20"/>
        </w:rPr>
        <w:t>Verduras</w:t>
      </w:r>
      <w:proofErr w:type="spellEnd"/>
      <w:r>
        <w:rPr>
          <w:rFonts w:ascii="Calibri" w:hAnsi="Calibri"/>
          <w:b/>
          <w:color w:val="1E293B"/>
          <w:sz w:val="20"/>
        </w:rPr>
        <w:t xml:space="preserve"> con </w:t>
      </w:r>
      <w:proofErr w:type="spellStart"/>
      <w:r>
        <w:rPr>
          <w:rFonts w:ascii="Calibri" w:hAnsi="Calibri"/>
          <w:b/>
          <w:color w:val="1E293B"/>
          <w:sz w:val="20"/>
        </w:rPr>
        <w:t>alta</w:t>
      </w:r>
      <w:proofErr w:type="spellEnd"/>
      <w:r>
        <w:rPr>
          <w:rFonts w:ascii="Calibri" w:hAnsi="Calibri"/>
          <w:b/>
          <w:color w:val="1E293B"/>
          <w:sz w:val="20"/>
        </w:rPr>
        <w:t xml:space="preserve"> </w:t>
      </w:r>
      <w:proofErr w:type="spellStart"/>
      <w:r>
        <w:rPr>
          <w:rFonts w:ascii="Calibri" w:hAnsi="Calibri"/>
          <w:b/>
          <w:color w:val="1E293B"/>
          <w:sz w:val="20"/>
        </w:rPr>
        <w:t>absorción</w:t>
      </w:r>
      <w:proofErr w:type="spellEnd"/>
      <w:r>
        <w:rPr>
          <w:rFonts w:ascii="Calibri" w:hAnsi="Calibri"/>
          <w:b/>
          <w:color w:val="1E293B"/>
          <w:sz w:val="20"/>
        </w:rPr>
        <w:t xml:space="preserve"> ($&gt; 50\%$)</w:t>
      </w:r>
      <w:r>
        <w:rPr>
          <w:rFonts w:ascii="Calibri" w:hAnsi="Calibri"/>
          <w:color w:val="1E293B"/>
          <w:sz w:val="20"/>
        </w:rPr>
        <w:t>: Brócoli, coliflor, repollo blanco, repollo morado, pak choi y kale. Tienen bajo contenido de oxalatos; su biodisponibilidad es superior a la de la leche de vaca (\approx 32\%).</w:t>
      </w:r>
    </w:p>
    <w:p w14:paraId="67055292" w14:textId="77777777" w:rsidR="00C82034" w:rsidRDefault="00000000">
      <w:pPr>
        <w:pStyle w:val="Listaconvietas"/>
        <w:spacing w:before="20" w:after="40"/>
      </w:pPr>
      <w:r>
        <w:rPr>
          <w:rFonts w:ascii="Calibri" w:hAnsi="Calibri"/>
          <w:b/>
          <w:color w:val="1E293B"/>
          <w:sz w:val="20"/>
        </w:rPr>
        <w:t>Fuentes de absorción intermedia ($\approx 20 - 30\%$)</w:t>
      </w:r>
      <w:r>
        <w:rPr>
          <w:rFonts w:ascii="Calibri" w:hAnsi="Calibri"/>
          <w:color w:val="1E293B"/>
          <w:sz w:val="20"/>
        </w:rPr>
        <w:t>: Tofu coagulado con sales de calcio (sulfato de calcio), semillas de sésamo integral molidas (tahini), almendras y bebidas vegetales fortificadas comercialmente (120 mg Ca /  100 ml).</w:t>
      </w:r>
    </w:p>
    <w:p w14:paraId="523D8FAB" w14:textId="77777777" w:rsidR="00C82034" w:rsidRDefault="00000000">
      <w:pPr>
        <w:pStyle w:val="Listaconvietas"/>
        <w:spacing w:before="20" w:after="40"/>
      </w:pPr>
      <w:r>
        <w:rPr>
          <w:rFonts w:ascii="Calibri" w:hAnsi="Calibri"/>
          <w:b/>
          <w:color w:val="1E293B"/>
          <w:sz w:val="20"/>
        </w:rPr>
        <w:t>Falsas fuentes de calcio (Baja absorción $&lt; 5\%$)</w:t>
      </w:r>
      <w:r>
        <w:rPr>
          <w:rFonts w:ascii="Calibri" w:hAnsi="Calibri"/>
          <w:color w:val="1E293B"/>
          <w:sz w:val="20"/>
        </w:rPr>
        <w:t>: Espinaca, acelga y remolacha. Aunque en las tablas de laboratorio figuran con alto calcio, sus elevados oxalatos forman cristales de oxalato de calcio insolubles que se excretan en heces sin absorberse.</w:t>
      </w:r>
    </w:p>
    <w:p w14:paraId="1EBD6ACA" w14:textId="77777777" w:rsidR="00C82034" w:rsidRDefault="00000000">
      <w:pPr>
        <w:keepNext/>
        <w:spacing w:before="220" w:after="60"/>
      </w:pPr>
      <w:r>
        <w:rPr>
          <w:rFonts w:ascii="Calibri" w:hAnsi="Calibri"/>
          <w:b/>
          <w:color w:val="059669"/>
        </w:rPr>
        <w:lastRenderedPageBreak/>
        <w:t>4.4. Ácidos Grasos Esenciales Omega-3 (ALA, EPA y DHA)</w:t>
      </w:r>
    </w:p>
    <w:p w14:paraId="63B68ECA" w14:textId="77777777" w:rsidR="00C82034" w:rsidRDefault="00000000">
      <w:pPr>
        <w:pStyle w:val="Listaconvietas"/>
        <w:spacing w:before="20" w:after="40"/>
      </w:pPr>
      <w:r>
        <w:rPr>
          <w:rFonts w:ascii="Calibri" w:hAnsi="Calibri"/>
          <w:b/>
          <w:color w:val="1E293B"/>
          <w:sz w:val="20"/>
        </w:rPr>
        <w:t>Ácido Alfa-Linolénico (ALA)</w:t>
      </w:r>
      <w:r>
        <w:rPr>
          <w:rFonts w:ascii="Calibri" w:hAnsi="Calibri"/>
          <w:color w:val="1E293B"/>
          <w:sz w:val="20"/>
        </w:rPr>
        <w:t>: Ácido graso esencial precursor. Fuentes: semillas de chía y lino (</w:t>
      </w:r>
      <w:r>
        <w:rPr>
          <w:rFonts w:ascii="Calibri" w:hAnsi="Calibri"/>
          <w:b/>
          <w:color w:val="1E293B"/>
          <w:sz w:val="20"/>
        </w:rPr>
        <w:t>siempre trituradas o molidas en el momento</w:t>
      </w:r>
      <w:r>
        <w:rPr>
          <w:rFonts w:ascii="Calibri" w:hAnsi="Calibri"/>
          <w:color w:val="1E293B"/>
          <w:sz w:val="20"/>
        </w:rPr>
        <w:t>, ya que la cáscara entera de mucílago impide la acción de las lipasas pancreáticas), nueces y aceite de lino/chía crudo (nunca usar para freír).</w:t>
      </w:r>
    </w:p>
    <w:p w14:paraId="6D90B931" w14:textId="77777777" w:rsidR="00C82034" w:rsidRDefault="00000000">
      <w:pPr>
        <w:pStyle w:val="Listaconvietas"/>
        <w:spacing w:before="20" w:after="40"/>
      </w:pPr>
      <w:r>
        <w:rPr>
          <w:rFonts w:ascii="Calibri" w:hAnsi="Calibri"/>
          <w:b/>
          <w:color w:val="1E293B"/>
          <w:sz w:val="20"/>
        </w:rPr>
        <w:t>Conversión a EPA/DHA</w:t>
      </w:r>
      <w:r>
        <w:rPr>
          <w:rFonts w:ascii="Calibri" w:hAnsi="Calibri"/>
          <w:color w:val="1E293B"/>
          <w:sz w:val="20"/>
        </w:rPr>
        <w:t xml:space="preserve">: En lactantes menores de 2 años con requerimiento elevado para neurodesarrollo y mielinización cerebral, puede considerarse el uso de </w:t>
      </w:r>
      <w:r>
        <w:rPr>
          <w:rFonts w:ascii="Calibri" w:hAnsi="Calibri"/>
          <w:b/>
          <w:color w:val="1E293B"/>
          <w:sz w:val="20"/>
        </w:rPr>
        <w:t>suplementos de DHA de origen algal (microalgas *Schizochytrium*)</w:t>
      </w:r>
      <w:r>
        <w:rPr>
          <w:rFonts w:ascii="Calibri" w:hAnsi="Calibri"/>
          <w:color w:val="1E293B"/>
          <w:sz w:val="20"/>
        </w:rPr>
        <w:t>.</w:t>
      </w:r>
    </w:p>
    <w:p w14:paraId="641D7686" w14:textId="77777777" w:rsidR="00C82034" w:rsidRDefault="00000000">
      <w:pPr>
        <w:keepNext/>
        <w:spacing w:before="320" w:after="80"/>
      </w:pPr>
      <w:r>
        <w:rPr>
          <w:rFonts w:ascii="Calibri" w:hAnsi="Calibri"/>
          <w:b/>
          <w:color w:val="164E63"/>
          <w:sz w:val="27"/>
        </w:rPr>
        <w:t>5. PROTOCOLO CLÍNICO DE SUPLEMENTACIÓN DE VITAMINA B12</w:t>
      </w:r>
    </w:p>
    <w:p w14:paraId="5958D7E8" w14:textId="77777777" w:rsidR="00C82034" w:rsidRDefault="00000000">
      <w:pPr>
        <w:spacing w:before="40" w:after="80"/>
      </w:pPr>
      <w:r>
        <w:rPr>
          <w:rFonts w:ascii="Calibri" w:hAnsi="Calibri"/>
          <w:color w:val="1E293B"/>
          <w:sz w:val="20"/>
        </w:rPr>
        <w:t xml:space="preserve">La Vitamina B12 (Cobalamina) es el </w:t>
      </w:r>
      <w:r>
        <w:rPr>
          <w:rFonts w:ascii="Calibri" w:hAnsi="Calibri"/>
          <w:b/>
          <w:color w:val="1E293B"/>
          <w:sz w:val="20"/>
        </w:rPr>
        <w:t>único nutriente cuyo aporte farmacológico es obligatorio, universal e innegociable</w:t>
      </w:r>
      <w:r>
        <w:rPr>
          <w:rFonts w:ascii="Calibri" w:hAnsi="Calibri"/>
          <w:color w:val="1E293B"/>
          <w:sz w:val="20"/>
        </w:rPr>
        <w:t xml:space="preserve"> en toda persona que lleve una dieta vegetariana o vegana, independientemente de su edad o condición socioeconómica.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82034" w14:paraId="14A64553" w14:textId="77777777">
        <w:trPr>
          <w:jc w:val="center"/>
        </w:trPr>
        <w:tc>
          <w:tcPr>
            <w:tcW w:w="9360" w:type="dxa"/>
            <w:tcBorders>
              <w:top w:val="none" w:sz="4" w:space="0" w:color="auto"/>
              <w:left w:val="single" w:sz="24" w:space="0" w:color="059669"/>
              <w:bottom w:val="none" w:sz="4" w:space="0" w:color="auto"/>
              <w:right w:val="none" w:sz="4" w:space="0" w:color="auto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180" w:type="dxa"/>
            </w:tcMar>
          </w:tcPr>
          <w:p w14:paraId="405FC855" w14:textId="77777777" w:rsidR="00C82034" w:rsidRDefault="00000000">
            <w:pPr>
              <w:spacing w:before="40" w:after="80"/>
            </w:pPr>
            <w:r>
              <w:rPr>
                <w:rFonts w:ascii="Calibri" w:hAnsi="Calibri"/>
                <w:b/>
                <w:color w:val="059669"/>
                <w:sz w:val="21"/>
              </w:rPr>
              <w:t>📌 ESQUEMA SINTÉTICO / PROTOCOLO CLÍNICO</w:t>
            </w:r>
            <w:r>
              <w:rPr>
                <w:rFonts w:ascii="Calibri" w:hAnsi="Calibri"/>
                <w:b/>
                <w:color w:val="059669"/>
                <w:sz w:val="21"/>
              </w:rPr>
              <w:br/>
            </w:r>
          </w:p>
          <w:p w14:paraId="359531AE" w14:textId="77777777" w:rsidR="00C82034" w:rsidRDefault="00000000"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PRINCIPIOS BIOLÓGICOS DE LA VITAMINA B12 EN CLÍNICA</w:t>
            </w:r>
          </w:p>
          <w:p w14:paraId="379FC105" w14:textId="77777777" w:rsidR="00C82034" w:rsidRDefault="00000000"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1. Origen: Síntesis exclusivamente bacteriana (no animal ni vegetal).</w:t>
            </w:r>
          </w:p>
          <w:p w14:paraId="06BCAA5F" w14:textId="77777777" w:rsidR="00C82034" w:rsidRDefault="00000000"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2. Falsos Análogos Peligrosos: Algas (espirulina, nori, chlorella) y</w:t>
            </w:r>
          </w:p>
          <w:p w14:paraId="0EE0B1EA" w14:textId="77777777" w:rsidR="00C82034" w:rsidRDefault="00000000"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fermentados (tempeh, kombucha) CONTIENEN ANÁLOGOS INACTIVOS (pseudob12)</w:t>
            </w:r>
          </w:p>
          <w:p w14:paraId="5D1628B6" w14:textId="77777777" w:rsidR="00C82034" w:rsidRDefault="00000000"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que no tienen actividad biológica, bloquean receptores ileales y</w:t>
            </w:r>
          </w:p>
          <w:p w14:paraId="3624ABA1" w14:textId="77777777" w:rsidR="00C82034" w:rsidRDefault="00000000"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falsean falsamente elevados los análisis de laboratorio en sangre.</w:t>
            </w:r>
          </w:p>
          <w:p w14:paraId="37D90D57" w14:textId="77777777" w:rsidR="00C82034" w:rsidRDefault="00000000"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3. Forma de Elección: CIANOCOBALAMINA (molécula más estable, económica,</w:t>
            </w:r>
          </w:p>
          <w:p w14:paraId="1CE191E2" w14:textId="77777777" w:rsidR="00C82034" w:rsidRDefault="00000000"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ampliamente estudiada y con posología semanal probada).</w:t>
            </w:r>
          </w:p>
        </w:tc>
      </w:tr>
    </w:tbl>
    <w:p w14:paraId="49BE39CC" w14:textId="77777777" w:rsidR="00C82034" w:rsidRDefault="00C82034">
      <w:pPr>
        <w:spacing w:before="80" w:after="80"/>
      </w:pPr>
    </w:p>
    <w:p w14:paraId="21BC2D3D" w14:textId="77777777" w:rsidR="00C82034" w:rsidRDefault="00000000">
      <w:pPr>
        <w:keepNext/>
        <w:spacing w:before="220" w:after="60"/>
      </w:pPr>
      <w:r>
        <w:rPr>
          <w:rFonts w:ascii="Calibri" w:hAnsi="Calibri"/>
          <w:b/>
          <w:color w:val="059669"/>
        </w:rPr>
        <w:t>5.1. Esquema Pediátrico de Dosificación Preventiva</w:t>
      </w:r>
    </w:p>
    <w:p w14:paraId="4B2046BD" w14:textId="77777777" w:rsidR="00C82034" w:rsidRDefault="00000000">
      <w:pPr>
        <w:spacing w:before="40" w:after="80"/>
      </w:pPr>
      <w:r>
        <w:rPr>
          <w:rFonts w:ascii="Calibri" w:hAnsi="Calibri"/>
          <w:color w:val="1E293B"/>
          <w:sz w:val="20"/>
        </w:rPr>
        <w:t>La absorción de B12 combina el Factor Intrínseco saturable (\sim 1.5\ \mug por toma) y la difusión pasiva (\sim 1\%). Por ello, las dosis semanales son matemáticamente más altas que los requerimientos diarios para compensar el mecanismo de difusión pasiva: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C82034" w14:paraId="3A65C6A0" w14:textId="77777777">
        <w:trPr>
          <w:jc w:val="center"/>
        </w:trPr>
        <w:tc>
          <w:tcPr>
            <w:tcW w:w="3264" w:type="dxa"/>
            <w:tcBorders>
              <w:top w:val="single" w:sz="6" w:space="0" w:color="164E63"/>
              <w:left w:val="single" w:sz="2" w:space="0" w:color="E2E8F0"/>
              <w:bottom w:val="single" w:sz="12" w:space="0" w:color="059669"/>
              <w:right w:val="single" w:sz="2" w:space="0" w:color="E2E8F0"/>
            </w:tcBorders>
            <w:shd w:val="clear" w:color="auto" w:fill="164E6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46A8BD" w14:textId="77777777" w:rsidR="00C82034" w:rsidRDefault="00000000">
            <w:r>
              <w:rPr>
                <w:rFonts w:ascii="Calibri" w:hAnsi="Calibri"/>
                <w:b/>
                <w:color w:val="FFFFFF"/>
                <w:sz w:val="19"/>
              </w:rPr>
              <w:t>Grupo Biológico / Edad</w:t>
            </w:r>
          </w:p>
        </w:tc>
        <w:tc>
          <w:tcPr>
            <w:tcW w:w="3264" w:type="dxa"/>
            <w:tcBorders>
              <w:top w:val="single" w:sz="6" w:space="0" w:color="164E63"/>
              <w:left w:val="single" w:sz="2" w:space="0" w:color="E2E8F0"/>
              <w:bottom w:val="single" w:sz="12" w:space="0" w:color="059669"/>
              <w:right w:val="single" w:sz="2" w:space="0" w:color="E2E8F0"/>
            </w:tcBorders>
            <w:shd w:val="clear" w:color="auto" w:fill="164E6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C4199A" w14:textId="77777777" w:rsidR="00C82034" w:rsidRDefault="00000000">
            <w:r>
              <w:rPr>
                <w:rFonts w:ascii="Calibri" w:hAnsi="Calibri"/>
                <w:b/>
                <w:color w:val="FFFFFF"/>
                <w:sz w:val="19"/>
              </w:rPr>
              <w:t>Dosis Semanal Recomendada (Cianocobalamina)</w:t>
            </w:r>
          </w:p>
        </w:tc>
        <w:tc>
          <w:tcPr>
            <w:tcW w:w="3264" w:type="dxa"/>
            <w:tcBorders>
              <w:top w:val="single" w:sz="6" w:space="0" w:color="164E63"/>
              <w:left w:val="single" w:sz="2" w:space="0" w:color="E2E8F0"/>
              <w:bottom w:val="single" w:sz="12" w:space="0" w:color="059669"/>
              <w:right w:val="single" w:sz="2" w:space="0" w:color="E2E8F0"/>
            </w:tcBorders>
            <w:shd w:val="clear" w:color="auto" w:fill="164E6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16F299" w14:textId="77777777" w:rsidR="00C82034" w:rsidRDefault="00000000">
            <w:r>
              <w:rPr>
                <w:rFonts w:ascii="Calibri" w:hAnsi="Calibri"/>
                <w:b/>
                <w:color w:val="FFFFFF"/>
                <w:sz w:val="19"/>
              </w:rPr>
              <w:t>Dosis Diaria Alternativa</w:t>
            </w:r>
          </w:p>
        </w:tc>
      </w:tr>
      <w:tr w:rsidR="00C82034" w14:paraId="15A91172" w14:textId="77777777">
        <w:trPr>
          <w:jc w:val="center"/>
        </w:trPr>
        <w:tc>
          <w:tcPr>
            <w:tcW w:w="326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81C974" w14:textId="77777777" w:rsidR="00C82034" w:rsidRDefault="00000000"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Lactantes 6 a 12 meses</w:t>
            </w:r>
          </w:p>
        </w:tc>
        <w:tc>
          <w:tcPr>
            <w:tcW w:w="326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1A6579" w14:textId="77777777" w:rsidR="00C82034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250\ \mug  / semana (o pauta médica)</w:t>
            </w:r>
          </w:p>
        </w:tc>
        <w:tc>
          <w:tcPr>
            <w:tcW w:w="326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B39006" w14:textId="77777777" w:rsidR="00C82034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2 a 5\ \mug / día</w:t>
            </w:r>
          </w:p>
        </w:tc>
      </w:tr>
      <w:tr w:rsidR="00C82034" w14:paraId="4DDC61CA" w14:textId="77777777">
        <w:trPr>
          <w:jc w:val="center"/>
        </w:trPr>
        <w:tc>
          <w:tcPr>
            <w:tcW w:w="326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EFF09" w14:textId="77777777" w:rsidR="00C82034" w:rsidRDefault="00000000"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Niños de 1 a 3 años</w:t>
            </w:r>
          </w:p>
        </w:tc>
        <w:tc>
          <w:tcPr>
            <w:tcW w:w="326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AADB8" w14:textId="77777777" w:rsidR="00C82034" w:rsidRDefault="00000000"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250\ \mug  / semana</w:t>
            </w:r>
          </w:p>
        </w:tc>
        <w:tc>
          <w:tcPr>
            <w:tcW w:w="326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C7678E" w14:textId="77777777" w:rsidR="00C82034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5\ \mug / día</w:t>
            </w:r>
          </w:p>
        </w:tc>
      </w:tr>
      <w:tr w:rsidR="00C82034" w14:paraId="2E841DBB" w14:textId="77777777">
        <w:trPr>
          <w:jc w:val="center"/>
        </w:trPr>
        <w:tc>
          <w:tcPr>
            <w:tcW w:w="326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A06CDC" w14:textId="77777777" w:rsidR="00C82034" w:rsidRDefault="00000000"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Niños de 4 a 8 años</w:t>
            </w:r>
          </w:p>
        </w:tc>
        <w:tc>
          <w:tcPr>
            <w:tcW w:w="326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7CEBAC" w14:textId="77777777" w:rsidR="00C82034" w:rsidRDefault="00000000"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500\ \mug  / semana</w:t>
            </w:r>
          </w:p>
        </w:tc>
        <w:tc>
          <w:tcPr>
            <w:tcW w:w="326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69DE5B" w14:textId="77777777" w:rsidR="00C82034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10\ \mug / día</w:t>
            </w:r>
          </w:p>
        </w:tc>
      </w:tr>
      <w:tr w:rsidR="00C82034" w14:paraId="5AA54A02" w14:textId="77777777">
        <w:trPr>
          <w:jc w:val="center"/>
        </w:trPr>
        <w:tc>
          <w:tcPr>
            <w:tcW w:w="326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54C27" w14:textId="77777777" w:rsidR="00C82034" w:rsidRDefault="00000000"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Niños de 9 a 13 años</w:t>
            </w:r>
          </w:p>
        </w:tc>
        <w:tc>
          <w:tcPr>
            <w:tcW w:w="326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73701" w14:textId="77777777" w:rsidR="00C82034" w:rsidRDefault="00000000"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1000\ \mug  / semana</w:t>
            </w:r>
          </w:p>
        </w:tc>
        <w:tc>
          <w:tcPr>
            <w:tcW w:w="326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05FC1B" w14:textId="77777777" w:rsidR="00C82034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25\ \mug / día</w:t>
            </w:r>
          </w:p>
        </w:tc>
      </w:tr>
      <w:tr w:rsidR="00C82034" w14:paraId="1782D706" w14:textId="77777777">
        <w:trPr>
          <w:jc w:val="center"/>
        </w:trPr>
        <w:tc>
          <w:tcPr>
            <w:tcW w:w="326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152365" w14:textId="77777777" w:rsidR="00C82034" w:rsidRDefault="00000000"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Adolescentes \ge 14 años y Adultos</w:t>
            </w:r>
          </w:p>
        </w:tc>
        <w:tc>
          <w:tcPr>
            <w:tcW w:w="326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FB860C" w14:textId="77777777" w:rsidR="00C82034" w:rsidRDefault="00000000"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2000\ \mug  / semana (o 1000\ \mug 2 veces/sem)</w:t>
            </w:r>
          </w:p>
        </w:tc>
        <w:tc>
          <w:tcPr>
            <w:tcW w:w="326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26893" w14:textId="77777777" w:rsidR="00C82034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50 a 100\ \mug / día</w:t>
            </w:r>
          </w:p>
        </w:tc>
      </w:tr>
      <w:tr w:rsidR="00C82034" w14:paraId="53531340" w14:textId="77777777">
        <w:trPr>
          <w:jc w:val="center"/>
        </w:trPr>
        <w:tc>
          <w:tcPr>
            <w:tcW w:w="326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7FD255" w14:textId="77777777" w:rsidR="00C82034" w:rsidRDefault="00000000"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Embarazo y Lactancia</w:t>
            </w:r>
          </w:p>
        </w:tc>
        <w:tc>
          <w:tcPr>
            <w:tcW w:w="326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B4AF7D" w14:textId="77777777" w:rsidR="00C82034" w:rsidRDefault="00000000"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2000\ \mug  / semana (o 50 - 100\ \mug / día)</w:t>
            </w:r>
          </w:p>
        </w:tc>
        <w:tc>
          <w:tcPr>
            <w:tcW w:w="326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BD397D" w14:textId="77777777" w:rsidR="00C82034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Monitorizar niveles</w:t>
            </w:r>
          </w:p>
        </w:tc>
      </w:tr>
    </w:tbl>
    <w:p w14:paraId="351669DA" w14:textId="77777777" w:rsidR="00C82034" w:rsidRDefault="00C82034">
      <w:pPr>
        <w:spacing w:before="80" w:after="80"/>
      </w:pPr>
    </w:p>
    <w:p w14:paraId="37E79462" w14:textId="77777777" w:rsidR="00C82034" w:rsidRDefault="00000000">
      <w:pPr>
        <w:pStyle w:val="Listaconvietas"/>
        <w:spacing w:before="20" w:after="40"/>
      </w:pPr>
      <w:r>
        <w:rPr>
          <w:rFonts w:ascii="Calibri" w:hAnsi="Calibri"/>
          <w:b/>
          <w:color w:val="1E293B"/>
          <w:sz w:val="20"/>
        </w:rPr>
        <w:lastRenderedPageBreak/>
        <w:t>Forma farmacéutica</w:t>
      </w:r>
      <w:r>
        <w:rPr>
          <w:rFonts w:ascii="Calibri" w:hAnsi="Calibri"/>
          <w:color w:val="1E293B"/>
          <w:sz w:val="20"/>
        </w:rPr>
        <w:t>: Comprimidos masticables (se disuelven o trituran en alimentos) o gotas sublinguales pediátricas.</w:t>
      </w:r>
    </w:p>
    <w:p w14:paraId="4A343251" w14:textId="77777777" w:rsidR="00C82034" w:rsidRDefault="00000000">
      <w:pPr>
        <w:pStyle w:val="Listaconvietas"/>
        <w:spacing w:before="20" w:after="40"/>
      </w:pPr>
      <w:r>
        <w:rPr>
          <w:rFonts w:ascii="Calibri" w:hAnsi="Calibri"/>
          <w:b/>
          <w:color w:val="1E293B"/>
          <w:sz w:val="20"/>
        </w:rPr>
        <w:t>Seguridad clínica</w:t>
      </w:r>
      <w:r>
        <w:rPr>
          <w:rFonts w:ascii="Calibri" w:hAnsi="Calibri"/>
          <w:color w:val="1E293B"/>
          <w:sz w:val="20"/>
        </w:rPr>
        <w:t>: La cianocobalamina es hidrosoluble y no presenta toxicidad ni dosis máxima lesiva documentada; el exceso no absorbido se excreta por vía urinaria.</w:t>
      </w:r>
    </w:p>
    <w:p w14:paraId="4F7B288A" w14:textId="77777777" w:rsidR="00C82034" w:rsidRDefault="00000000">
      <w:pPr>
        <w:keepNext/>
        <w:spacing w:before="320" w:after="80"/>
      </w:pPr>
      <w:r>
        <w:rPr>
          <w:rFonts w:ascii="Calibri" w:hAnsi="Calibri"/>
          <w:b/>
          <w:color w:val="164E63"/>
          <w:sz w:val="27"/>
        </w:rPr>
        <w:t>6. CONSENSO INSTITUCIONAL Y POSTURAS OFICIALES</w:t>
      </w:r>
    </w:p>
    <w:p w14:paraId="42CF0B2D" w14:textId="77777777" w:rsidR="00C82034" w:rsidRDefault="00000000">
      <w:pPr>
        <w:spacing w:before="40" w:after="80"/>
      </w:pPr>
      <w:r>
        <w:rPr>
          <w:rFonts w:ascii="Calibri" w:hAnsi="Calibri"/>
          <w:color w:val="1E293B"/>
          <w:sz w:val="20"/>
        </w:rPr>
        <w:t>Las principales autoridades mundiales y nacionales en nutrición y pediatría coinciden de forma unánime:</w:t>
      </w:r>
    </w:p>
    <w:p w14:paraId="1BEC9D69" w14:textId="77777777" w:rsidR="00C82034" w:rsidRDefault="00000000">
      <w:pPr>
        <w:spacing w:before="40" w:after="40"/>
        <w:ind w:left="360"/>
      </w:pPr>
      <w:r>
        <w:rPr>
          <w:rFonts w:ascii="Calibri" w:hAnsi="Calibri"/>
          <w:b/>
          <w:color w:val="164E63"/>
          <w:sz w:val="20"/>
        </w:rPr>
        <w:t xml:space="preserve">1. </w:t>
      </w:r>
      <w:r>
        <w:rPr>
          <w:rFonts w:ascii="Calibri" w:hAnsi="Calibri"/>
          <w:b/>
          <w:color w:val="1E293B"/>
          <w:sz w:val="20"/>
        </w:rPr>
        <w:t>Academy of Nutrition and Dietetics (AND - EE.UU.)</w:t>
      </w:r>
      <w:r>
        <w:rPr>
          <w:rFonts w:ascii="Calibri" w:hAnsi="Calibri"/>
          <w:color w:val="1E293B"/>
          <w:sz w:val="20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82034" w14:paraId="2637B05F" w14:textId="77777777">
        <w:trPr>
          <w:jc w:val="center"/>
        </w:trPr>
        <w:tc>
          <w:tcPr>
            <w:tcW w:w="9360" w:type="dxa"/>
            <w:tcBorders>
              <w:top w:val="none" w:sz="4" w:space="0" w:color="auto"/>
              <w:left w:val="single" w:sz="24" w:space="0" w:color="059669"/>
              <w:bottom w:val="none" w:sz="4" w:space="0" w:color="auto"/>
              <w:right w:val="none" w:sz="4" w:space="0" w:color="auto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180" w:type="dxa"/>
            </w:tcMar>
          </w:tcPr>
          <w:p w14:paraId="5F5F7360" w14:textId="77777777" w:rsidR="00C82034" w:rsidRDefault="00000000">
            <w:pPr>
              <w:spacing w:before="40" w:after="80"/>
            </w:pPr>
            <w:r>
              <w:rPr>
                <w:rFonts w:ascii="Calibri" w:hAnsi="Calibri"/>
                <w:b/>
                <w:color w:val="059669"/>
                <w:sz w:val="21"/>
              </w:rPr>
              <w:t>📌 DECLARACIÓN INSTITUCIONAL OFICIAL</w:t>
            </w:r>
            <w:r>
              <w:rPr>
                <w:rFonts w:ascii="Calibri" w:hAnsi="Calibri"/>
                <w:b/>
                <w:color w:val="059669"/>
                <w:sz w:val="21"/>
              </w:rPr>
              <w:br/>
            </w:r>
          </w:p>
          <w:p w14:paraId="6BDA067C" w14:textId="77777777" w:rsidR="00C82034" w:rsidRDefault="00000000"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"Las dietas vegetarianas, incluidas las veganas, planificadas de manera adecuada, son saludables, nutricionalmente adecuadas y pueden proporcionar beneficios para la salud en la prevención y tratamiento de ciertas enfermedades. Son apropiadas para todas las etapas del ciclo vital, incluidos el embarazo, la lactancia, la infancia, la niñez, la adolescencia y para los atletas."</w:t>
            </w:r>
          </w:p>
        </w:tc>
      </w:tr>
    </w:tbl>
    <w:p w14:paraId="4175E096" w14:textId="77777777" w:rsidR="00C82034" w:rsidRDefault="00C82034">
      <w:pPr>
        <w:spacing w:before="80" w:after="80"/>
      </w:pPr>
    </w:p>
    <w:p w14:paraId="6235BD8C" w14:textId="77777777" w:rsidR="00C82034" w:rsidRDefault="00000000">
      <w:pPr>
        <w:spacing w:before="40" w:after="40"/>
        <w:ind w:left="360"/>
      </w:pPr>
      <w:r>
        <w:rPr>
          <w:rFonts w:ascii="Calibri" w:hAnsi="Calibri"/>
          <w:b/>
          <w:color w:val="164E63"/>
          <w:sz w:val="20"/>
        </w:rPr>
        <w:t xml:space="preserve">2. </w:t>
      </w:r>
      <w:r>
        <w:rPr>
          <w:rFonts w:ascii="Calibri" w:hAnsi="Calibri"/>
          <w:b/>
          <w:color w:val="1E293B"/>
          <w:sz w:val="20"/>
        </w:rPr>
        <w:t>Sociedad Argentina de Pediatría (SAP - Comité de Nutrición)</w:t>
      </w:r>
      <w:r>
        <w:rPr>
          <w:rFonts w:ascii="Calibri" w:hAnsi="Calibri"/>
          <w:color w:val="1E293B"/>
          <w:sz w:val="20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82034" w14:paraId="69D5B233" w14:textId="77777777">
        <w:trPr>
          <w:jc w:val="center"/>
        </w:trPr>
        <w:tc>
          <w:tcPr>
            <w:tcW w:w="9360" w:type="dxa"/>
            <w:tcBorders>
              <w:top w:val="none" w:sz="4" w:space="0" w:color="auto"/>
              <w:left w:val="single" w:sz="24" w:space="0" w:color="059669"/>
              <w:bottom w:val="none" w:sz="4" w:space="0" w:color="auto"/>
              <w:right w:val="none" w:sz="4" w:space="0" w:color="auto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180" w:type="dxa"/>
            </w:tcMar>
          </w:tcPr>
          <w:p w14:paraId="42B582A5" w14:textId="77777777" w:rsidR="00C82034" w:rsidRDefault="00000000">
            <w:pPr>
              <w:spacing w:before="40" w:after="80"/>
            </w:pPr>
            <w:r>
              <w:rPr>
                <w:rFonts w:ascii="Calibri" w:hAnsi="Calibri"/>
                <w:b/>
                <w:color w:val="059669"/>
                <w:sz w:val="21"/>
              </w:rPr>
              <w:t>📌 DECLARACIÓN INSTITUCIONAL OFICIAL</w:t>
            </w:r>
            <w:r>
              <w:rPr>
                <w:rFonts w:ascii="Calibri" w:hAnsi="Calibri"/>
                <w:b/>
                <w:color w:val="059669"/>
                <w:sz w:val="21"/>
              </w:rPr>
              <w:br/>
            </w:r>
          </w:p>
          <w:p w14:paraId="4861C52A" w14:textId="77777777" w:rsidR="00C82034" w:rsidRDefault="00000000"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"La alimentación vegetariana o vegana en la infancia y adolescencia puede sostener un crecimiento y desarrollo normales siempre que se encuentre adecuadamente planificada y cuente con la suplementación oportuna y obligatoria de Vitamina B12 bajo supervisión profesional continua."</w:t>
            </w:r>
          </w:p>
        </w:tc>
      </w:tr>
    </w:tbl>
    <w:p w14:paraId="4622357B" w14:textId="77777777" w:rsidR="00C82034" w:rsidRDefault="00C82034">
      <w:pPr>
        <w:spacing w:before="80" w:after="80"/>
      </w:pPr>
    </w:p>
    <w:p w14:paraId="296A7931" w14:textId="77777777" w:rsidR="00C82034" w:rsidRDefault="00000000">
      <w:pPr>
        <w:spacing w:before="40" w:after="40"/>
        <w:ind w:left="360"/>
      </w:pPr>
      <w:r>
        <w:rPr>
          <w:rFonts w:ascii="Calibri" w:hAnsi="Calibri"/>
          <w:b/>
          <w:color w:val="164E63"/>
          <w:sz w:val="20"/>
        </w:rPr>
        <w:t xml:space="preserve">3. </w:t>
      </w:r>
      <w:r>
        <w:rPr>
          <w:rFonts w:ascii="Calibri" w:hAnsi="Calibri"/>
          <w:b/>
          <w:color w:val="1E293B"/>
          <w:sz w:val="20"/>
        </w:rPr>
        <w:t>American Academy of Pediatrics (AAP)</w:t>
      </w:r>
      <w:r>
        <w:rPr>
          <w:rFonts w:ascii="Calibri" w:hAnsi="Calibri"/>
          <w:color w:val="1E293B"/>
          <w:sz w:val="20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82034" w14:paraId="33284F17" w14:textId="77777777">
        <w:trPr>
          <w:jc w:val="center"/>
        </w:trPr>
        <w:tc>
          <w:tcPr>
            <w:tcW w:w="9360" w:type="dxa"/>
            <w:tcBorders>
              <w:top w:val="none" w:sz="4" w:space="0" w:color="auto"/>
              <w:left w:val="single" w:sz="24" w:space="0" w:color="059669"/>
              <w:bottom w:val="none" w:sz="4" w:space="0" w:color="auto"/>
              <w:right w:val="none" w:sz="4" w:space="0" w:color="auto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180" w:type="dxa"/>
            </w:tcMar>
          </w:tcPr>
          <w:p w14:paraId="74B8078B" w14:textId="77777777" w:rsidR="00C82034" w:rsidRDefault="00000000">
            <w:pPr>
              <w:spacing w:before="40" w:after="80"/>
            </w:pPr>
            <w:r>
              <w:rPr>
                <w:rFonts w:ascii="Calibri" w:hAnsi="Calibri"/>
                <w:b/>
                <w:color w:val="059669"/>
                <w:sz w:val="21"/>
              </w:rPr>
              <w:t>📌 DECLARACIÓN INSTITUCIONAL OFICIAL</w:t>
            </w:r>
            <w:r>
              <w:rPr>
                <w:rFonts w:ascii="Calibri" w:hAnsi="Calibri"/>
                <w:b/>
                <w:color w:val="059669"/>
                <w:sz w:val="21"/>
              </w:rPr>
              <w:br/>
            </w:r>
          </w:p>
          <w:p w14:paraId="530648EB" w14:textId="77777777" w:rsidR="00C82034" w:rsidRDefault="00000000"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"Los niños criados con dietas vegetarianas bien planificadas crecen y se desarrollan normalmente, con ventajas comprobadas en la adquisición de hábitos de alimentación saludables a largo plazo y menor riesgo de sobrepeso y dislipidemias futuras."</w:t>
            </w:r>
          </w:p>
        </w:tc>
      </w:tr>
    </w:tbl>
    <w:p w14:paraId="2C6EF887" w14:textId="77777777" w:rsidR="00C82034" w:rsidRDefault="00C82034">
      <w:pPr>
        <w:spacing w:before="80" w:after="80"/>
      </w:pPr>
    </w:p>
    <w:p w14:paraId="38411E59" w14:textId="77777777" w:rsidR="00C82034" w:rsidRDefault="00000000">
      <w:pPr>
        <w:keepNext/>
        <w:spacing w:before="320" w:after="80"/>
      </w:pPr>
      <w:r>
        <w:rPr>
          <w:rFonts w:ascii="Calibri" w:hAnsi="Calibri"/>
          <w:b/>
          <w:color w:val="164E63"/>
          <w:sz w:val="27"/>
        </w:rPr>
        <w:t>7. CHECKLIST PRÁCTICO PARA EL CONSULTORIO NUTRICIONAL</w:t>
      </w:r>
    </w:p>
    <w:p w14:paraId="353604DD" w14:textId="77777777" w:rsidR="00C82034" w:rsidRDefault="00000000">
      <w:pPr>
        <w:spacing w:before="40" w:after="80"/>
      </w:pPr>
      <w:r>
        <w:rPr>
          <w:rFonts w:ascii="Calibri" w:hAnsi="Calibri"/>
          <w:color w:val="1E293B"/>
          <w:sz w:val="20"/>
        </w:rPr>
        <w:t>Al recibir a un niño, niña o familia vegetariana en la consulta:</w:t>
      </w:r>
    </w:p>
    <w:p w14:paraId="74656587" w14:textId="77777777" w:rsidR="00C82034" w:rsidRDefault="00000000">
      <w:pPr>
        <w:pStyle w:val="Listaconvietas"/>
        <w:spacing w:before="20" w:after="40"/>
      </w:pPr>
      <w:r>
        <w:rPr>
          <w:rFonts w:ascii="Calibri" w:hAnsi="Calibri"/>
          <w:color w:val="1E293B"/>
          <w:sz w:val="20"/>
        </w:rPr>
        <w:t xml:space="preserve">[ ] </w:t>
      </w:r>
      <w:r>
        <w:rPr>
          <w:rFonts w:ascii="Calibri" w:hAnsi="Calibri"/>
          <w:b/>
          <w:color w:val="1E293B"/>
          <w:sz w:val="20"/>
        </w:rPr>
        <w:t>1. Identificar el patrón exacto</w:t>
      </w:r>
      <w:r>
        <w:rPr>
          <w:rFonts w:ascii="Calibri" w:hAnsi="Calibri"/>
          <w:color w:val="1E293B"/>
          <w:sz w:val="20"/>
        </w:rPr>
        <w:t>: Preguntar con naturalidad qué alimentos consumen y cuáles excluyen (evitar asumir etiquetas rígidas).</w:t>
      </w:r>
    </w:p>
    <w:p w14:paraId="70F4E4AD" w14:textId="77777777" w:rsidR="00C82034" w:rsidRDefault="00000000">
      <w:pPr>
        <w:pStyle w:val="Listaconvietas"/>
        <w:spacing w:before="20" w:after="40"/>
      </w:pPr>
      <w:r>
        <w:rPr>
          <w:rFonts w:ascii="Calibri" w:hAnsi="Calibri"/>
          <w:color w:val="1E293B"/>
          <w:sz w:val="20"/>
        </w:rPr>
        <w:t xml:space="preserve">[ ] </w:t>
      </w:r>
      <w:r>
        <w:rPr>
          <w:rFonts w:ascii="Calibri" w:hAnsi="Calibri"/>
          <w:b/>
          <w:color w:val="1E293B"/>
          <w:sz w:val="20"/>
        </w:rPr>
        <w:t>2. Prescribir Vitamina B12 inmediatamente</w:t>
      </w:r>
      <w:r>
        <w:rPr>
          <w:rFonts w:ascii="Calibri" w:hAnsi="Calibri"/>
          <w:color w:val="1E293B"/>
          <w:sz w:val="20"/>
        </w:rPr>
        <w:t>: Confirmar si toman suplemento, qué marca, qué dosis y con qué frecuencia. Si no la toman, indicar cianocobalamina desde el primer día.</w:t>
      </w:r>
    </w:p>
    <w:p w14:paraId="7DF5ABC4" w14:textId="6741D524" w:rsidR="00C82034" w:rsidRDefault="00000000">
      <w:pPr>
        <w:pStyle w:val="Listaconvietas"/>
        <w:spacing w:before="20" w:after="40"/>
      </w:pPr>
      <w:r>
        <w:rPr>
          <w:rFonts w:ascii="Calibri" w:hAnsi="Calibri"/>
          <w:color w:val="1E293B"/>
          <w:sz w:val="20"/>
        </w:rPr>
        <w:t xml:space="preserve">[ ] </w:t>
      </w:r>
      <w:r>
        <w:rPr>
          <w:rFonts w:ascii="Calibri" w:hAnsi="Calibri"/>
          <w:b/>
          <w:color w:val="1E293B"/>
          <w:sz w:val="20"/>
        </w:rPr>
        <w:t>3. Asegurar suficiencia calórica</w:t>
      </w:r>
      <w:r>
        <w:rPr>
          <w:rFonts w:ascii="Calibri" w:hAnsi="Calibri"/>
          <w:color w:val="1E293B"/>
          <w:sz w:val="20"/>
        </w:rPr>
        <w:t xml:space="preserve">: Vigilar que no desplacen energía con exceso de fibra acuosa; incluir densidad calórica con </w:t>
      </w:r>
      <w:proofErr w:type="spellStart"/>
      <w:r>
        <w:rPr>
          <w:rFonts w:ascii="Calibri" w:hAnsi="Calibri"/>
          <w:color w:val="1E293B"/>
          <w:sz w:val="20"/>
        </w:rPr>
        <w:t>frutos</w:t>
      </w:r>
      <w:proofErr w:type="spellEnd"/>
      <w:r>
        <w:rPr>
          <w:rFonts w:ascii="Calibri" w:hAnsi="Calibri"/>
          <w:color w:val="1E293B"/>
          <w:sz w:val="20"/>
        </w:rPr>
        <w:t xml:space="preserve"> </w:t>
      </w:r>
      <w:proofErr w:type="spellStart"/>
      <w:r>
        <w:rPr>
          <w:rFonts w:ascii="Calibri" w:hAnsi="Calibri"/>
          <w:color w:val="1E293B"/>
          <w:sz w:val="20"/>
        </w:rPr>
        <w:t>secos</w:t>
      </w:r>
      <w:proofErr w:type="spellEnd"/>
      <w:r>
        <w:rPr>
          <w:rFonts w:ascii="Calibri" w:hAnsi="Calibri"/>
          <w:color w:val="1E293B"/>
          <w:sz w:val="20"/>
        </w:rPr>
        <w:t xml:space="preserve"> </w:t>
      </w:r>
      <w:proofErr w:type="spellStart"/>
      <w:r>
        <w:rPr>
          <w:rFonts w:ascii="Calibri" w:hAnsi="Calibri"/>
          <w:color w:val="1E293B"/>
          <w:sz w:val="20"/>
        </w:rPr>
        <w:t>molidos</w:t>
      </w:r>
      <w:proofErr w:type="spellEnd"/>
      <w:r>
        <w:rPr>
          <w:rFonts w:ascii="Calibri" w:hAnsi="Calibri"/>
          <w:color w:val="1E293B"/>
          <w:sz w:val="20"/>
        </w:rPr>
        <w:t xml:space="preserve">, </w:t>
      </w:r>
      <w:proofErr w:type="spellStart"/>
      <w:r>
        <w:rPr>
          <w:rFonts w:ascii="Calibri" w:hAnsi="Calibri"/>
          <w:color w:val="1E293B"/>
          <w:sz w:val="20"/>
        </w:rPr>
        <w:t>legumbres</w:t>
      </w:r>
      <w:proofErr w:type="spellEnd"/>
      <w:r>
        <w:rPr>
          <w:rFonts w:ascii="Calibri" w:hAnsi="Calibri"/>
          <w:color w:val="1E293B"/>
          <w:sz w:val="20"/>
        </w:rPr>
        <w:t xml:space="preserve">, </w:t>
      </w:r>
      <w:proofErr w:type="spellStart"/>
      <w:r>
        <w:rPr>
          <w:rFonts w:ascii="Calibri" w:hAnsi="Calibri"/>
          <w:color w:val="1E293B"/>
          <w:sz w:val="20"/>
        </w:rPr>
        <w:t>palta</w:t>
      </w:r>
      <w:proofErr w:type="spellEnd"/>
      <w:r>
        <w:rPr>
          <w:rFonts w:ascii="Calibri" w:hAnsi="Calibri"/>
          <w:color w:val="1E293B"/>
          <w:sz w:val="20"/>
        </w:rPr>
        <w:t xml:space="preserve"> </w:t>
      </w:r>
      <w:r w:rsidR="00EB2D91">
        <w:rPr>
          <w:rFonts w:ascii="Calibri" w:hAnsi="Calibri"/>
          <w:color w:val="1E293B"/>
          <w:sz w:val="20"/>
        </w:rPr>
        <w:t xml:space="preserve">y cereals </w:t>
      </w:r>
      <w:proofErr w:type="spellStart"/>
      <w:r w:rsidR="00EB2D91">
        <w:rPr>
          <w:rFonts w:ascii="Calibri" w:hAnsi="Calibri"/>
          <w:color w:val="1E293B"/>
          <w:sz w:val="20"/>
        </w:rPr>
        <w:t>integrales</w:t>
      </w:r>
      <w:proofErr w:type="spellEnd"/>
    </w:p>
    <w:p w14:paraId="54CB8632" w14:textId="3A908ED7" w:rsidR="00C82034" w:rsidRDefault="00000000">
      <w:pPr>
        <w:pStyle w:val="Listaconvietas"/>
        <w:spacing w:before="20" w:after="40"/>
      </w:pPr>
      <w:proofErr w:type="gramStart"/>
      <w:r>
        <w:rPr>
          <w:rFonts w:ascii="Calibri" w:hAnsi="Calibri"/>
          <w:color w:val="1E293B"/>
          <w:sz w:val="20"/>
        </w:rPr>
        <w:lastRenderedPageBreak/>
        <w:t>[ ]</w:t>
      </w:r>
      <w:proofErr w:type="gramEnd"/>
      <w:r>
        <w:rPr>
          <w:rFonts w:ascii="Calibri" w:hAnsi="Calibri"/>
          <w:color w:val="1E293B"/>
          <w:sz w:val="20"/>
        </w:rPr>
        <w:t xml:space="preserve"> </w:t>
      </w:r>
      <w:r>
        <w:rPr>
          <w:rFonts w:ascii="Calibri" w:hAnsi="Calibri"/>
          <w:b/>
          <w:color w:val="1E293B"/>
          <w:sz w:val="20"/>
        </w:rPr>
        <w:t xml:space="preserve">4. </w:t>
      </w:r>
      <w:proofErr w:type="spellStart"/>
      <w:r>
        <w:rPr>
          <w:rFonts w:ascii="Calibri" w:hAnsi="Calibri"/>
          <w:b/>
          <w:color w:val="1E293B"/>
          <w:sz w:val="20"/>
        </w:rPr>
        <w:t>Enseñar</w:t>
      </w:r>
      <w:proofErr w:type="spellEnd"/>
      <w:r>
        <w:rPr>
          <w:rFonts w:ascii="Calibri" w:hAnsi="Calibri"/>
          <w:b/>
          <w:color w:val="1E293B"/>
          <w:sz w:val="20"/>
        </w:rPr>
        <w:t xml:space="preserve"> la </w:t>
      </w:r>
      <w:proofErr w:type="spellStart"/>
      <w:r>
        <w:rPr>
          <w:rFonts w:ascii="Calibri" w:hAnsi="Calibri"/>
          <w:b/>
          <w:color w:val="1E293B"/>
          <w:sz w:val="20"/>
        </w:rPr>
        <w:t>técnica</w:t>
      </w:r>
      <w:proofErr w:type="spellEnd"/>
      <w:r>
        <w:rPr>
          <w:rFonts w:ascii="Calibri" w:hAnsi="Calibri"/>
          <w:b/>
          <w:color w:val="1E293B"/>
          <w:sz w:val="20"/>
        </w:rPr>
        <w:t xml:space="preserve"> </w:t>
      </w:r>
      <w:r w:rsidR="00EB2D91">
        <w:rPr>
          <w:rFonts w:ascii="Calibri" w:hAnsi="Calibri"/>
          <w:b/>
          <w:color w:val="1E293B"/>
          <w:sz w:val="20"/>
        </w:rPr>
        <w:t>de</w:t>
      </w:r>
      <w:r>
        <w:rPr>
          <w:rFonts w:ascii="Calibri" w:hAnsi="Calibri"/>
          <w:b/>
          <w:color w:val="1E293B"/>
          <w:sz w:val="20"/>
        </w:rPr>
        <w:t xml:space="preserve"> </w:t>
      </w:r>
      <w:proofErr w:type="spellStart"/>
      <w:r>
        <w:rPr>
          <w:rFonts w:ascii="Calibri" w:hAnsi="Calibri"/>
          <w:b/>
          <w:color w:val="1E293B"/>
          <w:sz w:val="20"/>
        </w:rPr>
        <w:t>facilitadores</w:t>
      </w:r>
      <w:proofErr w:type="spellEnd"/>
      <w:r>
        <w:rPr>
          <w:rFonts w:ascii="Calibri" w:hAnsi="Calibri"/>
          <w:b/>
          <w:color w:val="1E293B"/>
          <w:sz w:val="20"/>
        </w:rPr>
        <w:t xml:space="preserve"> de </w:t>
      </w:r>
      <w:proofErr w:type="spellStart"/>
      <w:r>
        <w:rPr>
          <w:rFonts w:ascii="Calibri" w:hAnsi="Calibri"/>
          <w:b/>
          <w:color w:val="1E293B"/>
          <w:sz w:val="20"/>
        </w:rPr>
        <w:t>hierro</w:t>
      </w:r>
      <w:proofErr w:type="spellEnd"/>
      <w:r>
        <w:rPr>
          <w:rFonts w:ascii="Calibri" w:hAnsi="Calibri"/>
          <w:color w:val="1E293B"/>
          <w:sz w:val="20"/>
        </w:rPr>
        <w:t xml:space="preserve">: </w:t>
      </w:r>
      <w:proofErr w:type="spellStart"/>
      <w:r>
        <w:rPr>
          <w:rFonts w:ascii="Calibri" w:hAnsi="Calibri"/>
          <w:color w:val="1E293B"/>
          <w:sz w:val="20"/>
        </w:rPr>
        <w:t>Enseñar</w:t>
      </w:r>
      <w:proofErr w:type="spellEnd"/>
      <w:r>
        <w:rPr>
          <w:rFonts w:ascii="Calibri" w:hAnsi="Calibri"/>
          <w:color w:val="1E293B"/>
          <w:sz w:val="20"/>
        </w:rPr>
        <w:t xml:space="preserve"> </w:t>
      </w:r>
      <w:proofErr w:type="gramStart"/>
      <w:r>
        <w:rPr>
          <w:rFonts w:ascii="Calibri" w:hAnsi="Calibri"/>
          <w:color w:val="1E293B"/>
          <w:sz w:val="20"/>
        </w:rPr>
        <w:t>a</w:t>
      </w:r>
      <w:proofErr w:type="gramEnd"/>
      <w:r>
        <w:rPr>
          <w:rFonts w:ascii="Calibri" w:hAnsi="Calibri"/>
          <w:color w:val="1E293B"/>
          <w:sz w:val="20"/>
        </w:rPr>
        <w:t xml:space="preserve"> agregar limón/naranja al plato de lentejas y separar el té o mate.</w:t>
      </w:r>
    </w:p>
    <w:p w14:paraId="1EE82015" w14:textId="77777777" w:rsidR="00C82034" w:rsidRDefault="00000000">
      <w:pPr>
        <w:pStyle w:val="Listaconvietas"/>
        <w:spacing w:before="20" w:after="40"/>
      </w:pPr>
      <w:r>
        <w:rPr>
          <w:rFonts w:ascii="Calibri" w:hAnsi="Calibri"/>
          <w:color w:val="1E293B"/>
          <w:sz w:val="20"/>
        </w:rPr>
        <w:t xml:space="preserve">[ ] </w:t>
      </w:r>
      <w:r>
        <w:rPr>
          <w:rFonts w:ascii="Calibri" w:hAnsi="Calibri"/>
          <w:b/>
          <w:color w:val="1E293B"/>
          <w:sz w:val="20"/>
        </w:rPr>
        <w:t>5. Acompañar el entorno escolar y social</w:t>
      </w:r>
      <w:r>
        <w:rPr>
          <w:rFonts w:ascii="Calibri" w:hAnsi="Calibri"/>
          <w:color w:val="1E293B"/>
          <w:sz w:val="20"/>
        </w:rPr>
        <w:t>: Proveer ideas de viandas prácticas, apetitosas y fáciles de transportar para evitar la dependencia de snacks ultraprocesados del kiosco escolar.</w:t>
      </w:r>
    </w:p>
    <w:sectPr w:rsidR="00C82034" w:rsidSect="00034616">
      <w:headerReference w:type="default" r:id="rId8"/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7B68D" w14:textId="77777777" w:rsidR="00CE6516" w:rsidRDefault="00CE6516">
      <w:pPr>
        <w:spacing w:after="0" w:line="240" w:lineRule="auto"/>
      </w:pPr>
      <w:r>
        <w:separator/>
      </w:r>
    </w:p>
  </w:endnote>
  <w:endnote w:type="continuationSeparator" w:id="0">
    <w:p w14:paraId="7C4C55D9" w14:textId="77777777" w:rsidR="00CE6516" w:rsidRDefault="00CE65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7BE7B8" w14:textId="77777777" w:rsidR="00C82034" w:rsidRDefault="00000000">
    <w:pPr>
      <w:pStyle w:val="Piedepgina"/>
      <w:jc w:val="center"/>
    </w:pPr>
    <w:r>
      <w:rPr>
        <w:rFonts w:ascii="Calibri" w:hAnsi="Calibri"/>
        <w:color w:val="94A3B8"/>
        <w:sz w:val="17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EB2D9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B72FD0" w14:textId="77777777" w:rsidR="00CE6516" w:rsidRDefault="00CE6516">
      <w:pPr>
        <w:spacing w:after="0" w:line="240" w:lineRule="auto"/>
      </w:pPr>
      <w:r>
        <w:separator/>
      </w:r>
    </w:p>
  </w:footnote>
  <w:footnote w:type="continuationSeparator" w:id="0">
    <w:p w14:paraId="56C0892F" w14:textId="77777777" w:rsidR="00CE6516" w:rsidRDefault="00CE65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5B288" w14:textId="77777777" w:rsidR="00C82034" w:rsidRDefault="00000000">
    <w:pPr>
      <w:pStyle w:val="Encabezado"/>
      <w:jc w:val="right"/>
    </w:pPr>
    <w:r>
      <w:rPr>
        <w:rFonts w:ascii="Calibri" w:hAnsi="Calibri"/>
        <w:color w:val="94A3B8"/>
        <w:sz w:val="17"/>
      </w:rPr>
      <w:t>UNSTA — Cátedra de Nutrición Infantil | Material Docente Oficial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4968143">
    <w:abstractNumId w:val="8"/>
  </w:num>
  <w:num w:numId="2" w16cid:durableId="92553953">
    <w:abstractNumId w:val="6"/>
  </w:num>
  <w:num w:numId="3" w16cid:durableId="1162623481">
    <w:abstractNumId w:val="5"/>
  </w:num>
  <w:num w:numId="4" w16cid:durableId="917248053">
    <w:abstractNumId w:val="4"/>
  </w:num>
  <w:num w:numId="5" w16cid:durableId="2632704">
    <w:abstractNumId w:val="7"/>
  </w:num>
  <w:num w:numId="6" w16cid:durableId="781220664">
    <w:abstractNumId w:val="3"/>
  </w:num>
  <w:num w:numId="7" w16cid:durableId="1419903596">
    <w:abstractNumId w:val="2"/>
  </w:num>
  <w:num w:numId="8" w16cid:durableId="422261739">
    <w:abstractNumId w:val="1"/>
  </w:num>
  <w:num w:numId="9" w16cid:durableId="42683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D0D"/>
    <w:rsid w:val="0015074B"/>
    <w:rsid w:val="00216824"/>
    <w:rsid w:val="0029639D"/>
    <w:rsid w:val="00326F90"/>
    <w:rsid w:val="00AA1D8D"/>
    <w:rsid w:val="00B47730"/>
    <w:rsid w:val="00BA6A1C"/>
    <w:rsid w:val="00C82034"/>
    <w:rsid w:val="00CB0664"/>
    <w:rsid w:val="00CE6516"/>
    <w:rsid w:val="00EB2D91"/>
    <w:rsid w:val="00FC693F"/>
    <w:rsid w:val="00FE5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395DD0"/>
  <w14:defaultImageDpi w14:val="300"/>
  <w15:docId w15:val="{B97CB8CA-2A52-4F2F-9838-20D01B202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1777</Words>
  <Characters>9774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german TFP</cp:lastModifiedBy>
  <cp:revision>3</cp:revision>
  <dcterms:created xsi:type="dcterms:W3CDTF">2013-12-23T23:15:00Z</dcterms:created>
  <dcterms:modified xsi:type="dcterms:W3CDTF">2026-10-05T14:35:00Z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c3b936be877c1662a8e62e0793716debbe1daca46ad68699c5e1f71a784c299a</vt:lpwstr>
  </property>
</Properties>
</file>