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D6F7" w14:textId="77777777" w:rsidR="00CF3F6D" w:rsidRPr="0001372C" w:rsidRDefault="00E76A65" w:rsidP="00FB17E2">
      <w:pPr>
        <w:pStyle w:val="PlainText"/>
        <w:ind w:right="-933"/>
        <w:jc w:val="both"/>
        <w:rPr>
          <w:rFonts w:ascii="Times New Roman" w:hAnsi="Times New Roman" w:cs="Times New Roman"/>
          <w:b/>
          <w:bCs/>
          <w:sz w:val="28"/>
          <w:szCs w:val="28"/>
        </w:rPr>
      </w:pPr>
      <w:r w:rsidRPr="0001372C">
        <w:rPr>
          <w:rFonts w:ascii="Times New Roman" w:hAnsi="Times New Roman" w:cs="Times New Roman"/>
          <w:b/>
          <w:bCs/>
          <w:sz w:val="28"/>
          <w:szCs w:val="28"/>
        </w:rPr>
        <w:t xml:space="preserve">ASSESSMENT OF </w:t>
      </w:r>
      <w:r w:rsidR="00FB17E2" w:rsidRPr="0001372C">
        <w:rPr>
          <w:rFonts w:ascii="Times New Roman" w:hAnsi="Times New Roman" w:cs="Times New Roman"/>
          <w:b/>
          <w:bCs/>
          <w:sz w:val="28"/>
          <w:szCs w:val="28"/>
        </w:rPr>
        <w:t xml:space="preserve">FOOD </w:t>
      </w:r>
      <w:r w:rsidR="00397F1F" w:rsidRPr="0001372C">
        <w:rPr>
          <w:rFonts w:ascii="Times New Roman" w:hAnsi="Times New Roman" w:cs="Times New Roman"/>
          <w:b/>
          <w:bCs/>
          <w:sz w:val="28"/>
          <w:szCs w:val="28"/>
        </w:rPr>
        <w:t xml:space="preserve">AVAILABLE FOR </w:t>
      </w:r>
      <w:r w:rsidR="00FB17E2" w:rsidRPr="0001372C">
        <w:rPr>
          <w:rFonts w:ascii="Times New Roman" w:hAnsi="Times New Roman" w:cs="Times New Roman"/>
          <w:b/>
          <w:bCs/>
          <w:sz w:val="28"/>
          <w:szCs w:val="28"/>
        </w:rPr>
        <w:t>CONSUMPTION AT</w:t>
      </w:r>
    </w:p>
    <w:p w14:paraId="669696F7" w14:textId="31835621" w:rsidR="00FB17E2" w:rsidRPr="0001372C" w:rsidRDefault="00FB17E2" w:rsidP="00FB17E2">
      <w:pPr>
        <w:pStyle w:val="PlainText"/>
        <w:ind w:right="-933"/>
        <w:jc w:val="both"/>
        <w:rPr>
          <w:rFonts w:ascii="Times New Roman" w:hAnsi="Times New Roman" w:cs="Times New Roman"/>
          <w:b/>
          <w:bCs/>
          <w:sz w:val="28"/>
          <w:szCs w:val="28"/>
        </w:rPr>
      </w:pPr>
      <w:r w:rsidRPr="0001372C">
        <w:rPr>
          <w:rFonts w:ascii="Times New Roman" w:hAnsi="Times New Roman" w:cs="Times New Roman"/>
          <w:b/>
          <w:bCs/>
          <w:sz w:val="28"/>
          <w:szCs w:val="28"/>
        </w:rPr>
        <w:t>THE NATIONAL AND HOUSEHOLD LEVELS</w:t>
      </w:r>
    </w:p>
    <w:p w14:paraId="3A2A74F9" w14:textId="77777777" w:rsidR="00FB17E2" w:rsidRPr="0001372C" w:rsidRDefault="00FB17E2" w:rsidP="00BB534B">
      <w:pPr>
        <w:pStyle w:val="PlainText"/>
        <w:ind w:right="-933"/>
        <w:rPr>
          <w:rFonts w:ascii="Times New Roman" w:hAnsi="Times New Roman" w:cs="Times New Roman"/>
          <w:b/>
          <w:bCs/>
          <w:sz w:val="28"/>
          <w:szCs w:val="28"/>
        </w:rPr>
      </w:pPr>
    </w:p>
    <w:p w14:paraId="09D635E0" w14:textId="5428E3DB" w:rsidR="00FB17E2" w:rsidRPr="0001372C" w:rsidRDefault="00FB17E2" w:rsidP="00BB534B">
      <w:pPr>
        <w:pStyle w:val="PlainText"/>
        <w:ind w:right="-933"/>
        <w:rPr>
          <w:rFonts w:ascii="Times New Roman" w:hAnsi="Times New Roman" w:cs="Times New Roman"/>
          <w:sz w:val="28"/>
          <w:szCs w:val="28"/>
        </w:rPr>
      </w:pPr>
      <w:r w:rsidRPr="0001372C">
        <w:rPr>
          <w:rFonts w:ascii="Times New Roman" w:hAnsi="Times New Roman" w:cs="Times New Roman"/>
          <w:b/>
          <w:bCs/>
          <w:sz w:val="28"/>
          <w:szCs w:val="28"/>
        </w:rPr>
        <w:t>Catherine Leclercq</w:t>
      </w:r>
      <w:r w:rsidR="002F1D9A" w:rsidRPr="0001372C">
        <w:rPr>
          <w:rFonts w:ascii="Times New Roman" w:hAnsi="Times New Roman" w:cs="Times New Roman"/>
          <w:b/>
          <w:bCs/>
          <w:sz w:val="28"/>
          <w:szCs w:val="28"/>
        </w:rPr>
        <w:t>, Nathalie Troubat</w:t>
      </w:r>
      <w:r w:rsidR="00342E38">
        <w:rPr>
          <w:rFonts w:ascii="Times New Roman" w:hAnsi="Times New Roman" w:cs="Times New Roman"/>
          <w:b/>
          <w:bCs/>
          <w:sz w:val="28"/>
          <w:szCs w:val="28"/>
        </w:rPr>
        <w:t xml:space="preserve"> </w:t>
      </w:r>
      <w:r w:rsidRPr="0001372C">
        <w:rPr>
          <w:rFonts w:ascii="Times New Roman" w:hAnsi="Times New Roman" w:cs="Times New Roman"/>
          <w:b/>
          <w:bCs/>
          <w:sz w:val="28"/>
          <w:szCs w:val="28"/>
        </w:rPr>
        <w:t>&amp;</w:t>
      </w:r>
      <w:r w:rsidR="00F03FD0" w:rsidRPr="0001372C">
        <w:rPr>
          <w:rFonts w:ascii="Times New Roman" w:hAnsi="Times New Roman" w:cs="Times New Roman"/>
          <w:b/>
          <w:bCs/>
          <w:sz w:val="28"/>
          <w:szCs w:val="28"/>
        </w:rPr>
        <w:t xml:space="preserve"> </w:t>
      </w:r>
      <w:r w:rsidRPr="0001372C">
        <w:rPr>
          <w:rFonts w:ascii="Times New Roman" w:hAnsi="Times New Roman" w:cs="Times New Roman"/>
          <w:b/>
          <w:bCs/>
          <w:sz w:val="28"/>
          <w:szCs w:val="28"/>
        </w:rPr>
        <w:t>Rosal</w:t>
      </w:r>
      <w:r w:rsidR="00F03FD0" w:rsidRPr="0001372C">
        <w:rPr>
          <w:rFonts w:ascii="Times New Roman" w:hAnsi="Times New Roman" w:cs="Times New Roman"/>
          <w:b/>
          <w:bCs/>
          <w:sz w:val="28"/>
          <w:szCs w:val="28"/>
        </w:rPr>
        <w:t>i</w:t>
      </w:r>
      <w:r w:rsidRPr="0001372C">
        <w:rPr>
          <w:rFonts w:ascii="Times New Roman" w:hAnsi="Times New Roman" w:cs="Times New Roman"/>
          <w:b/>
          <w:bCs/>
          <w:sz w:val="28"/>
          <w:szCs w:val="28"/>
        </w:rPr>
        <w:t>nd Gibson</w:t>
      </w:r>
    </w:p>
    <w:p w14:paraId="79DD7570" w14:textId="77777777" w:rsidR="00FB17E2" w:rsidRPr="0001372C" w:rsidRDefault="00FB17E2" w:rsidP="00BB534B">
      <w:pPr>
        <w:pStyle w:val="PlainText"/>
        <w:ind w:right="-933"/>
        <w:rPr>
          <w:rFonts w:ascii="Times New Roman" w:hAnsi="Times New Roman" w:cs="Times New Roman"/>
          <w:sz w:val="28"/>
          <w:szCs w:val="28"/>
        </w:rPr>
      </w:pPr>
    </w:p>
    <w:p w14:paraId="45D522DB" w14:textId="01D667B6" w:rsidR="004F442B" w:rsidRPr="0001372C" w:rsidRDefault="00B477CA" w:rsidP="00463A77">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National </w:t>
      </w:r>
      <w:r w:rsidR="00AE4358" w:rsidRPr="0001372C">
        <w:rPr>
          <w:rFonts w:ascii="Times New Roman" w:hAnsi="Times New Roman" w:cs="Times New Roman"/>
          <w:sz w:val="28"/>
          <w:szCs w:val="28"/>
        </w:rPr>
        <w:t>surveys</w:t>
      </w:r>
      <w:r w:rsidRPr="0001372C">
        <w:rPr>
          <w:rFonts w:ascii="Times New Roman" w:hAnsi="Times New Roman" w:cs="Times New Roman"/>
          <w:sz w:val="28"/>
          <w:szCs w:val="28"/>
        </w:rPr>
        <w:t xml:space="preserve"> allow to assess food available for consumption</w:t>
      </w:r>
      <w:r w:rsidR="00AE4358" w:rsidRPr="0001372C">
        <w:rPr>
          <w:rFonts w:ascii="Times New Roman" w:hAnsi="Times New Roman" w:cs="Times New Roman"/>
          <w:sz w:val="28"/>
          <w:szCs w:val="28"/>
        </w:rPr>
        <w:t xml:space="preserve">, with the resulting data expressed </w:t>
      </w:r>
      <w:r w:rsidR="001F4B60" w:rsidRPr="0001372C">
        <w:rPr>
          <w:rFonts w:ascii="Times New Roman" w:hAnsi="Times New Roman" w:cs="Times New Roman"/>
          <w:sz w:val="28"/>
          <w:szCs w:val="28"/>
        </w:rPr>
        <w:t xml:space="preserve">as per capita food supply for human consumption. Such data can be used to </w:t>
      </w:r>
      <w:r w:rsidR="00463A77" w:rsidRPr="0001372C">
        <w:rPr>
          <w:rFonts w:ascii="Times New Roman" w:hAnsi="Times New Roman" w:cs="Times New Roman"/>
          <w:sz w:val="28"/>
          <w:szCs w:val="28"/>
        </w:rPr>
        <w:t xml:space="preserve">estimate </w:t>
      </w:r>
      <w:r w:rsidR="00DA1A6E" w:rsidRPr="0001372C">
        <w:rPr>
          <w:rFonts w:ascii="Times New Roman" w:hAnsi="Times New Roman" w:cs="Times New Roman"/>
          <w:sz w:val="28"/>
          <w:szCs w:val="28"/>
        </w:rPr>
        <w:t xml:space="preserve">per capita </w:t>
      </w:r>
      <w:r w:rsidR="00F42399" w:rsidRPr="0001372C">
        <w:rPr>
          <w:rFonts w:ascii="Times New Roman" w:hAnsi="Times New Roman" w:cs="Times New Roman"/>
          <w:sz w:val="28"/>
          <w:szCs w:val="28"/>
        </w:rPr>
        <w:t xml:space="preserve">food intakes and per capita </w:t>
      </w:r>
      <w:r w:rsidR="00AE4358" w:rsidRPr="0001372C">
        <w:rPr>
          <w:rFonts w:ascii="Times New Roman" w:hAnsi="Times New Roman" w:cs="Times New Roman"/>
          <w:sz w:val="28"/>
          <w:szCs w:val="28"/>
        </w:rPr>
        <w:t>nutrient</w:t>
      </w:r>
      <w:r w:rsidR="00F42399" w:rsidRPr="0001372C">
        <w:rPr>
          <w:rFonts w:ascii="Times New Roman" w:hAnsi="Times New Roman" w:cs="Times New Roman"/>
          <w:sz w:val="28"/>
          <w:szCs w:val="28"/>
        </w:rPr>
        <w:t xml:space="preserve"> intakes</w:t>
      </w:r>
      <w:r w:rsidR="00AE4358" w:rsidRPr="0001372C">
        <w:rPr>
          <w:rFonts w:ascii="Times New Roman" w:hAnsi="Times New Roman" w:cs="Times New Roman"/>
          <w:sz w:val="28"/>
          <w:szCs w:val="28"/>
        </w:rPr>
        <w:t xml:space="preserve">. </w:t>
      </w:r>
      <w:r w:rsidR="004F442B" w:rsidRPr="0001372C">
        <w:rPr>
          <w:rFonts w:ascii="Times New Roman" w:hAnsi="Times New Roman" w:cs="Times New Roman"/>
          <w:sz w:val="28"/>
          <w:szCs w:val="28"/>
        </w:rPr>
        <w:t xml:space="preserve">The </w:t>
      </w:r>
      <w:r w:rsidR="00A01D5B" w:rsidRPr="0001372C">
        <w:rPr>
          <w:rFonts w:ascii="Times New Roman" w:hAnsi="Times New Roman" w:cs="Times New Roman"/>
          <w:sz w:val="28"/>
          <w:szCs w:val="28"/>
        </w:rPr>
        <w:t xml:space="preserve">same is true for most household surveys. The </w:t>
      </w:r>
      <w:r w:rsidR="004F442B" w:rsidRPr="0001372C">
        <w:rPr>
          <w:rFonts w:ascii="Times New Roman" w:hAnsi="Times New Roman" w:cs="Times New Roman"/>
          <w:sz w:val="28"/>
          <w:szCs w:val="28"/>
        </w:rPr>
        <w:t xml:space="preserve">term to be used for data derived from national </w:t>
      </w:r>
      <w:r w:rsidR="00A01D5B" w:rsidRPr="0001372C">
        <w:rPr>
          <w:rFonts w:ascii="Times New Roman" w:hAnsi="Times New Roman" w:cs="Times New Roman"/>
          <w:sz w:val="28"/>
          <w:szCs w:val="28"/>
        </w:rPr>
        <w:t xml:space="preserve">and for these </w:t>
      </w:r>
      <w:r w:rsidR="004F442B" w:rsidRPr="0001372C">
        <w:rPr>
          <w:rFonts w:ascii="Times New Roman" w:hAnsi="Times New Roman" w:cs="Times New Roman"/>
          <w:sz w:val="28"/>
          <w:szCs w:val="28"/>
        </w:rPr>
        <w:t>household surveys is either “food supply” or “food available for consumption” rather than “food consumption”.</w:t>
      </w:r>
      <w:r w:rsidR="00A01D5B" w:rsidRPr="0001372C">
        <w:rPr>
          <w:rFonts w:ascii="Times New Roman" w:hAnsi="Times New Roman" w:cs="Times New Roman"/>
          <w:sz w:val="28"/>
          <w:szCs w:val="28"/>
        </w:rPr>
        <w:t xml:space="preserve"> Only </w:t>
      </w:r>
      <w:r w:rsidR="00F87FE2" w:rsidRPr="0001372C">
        <w:rPr>
          <w:rFonts w:ascii="Times New Roman" w:hAnsi="Times New Roman" w:cs="Times New Roman"/>
          <w:sz w:val="28"/>
          <w:szCs w:val="28"/>
        </w:rPr>
        <w:t>a few</w:t>
      </w:r>
      <w:r w:rsidR="00A01D5B" w:rsidRPr="0001372C">
        <w:rPr>
          <w:rFonts w:ascii="Times New Roman" w:hAnsi="Times New Roman" w:cs="Times New Roman"/>
          <w:sz w:val="28"/>
          <w:szCs w:val="28"/>
        </w:rPr>
        <w:t xml:space="preserve"> typologies of household surveys measure food consumption.</w:t>
      </w:r>
    </w:p>
    <w:p w14:paraId="136B3447" w14:textId="77777777" w:rsidR="004F442B" w:rsidRPr="0001372C" w:rsidRDefault="004F442B" w:rsidP="004F442B">
      <w:pPr>
        <w:pStyle w:val="PlainText"/>
        <w:jc w:val="both"/>
        <w:rPr>
          <w:rFonts w:ascii="Times New Roman" w:hAnsi="Times New Roman" w:cs="Times New Roman"/>
          <w:sz w:val="28"/>
          <w:szCs w:val="28"/>
        </w:rPr>
      </w:pPr>
    </w:p>
    <w:p w14:paraId="5EB728A9" w14:textId="0E64068B" w:rsidR="004F442B" w:rsidRPr="0001372C" w:rsidRDefault="004F442B" w:rsidP="004F442B">
      <w:pPr>
        <w:pStyle w:val="PlainText"/>
        <w:jc w:val="both"/>
        <w:rPr>
          <w:rFonts w:ascii="Times New Roman" w:hAnsi="Times New Roman" w:cs="Times New Roman"/>
          <w:sz w:val="28"/>
          <w:szCs w:val="28"/>
        </w:rPr>
      </w:pPr>
      <w:r w:rsidRPr="0001372C">
        <w:rPr>
          <w:rFonts w:ascii="Times New Roman" w:hAnsi="Times New Roman" w:cs="Times New Roman"/>
          <w:sz w:val="28"/>
          <w:szCs w:val="28"/>
        </w:rPr>
        <w:t>Chapter 3 of the present volume provides a detailed illustration of methods suitable for measuring food consumption at the individual level.</w:t>
      </w:r>
    </w:p>
    <w:p w14:paraId="2E5BC3C3" w14:textId="77777777" w:rsidR="006D4988" w:rsidRPr="0001372C" w:rsidRDefault="006D4988" w:rsidP="004F442B">
      <w:pPr>
        <w:pStyle w:val="PlainText"/>
        <w:jc w:val="both"/>
        <w:rPr>
          <w:rFonts w:ascii="Times New Roman" w:hAnsi="Times New Roman" w:cs="Times New Roman"/>
          <w:sz w:val="28"/>
          <w:szCs w:val="28"/>
        </w:rPr>
      </w:pPr>
    </w:p>
    <w:p w14:paraId="6B39C6A0" w14:textId="55BCD098" w:rsidR="00463A77" w:rsidRPr="0001372C" w:rsidRDefault="00AE4358" w:rsidP="00463A77">
      <w:pPr>
        <w:pStyle w:val="PlainText"/>
        <w:jc w:val="both"/>
        <w:rPr>
          <w:rFonts w:ascii="Times New Roman" w:hAnsi="Times New Roman" w:cs="Times New Roman"/>
          <w:sz w:val="28"/>
          <w:szCs w:val="28"/>
        </w:rPr>
      </w:pPr>
      <w:r w:rsidRPr="0001372C">
        <w:rPr>
          <w:rFonts w:ascii="Times New Roman" w:hAnsi="Times New Roman" w:cs="Times New Roman"/>
          <w:sz w:val="28"/>
          <w:szCs w:val="28"/>
        </w:rPr>
        <w:t>Th</w:t>
      </w:r>
      <w:r w:rsidR="006D4988" w:rsidRPr="0001372C">
        <w:rPr>
          <w:rFonts w:ascii="Times New Roman" w:hAnsi="Times New Roman" w:cs="Times New Roman"/>
          <w:sz w:val="28"/>
          <w:szCs w:val="28"/>
        </w:rPr>
        <w:t>e present</w:t>
      </w:r>
      <w:r w:rsidRPr="0001372C">
        <w:rPr>
          <w:rFonts w:ascii="Times New Roman" w:hAnsi="Times New Roman" w:cs="Times New Roman"/>
          <w:sz w:val="28"/>
          <w:szCs w:val="28"/>
        </w:rPr>
        <w:t xml:space="preserve"> chapter considers </w:t>
      </w:r>
      <w:r w:rsidR="004F442B" w:rsidRPr="0001372C">
        <w:rPr>
          <w:rFonts w:ascii="Times New Roman" w:hAnsi="Times New Roman" w:cs="Times New Roman"/>
          <w:sz w:val="28"/>
          <w:szCs w:val="28"/>
        </w:rPr>
        <w:t xml:space="preserve">survey </w:t>
      </w:r>
      <w:r w:rsidRPr="0001372C">
        <w:rPr>
          <w:rFonts w:ascii="Times New Roman" w:hAnsi="Times New Roman" w:cs="Times New Roman"/>
          <w:sz w:val="28"/>
          <w:szCs w:val="28"/>
        </w:rPr>
        <w:t>methods suitable for</w:t>
      </w:r>
      <w:r w:rsidR="00397F1F" w:rsidRPr="0001372C">
        <w:rPr>
          <w:rFonts w:ascii="Times New Roman" w:hAnsi="Times New Roman" w:cs="Times New Roman"/>
          <w:sz w:val="28"/>
          <w:szCs w:val="28"/>
        </w:rPr>
        <w:t xml:space="preserve"> </w:t>
      </w:r>
      <w:r w:rsidR="004F442B" w:rsidRPr="0001372C">
        <w:rPr>
          <w:rFonts w:ascii="Times New Roman" w:hAnsi="Times New Roman" w:cs="Times New Roman"/>
          <w:sz w:val="28"/>
          <w:szCs w:val="28"/>
        </w:rPr>
        <w:t>a</w:t>
      </w:r>
      <w:r w:rsidR="00E76A65" w:rsidRPr="0001372C">
        <w:rPr>
          <w:rFonts w:ascii="Times New Roman" w:hAnsi="Times New Roman" w:cs="Times New Roman"/>
          <w:sz w:val="28"/>
          <w:szCs w:val="28"/>
        </w:rPr>
        <w:t xml:space="preserve"> </w:t>
      </w:r>
      <w:r w:rsidR="00463A77" w:rsidRPr="0001372C">
        <w:rPr>
          <w:rFonts w:ascii="Times New Roman" w:hAnsi="Times New Roman" w:cs="Times New Roman"/>
          <w:sz w:val="28"/>
          <w:szCs w:val="28"/>
        </w:rPr>
        <w:t xml:space="preserve">quantitative </w:t>
      </w:r>
      <w:r w:rsidR="00E76A65" w:rsidRPr="0001372C">
        <w:rPr>
          <w:rFonts w:ascii="Times New Roman" w:hAnsi="Times New Roman" w:cs="Times New Roman"/>
          <w:sz w:val="28"/>
          <w:szCs w:val="28"/>
        </w:rPr>
        <w:t>assessment</w:t>
      </w:r>
      <w:r w:rsidR="004F442B" w:rsidRPr="0001372C">
        <w:rPr>
          <w:rFonts w:ascii="Times New Roman" w:hAnsi="Times New Roman" w:cs="Times New Roman"/>
          <w:sz w:val="28"/>
          <w:szCs w:val="28"/>
        </w:rPr>
        <w:t xml:space="preserve"> of food </w:t>
      </w:r>
      <w:r w:rsidR="008D2516" w:rsidRPr="0001372C">
        <w:rPr>
          <w:rFonts w:ascii="Times New Roman" w:hAnsi="Times New Roman" w:cs="Times New Roman"/>
          <w:sz w:val="28"/>
          <w:szCs w:val="28"/>
        </w:rPr>
        <w:t>available for consumption</w:t>
      </w:r>
      <w:r w:rsidR="00A01D5B" w:rsidRPr="0001372C">
        <w:rPr>
          <w:rFonts w:ascii="Times New Roman" w:hAnsi="Times New Roman" w:cs="Times New Roman"/>
          <w:sz w:val="28"/>
          <w:szCs w:val="28"/>
        </w:rPr>
        <w:t xml:space="preserve">/consumed </w:t>
      </w:r>
      <w:r w:rsidR="006D4988" w:rsidRPr="0001372C">
        <w:rPr>
          <w:rFonts w:ascii="Times New Roman" w:hAnsi="Times New Roman" w:cs="Times New Roman"/>
          <w:sz w:val="28"/>
          <w:szCs w:val="28"/>
        </w:rPr>
        <w:t>at national and household levels</w:t>
      </w:r>
      <w:r w:rsidR="003261AE" w:rsidRPr="0001372C">
        <w:rPr>
          <w:rFonts w:ascii="Times New Roman" w:hAnsi="Times New Roman" w:cs="Times New Roman"/>
          <w:sz w:val="28"/>
          <w:szCs w:val="28"/>
        </w:rPr>
        <w:t>.</w:t>
      </w:r>
    </w:p>
    <w:p w14:paraId="7219CD7D" w14:textId="77777777" w:rsidR="001F4B60" w:rsidRPr="0001372C" w:rsidRDefault="001F4B60" w:rsidP="00463A77">
      <w:pPr>
        <w:pStyle w:val="PlainText"/>
        <w:jc w:val="both"/>
        <w:rPr>
          <w:rFonts w:ascii="Times New Roman" w:hAnsi="Times New Roman" w:cs="Times New Roman"/>
          <w:sz w:val="28"/>
          <w:szCs w:val="28"/>
        </w:rPr>
      </w:pPr>
    </w:p>
    <w:p w14:paraId="28F5C2C5" w14:textId="3B9F0857" w:rsidR="00790E9E" w:rsidRPr="0001372C" w:rsidRDefault="006D4988" w:rsidP="00DA1A6E">
      <w:pPr>
        <w:pStyle w:val="PlainText"/>
        <w:jc w:val="both"/>
        <w:rPr>
          <w:rFonts w:ascii="Times New Roman" w:hAnsi="Times New Roman" w:cs="Times New Roman"/>
          <w:sz w:val="28"/>
          <w:szCs w:val="28"/>
        </w:rPr>
      </w:pPr>
      <w:r w:rsidRPr="0001372C">
        <w:rPr>
          <w:rFonts w:ascii="Times New Roman" w:hAnsi="Times New Roman" w:cs="Times New Roman"/>
          <w:sz w:val="28"/>
          <w:szCs w:val="28"/>
        </w:rPr>
        <w:t>It is noteworthy that p</w:t>
      </w:r>
      <w:r w:rsidR="00DA1A6E" w:rsidRPr="0001372C">
        <w:rPr>
          <w:rFonts w:ascii="Times New Roman" w:hAnsi="Times New Roman" w:cs="Times New Roman"/>
          <w:sz w:val="28"/>
          <w:szCs w:val="28"/>
        </w:rPr>
        <w:t xml:space="preserve">er capita food supply for human consumption </w:t>
      </w:r>
      <w:r w:rsidR="00297376" w:rsidRPr="0001372C">
        <w:rPr>
          <w:rFonts w:ascii="Times New Roman" w:hAnsi="Times New Roman" w:cs="Times New Roman"/>
          <w:sz w:val="28"/>
          <w:szCs w:val="28"/>
        </w:rPr>
        <w:t>assessed</w:t>
      </w:r>
      <w:r w:rsidR="00DA1A6E" w:rsidRPr="0001372C">
        <w:rPr>
          <w:rFonts w:ascii="Times New Roman" w:hAnsi="Times New Roman" w:cs="Times New Roman"/>
          <w:sz w:val="28"/>
          <w:szCs w:val="28"/>
        </w:rPr>
        <w:t xml:space="preserve"> through surveys </w:t>
      </w:r>
      <w:r w:rsidR="00297376" w:rsidRPr="0001372C">
        <w:rPr>
          <w:rFonts w:ascii="Times New Roman" w:hAnsi="Times New Roman" w:cs="Times New Roman"/>
          <w:sz w:val="28"/>
          <w:szCs w:val="28"/>
        </w:rPr>
        <w:t xml:space="preserve">at national level </w:t>
      </w:r>
      <w:r w:rsidR="00DA1A6E" w:rsidRPr="0001372C">
        <w:rPr>
          <w:rFonts w:ascii="Times New Roman" w:hAnsi="Times New Roman" w:cs="Times New Roman"/>
          <w:sz w:val="28"/>
          <w:szCs w:val="28"/>
        </w:rPr>
        <w:t>provide</w:t>
      </w:r>
      <w:r w:rsidR="00790E9E" w:rsidRPr="0001372C">
        <w:rPr>
          <w:rFonts w:ascii="Times New Roman" w:hAnsi="Times New Roman" w:cs="Times New Roman"/>
          <w:sz w:val="28"/>
          <w:szCs w:val="28"/>
        </w:rPr>
        <w:t>s</w:t>
      </w:r>
      <w:r w:rsidR="00DA1A6E" w:rsidRPr="0001372C">
        <w:rPr>
          <w:rFonts w:ascii="Times New Roman" w:hAnsi="Times New Roman" w:cs="Times New Roman"/>
          <w:sz w:val="28"/>
          <w:szCs w:val="28"/>
        </w:rPr>
        <w:t xml:space="preserve"> no information on its distribution within </w:t>
      </w:r>
      <w:r w:rsidR="001F4B60" w:rsidRPr="0001372C">
        <w:rPr>
          <w:rFonts w:ascii="Times New Roman" w:hAnsi="Times New Roman" w:cs="Times New Roman"/>
          <w:sz w:val="28"/>
          <w:szCs w:val="28"/>
        </w:rPr>
        <w:t>the countries</w:t>
      </w:r>
      <w:r w:rsidR="00AB75DA" w:rsidRPr="0001372C">
        <w:rPr>
          <w:rFonts w:ascii="Times New Roman" w:hAnsi="Times New Roman" w:cs="Times New Roman"/>
          <w:sz w:val="28"/>
          <w:szCs w:val="28"/>
        </w:rPr>
        <w:t xml:space="preserve"> (</w:t>
      </w:r>
      <w:r w:rsidR="001F4B60" w:rsidRPr="0001372C">
        <w:rPr>
          <w:rFonts w:ascii="Times New Roman" w:hAnsi="Times New Roman" w:cs="Times New Roman"/>
          <w:sz w:val="28"/>
          <w:szCs w:val="28"/>
        </w:rPr>
        <w:t xml:space="preserve">in terms of </w:t>
      </w:r>
      <w:r w:rsidR="00DA1A6E" w:rsidRPr="0001372C">
        <w:rPr>
          <w:rFonts w:ascii="Times New Roman" w:hAnsi="Times New Roman" w:cs="Times New Roman"/>
          <w:sz w:val="28"/>
          <w:szCs w:val="28"/>
        </w:rPr>
        <w:t>geographical areas or socio-economic groups</w:t>
      </w:r>
      <w:r w:rsidR="00AB75DA" w:rsidRPr="0001372C">
        <w:rPr>
          <w:rFonts w:ascii="Times New Roman" w:hAnsi="Times New Roman" w:cs="Times New Roman"/>
          <w:sz w:val="28"/>
          <w:szCs w:val="28"/>
        </w:rPr>
        <w:t>) and on its distribution according to seasons</w:t>
      </w:r>
      <w:r w:rsidR="001F4B60" w:rsidRPr="0001372C">
        <w:rPr>
          <w:rFonts w:ascii="Times New Roman" w:hAnsi="Times New Roman" w:cs="Times New Roman"/>
          <w:sz w:val="28"/>
          <w:szCs w:val="28"/>
        </w:rPr>
        <w:t xml:space="preserve">. </w:t>
      </w:r>
    </w:p>
    <w:p w14:paraId="04B3687C" w14:textId="77777777" w:rsidR="00790E9E" w:rsidRPr="0001372C" w:rsidRDefault="00790E9E" w:rsidP="00DA1A6E">
      <w:pPr>
        <w:pStyle w:val="PlainText"/>
        <w:jc w:val="both"/>
        <w:rPr>
          <w:rFonts w:ascii="Times New Roman" w:hAnsi="Times New Roman" w:cs="Times New Roman"/>
          <w:sz w:val="28"/>
          <w:szCs w:val="28"/>
        </w:rPr>
      </w:pPr>
    </w:p>
    <w:p w14:paraId="1471693C" w14:textId="278691AE" w:rsidR="00DA1A6E" w:rsidRPr="0001372C" w:rsidRDefault="006D4988" w:rsidP="00DA1A6E">
      <w:pPr>
        <w:pStyle w:val="PlainText"/>
        <w:jc w:val="both"/>
        <w:rPr>
          <w:rFonts w:ascii="Times New Roman" w:hAnsi="Times New Roman" w:cs="Times New Roman"/>
          <w:sz w:val="28"/>
          <w:szCs w:val="28"/>
        </w:rPr>
      </w:pPr>
      <w:r w:rsidRPr="0001372C">
        <w:rPr>
          <w:rFonts w:ascii="Times New Roman" w:hAnsi="Times New Roman" w:cs="Times New Roman"/>
          <w:sz w:val="28"/>
          <w:szCs w:val="28"/>
        </w:rPr>
        <w:t>On the contrary, p</w:t>
      </w:r>
      <w:r w:rsidR="00DA1A6E" w:rsidRPr="0001372C">
        <w:rPr>
          <w:rFonts w:ascii="Times New Roman" w:hAnsi="Times New Roman" w:cs="Times New Roman"/>
          <w:sz w:val="28"/>
          <w:szCs w:val="28"/>
        </w:rPr>
        <w:t xml:space="preserve">er capita </w:t>
      </w:r>
      <w:r w:rsidR="001F4B60" w:rsidRPr="0001372C">
        <w:rPr>
          <w:rFonts w:ascii="Times New Roman" w:hAnsi="Times New Roman" w:cs="Times New Roman"/>
          <w:sz w:val="28"/>
          <w:szCs w:val="28"/>
        </w:rPr>
        <w:t xml:space="preserve">food supply </w:t>
      </w:r>
      <w:r w:rsidR="00F42399" w:rsidRPr="0001372C">
        <w:rPr>
          <w:rFonts w:ascii="Times New Roman" w:hAnsi="Times New Roman" w:cs="Times New Roman"/>
          <w:sz w:val="28"/>
          <w:szCs w:val="28"/>
        </w:rPr>
        <w:t xml:space="preserve">for human consumption </w:t>
      </w:r>
      <w:r w:rsidR="00A01D5B" w:rsidRPr="0001372C">
        <w:rPr>
          <w:rFonts w:ascii="Times New Roman" w:hAnsi="Times New Roman" w:cs="Times New Roman"/>
          <w:sz w:val="28"/>
          <w:szCs w:val="28"/>
        </w:rPr>
        <w:t xml:space="preserve">and per capita food consumption </w:t>
      </w:r>
      <w:r w:rsidR="00297376" w:rsidRPr="0001372C">
        <w:rPr>
          <w:rFonts w:ascii="Times New Roman" w:hAnsi="Times New Roman" w:cs="Times New Roman"/>
          <w:sz w:val="28"/>
          <w:szCs w:val="28"/>
        </w:rPr>
        <w:t xml:space="preserve">assessed through surveys </w:t>
      </w:r>
      <w:r w:rsidR="001F4B60" w:rsidRPr="0001372C">
        <w:rPr>
          <w:rFonts w:ascii="Times New Roman" w:hAnsi="Times New Roman" w:cs="Times New Roman"/>
          <w:sz w:val="28"/>
          <w:szCs w:val="28"/>
        </w:rPr>
        <w:t xml:space="preserve">at household level </w:t>
      </w:r>
      <w:r w:rsidR="00B477CA" w:rsidRPr="0001372C">
        <w:rPr>
          <w:rFonts w:ascii="Times New Roman" w:hAnsi="Times New Roman" w:cs="Times New Roman"/>
          <w:sz w:val="28"/>
          <w:szCs w:val="28"/>
        </w:rPr>
        <w:t>may provide information on its distribution within the countries (in terms of geographical areas or socio-economic groups) and on its distribution according to seasons</w:t>
      </w:r>
      <w:r w:rsidRPr="0001372C">
        <w:rPr>
          <w:rFonts w:ascii="Times New Roman" w:hAnsi="Times New Roman" w:cs="Times New Roman"/>
          <w:sz w:val="28"/>
          <w:szCs w:val="28"/>
        </w:rPr>
        <w:t>. However, it</w:t>
      </w:r>
      <w:r w:rsidR="00B477CA" w:rsidRPr="0001372C">
        <w:rPr>
          <w:rFonts w:ascii="Times New Roman" w:hAnsi="Times New Roman" w:cs="Times New Roman"/>
          <w:sz w:val="28"/>
          <w:szCs w:val="28"/>
        </w:rPr>
        <w:t xml:space="preserve"> </w:t>
      </w:r>
      <w:r w:rsidR="001F4B60" w:rsidRPr="0001372C">
        <w:rPr>
          <w:rFonts w:ascii="Times New Roman" w:hAnsi="Times New Roman" w:cs="Times New Roman"/>
          <w:sz w:val="28"/>
          <w:szCs w:val="28"/>
        </w:rPr>
        <w:t>provide</w:t>
      </w:r>
      <w:r w:rsidR="00790E9E" w:rsidRPr="0001372C">
        <w:rPr>
          <w:rFonts w:ascii="Times New Roman" w:hAnsi="Times New Roman" w:cs="Times New Roman"/>
          <w:sz w:val="28"/>
          <w:szCs w:val="28"/>
        </w:rPr>
        <w:t>s</w:t>
      </w:r>
      <w:r w:rsidR="001F4B60" w:rsidRPr="0001372C">
        <w:rPr>
          <w:rFonts w:ascii="Times New Roman" w:hAnsi="Times New Roman" w:cs="Times New Roman"/>
          <w:sz w:val="28"/>
          <w:szCs w:val="28"/>
        </w:rPr>
        <w:t xml:space="preserve"> no information on its</w:t>
      </w:r>
      <w:r w:rsidR="00790E9E" w:rsidRPr="0001372C">
        <w:rPr>
          <w:rFonts w:ascii="Times New Roman" w:hAnsi="Times New Roman" w:cs="Times New Roman"/>
          <w:sz w:val="28"/>
          <w:szCs w:val="28"/>
        </w:rPr>
        <w:t xml:space="preserve"> </w:t>
      </w:r>
      <w:r w:rsidR="001F4B60" w:rsidRPr="0001372C">
        <w:rPr>
          <w:rFonts w:ascii="Times New Roman" w:hAnsi="Times New Roman" w:cs="Times New Roman"/>
          <w:sz w:val="28"/>
          <w:szCs w:val="28"/>
        </w:rPr>
        <w:t xml:space="preserve">distribution </w:t>
      </w:r>
      <w:r w:rsidRPr="0001372C">
        <w:rPr>
          <w:rFonts w:ascii="Times New Roman" w:hAnsi="Times New Roman" w:cs="Times New Roman"/>
          <w:sz w:val="28"/>
          <w:szCs w:val="28"/>
        </w:rPr>
        <w:t xml:space="preserve">within the household </w:t>
      </w:r>
      <w:r w:rsidR="001F4B60" w:rsidRPr="0001372C">
        <w:rPr>
          <w:rFonts w:ascii="Times New Roman" w:hAnsi="Times New Roman" w:cs="Times New Roman"/>
          <w:sz w:val="28"/>
          <w:szCs w:val="28"/>
        </w:rPr>
        <w:t>according to individual characteristi</w:t>
      </w:r>
      <w:r w:rsidR="00790E9E" w:rsidRPr="0001372C">
        <w:rPr>
          <w:rFonts w:ascii="Times New Roman" w:hAnsi="Times New Roman" w:cs="Times New Roman"/>
          <w:sz w:val="28"/>
          <w:szCs w:val="28"/>
        </w:rPr>
        <w:t>c</w:t>
      </w:r>
      <w:r w:rsidR="001F4B60" w:rsidRPr="0001372C">
        <w:rPr>
          <w:rFonts w:ascii="Times New Roman" w:hAnsi="Times New Roman" w:cs="Times New Roman"/>
          <w:sz w:val="28"/>
          <w:szCs w:val="28"/>
        </w:rPr>
        <w:t xml:space="preserve">s </w:t>
      </w:r>
      <w:r w:rsidR="00297376" w:rsidRPr="0001372C">
        <w:rPr>
          <w:rFonts w:ascii="Times New Roman" w:hAnsi="Times New Roman" w:cs="Times New Roman"/>
          <w:sz w:val="28"/>
          <w:szCs w:val="28"/>
        </w:rPr>
        <w:t xml:space="preserve">which determine </w:t>
      </w:r>
      <w:r w:rsidR="00790E9E" w:rsidRPr="0001372C">
        <w:rPr>
          <w:rFonts w:ascii="Times New Roman" w:hAnsi="Times New Roman" w:cs="Times New Roman"/>
          <w:sz w:val="28"/>
          <w:szCs w:val="28"/>
        </w:rPr>
        <w:t>nutrient needs</w:t>
      </w:r>
      <w:r w:rsidRPr="0001372C">
        <w:rPr>
          <w:rFonts w:ascii="Times New Roman" w:hAnsi="Times New Roman" w:cs="Times New Roman"/>
          <w:sz w:val="28"/>
          <w:szCs w:val="28"/>
        </w:rPr>
        <w:t xml:space="preserve"> (</w:t>
      </w:r>
      <w:r w:rsidR="001F4B60" w:rsidRPr="0001372C">
        <w:rPr>
          <w:rFonts w:ascii="Times New Roman" w:hAnsi="Times New Roman" w:cs="Times New Roman"/>
          <w:sz w:val="28"/>
          <w:szCs w:val="28"/>
        </w:rPr>
        <w:t>typically age, sex</w:t>
      </w:r>
      <w:r w:rsidR="00F87FE2" w:rsidRPr="0001372C">
        <w:rPr>
          <w:rFonts w:ascii="Times New Roman" w:hAnsi="Times New Roman" w:cs="Times New Roman"/>
          <w:sz w:val="28"/>
          <w:szCs w:val="28"/>
        </w:rPr>
        <w:t xml:space="preserve">, body weight, physical activity level </w:t>
      </w:r>
      <w:r w:rsidR="001F4B60" w:rsidRPr="0001372C">
        <w:rPr>
          <w:rFonts w:ascii="Times New Roman" w:hAnsi="Times New Roman" w:cs="Times New Roman"/>
          <w:sz w:val="28"/>
          <w:szCs w:val="28"/>
        </w:rPr>
        <w:t>and physiological status)</w:t>
      </w:r>
      <w:r w:rsidR="00DA1A6E" w:rsidRPr="0001372C">
        <w:rPr>
          <w:rFonts w:ascii="Times New Roman" w:hAnsi="Times New Roman" w:cs="Times New Roman"/>
          <w:sz w:val="28"/>
          <w:szCs w:val="28"/>
        </w:rPr>
        <w:t xml:space="preserve">. </w:t>
      </w:r>
    </w:p>
    <w:p w14:paraId="67685DF7" w14:textId="29E9CBCF" w:rsidR="00FC0518" w:rsidRPr="0001372C" w:rsidRDefault="00FC0518" w:rsidP="00DA1A6E">
      <w:pPr>
        <w:pStyle w:val="PlainText"/>
        <w:jc w:val="both"/>
        <w:rPr>
          <w:rFonts w:ascii="Times New Roman" w:hAnsi="Times New Roman" w:cs="Times New Roman"/>
          <w:sz w:val="28"/>
          <w:szCs w:val="28"/>
        </w:rPr>
      </w:pPr>
    </w:p>
    <w:p w14:paraId="5CC7B046" w14:textId="50E1FB00" w:rsidR="00EB0AB7" w:rsidRPr="0001372C" w:rsidRDefault="00B477CA" w:rsidP="00463A77">
      <w:pPr>
        <w:pStyle w:val="PlainText"/>
        <w:jc w:val="both"/>
        <w:rPr>
          <w:rFonts w:ascii="Times New Roman" w:hAnsi="Times New Roman" w:cs="Times New Roman"/>
          <w:sz w:val="28"/>
          <w:szCs w:val="28"/>
        </w:rPr>
      </w:pPr>
      <w:r w:rsidRPr="0001372C">
        <w:rPr>
          <w:rFonts w:ascii="Times New Roman" w:hAnsi="Times New Roman" w:cs="Times New Roman"/>
          <w:sz w:val="28"/>
          <w:szCs w:val="28"/>
        </w:rPr>
        <w:t>Contrary to previous editions, i</w:t>
      </w:r>
      <w:r w:rsidR="00C06E33" w:rsidRPr="0001372C">
        <w:rPr>
          <w:rFonts w:ascii="Times New Roman" w:hAnsi="Times New Roman" w:cs="Times New Roman"/>
          <w:sz w:val="28"/>
          <w:szCs w:val="28"/>
        </w:rPr>
        <w:t xml:space="preserve">n this </w:t>
      </w:r>
      <w:r w:rsidR="00D01DD3" w:rsidRPr="0001372C">
        <w:rPr>
          <w:rFonts w:ascii="Times New Roman" w:hAnsi="Times New Roman" w:cs="Times New Roman"/>
          <w:sz w:val="28"/>
          <w:szCs w:val="28"/>
        </w:rPr>
        <w:t>3rd edition of "R.S. Gibson: Principles of Nutritional Assessment"</w:t>
      </w:r>
      <w:r w:rsidR="00332752" w:rsidRPr="0001372C">
        <w:rPr>
          <w:rFonts w:ascii="Times New Roman" w:hAnsi="Times New Roman" w:cs="Times New Roman"/>
          <w:sz w:val="28"/>
          <w:szCs w:val="28"/>
        </w:rPr>
        <w:t xml:space="preserve">, </w:t>
      </w:r>
      <w:r w:rsidR="00C06E33" w:rsidRPr="0001372C">
        <w:rPr>
          <w:rFonts w:ascii="Times New Roman" w:hAnsi="Times New Roman" w:cs="Times New Roman"/>
          <w:sz w:val="28"/>
          <w:szCs w:val="28"/>
        </w:rPr>
        <w:t xml:space="preserve">methods which are </w:t>
      </w:r>
      <w:r w:rsidR="00EB0AB7" w:rsidRPr="0001372C">
        <w:rPr>
          <w:rFonts w:ascii="Times New Roman" w:hAnsi="Times New Roman" w:cs="Times New Roman"/>
          <w:sz w:val="28"/>
          <w:szCs w:val="28"/>
        </w:rPr>
        <w:t xml:space="preserve">designed to estimate the exposure to hazardous substances </w:t>
      </w:r>
      <w:r w:rsidR="00332752" w:rsidRPr="0001372C">
        <w:rPr>
          <w:rFonts w:ascii="Times New Roman" w:hAnsi="Times New Roman" w:cs="Times New Roman"/>
          <w:sz w:val="28"/>
          <w:szCs w:val="28"/>
        </w:rPr>
        <w:t xml:space="preserve">or the intake of nutrients </w:t>
      </w:r>
      <w:r w:rsidR="004F442B" w:rsidRPr="0001372C">
        <w:rPr>
          <w:rFonts w:ascii="Times New Roman" w:hAnsi="Times New Roman" w:cs="Times New Roman"/>
          <w:sz w:val="28"/>
          <w:szCs w:val="28"/>
        </w:rPr>
        <w:t>through</w:t>
      </w:r>
      <w:r w:rsidR="00332752" w:rsidRPr="0001372C">
        <w:rPr>
          <w:rFonts w:ascii="Times New Roman" w:hAnsi="Times New Roman" w:cs="Times New Roman"/>
          <w:sz w:val="28"/>
          <w:szCs w:val="28"/>
        </w:rPr>
        <w:t xml:space="preserve"> chemical analysis are not considered, even</w:t>
      </w:r>
      <w:r w:rsidR="003F2ACC" w:rsidRPr="0001372C">
        <w:rPr>
          <w:rFonts w:ascii="Times New Roman" w:hAnsi="Times New Roman" w:cs="Times New Roman"/>
          <w:sz w:val="28"/>
          <w:szCs w:val="28"/>
        </w:rPr>
        <w:t xml:space="preserve"> </w:t>
      </w:r>
      <w:r w:rsidR="00332752" w:rsidRPr="0001372C">
        <w:rPr>
          <w:rFonts w:ascii="Times New Roman" w:hAnsi="Times New Roman" w:cs="Times New Roman"/>
          <w:sz w:val="28"/>
          <w:szCs w:val="28"/>
        </w:rPr>
        <w:t xml:space="preserve">though they are sometimes </w:t>
      </w:r>
      <w:r w:rsidR="003F2ACC" w:rsidRPr="0001372C">
        <w:rPr>
          <w:rFonts w:ascii="Times New Roman" w:hAnsi="Times New Roman" w:cs="Times New Roman"/>
          <w:sz w:val="28"/>
          <w:szCs w:val="28"/>
        </w:rPr>
        <w:t>based on</w:t>
      </w:r>
      <w:r w:rsidR="00FC0518" w:rsidRPr="0001372C">
        <w:rPr>
          <w:rFonts w:ascii="Times New Roman" w:hAnsi="Times New Roman" w:cs="Times New Roman"/>
          <w:sz w:val="28"/>
          <w:szCs w:val="28"/>
        </w:rPr>
        <w:t xml:space="preserve"> food supply at </w:t>
      </w:r>
      <w:r w:rsidR="003F2ACC" w:rsidRPr="0001372C">
        <w:rPr>
          <w:rFonts w:ascii="Times New Roman" w:hAnsi="Times New Roman" w:cs="Times New Roman"/>
          <w:sz w:val="28"/>
          <w:szCs w:val="28"/>
        </w:rPr>
        <w:t xml:space="preserve">household </w:t>
      </w:r>
      <w:r w:rsidR="00FC0518" w:rsidRPr="0001372C">
        <w:rPr>
          <w:rFonts w:ascii="Times New Roman" w:hAnsi="Times New Roman" w:cs="Times New Roman"/>
          <w:sz w:val="28"/>
          <w:szCs w:val="28"/>
        </w:rPr>
        <w:t>level</w:t>
      </w:r>
      <w:r w:rsidR="003F2ACC" w:rsidRPr="0001372C">
        <w:rPr>
          <w:rFonts w:ascii="Times New Roman" w:hAnsi="Times New Roman" w:cs="Times New Roman"/>
          <w:sz w:val="28"/>
          <w:szCs w:val="28"/>
        </w:rPr>
        <w:t xml:space="preserve">. It is the case of some </w:t>
      </w:r>
      <w:r w:rsidR="00C06E33" w:rsidRPr="0001372C">
        <w:rPr>
          <w:rFonts w:ascii="Times New Roman" w:hAnsi="Times New Roman" w:cs="Times New Roman"/>
          <w:sz w:val="28"/>
          <w:szCs w:val="28"/>
        </w:rPr>
        <w:t>Total Diet Studies</w:t>
      </w:r>
      <w:r w:rsidR="003F2ACC" w:rsidRPr="0001372C">
        <w:rPr>
          <w:rFonts w:ascii="Times New Roman" w:hAnsi="Times New Roman" w:cs="Times New Roman"/>
          <w:sz w:val="28"/>
          <w:szCs w:val="28"/>
        </w:rPr>
        <w:t xml:space="preserve"> based on m</w:t>
      </w:r>
      <w:r w:rsidR="00C06E33" w:rsidRPr="0001372C">
        <w:rPr>
          <w:rFonts w:ascii="Times New Roman" w:hAnsi="Times New Roman" w:cs="Times New Roman"/>
          <w:sz w:val="28"/>
          <w:szCs w:val="28"/>
        </w:rPr>
        <w:t>arket basket studies.</w:t>
      </w:r>
      <w:r w:rsidR="00F87FE2" w:rsidRPr="0001372C">
        <w:rPr>
          <w:rFonts w:ascii="Times New Roman" w:hAnsi="Times New Roman" w:cs="Times New Roman"/>
          <w:sz w:val="28"/>
          <w:szCs w:val="28"/>
        </w:rPr>
        <w:t xml:space="preserve"> Similarly, methods suitable for qualitative assessment such as food frequency or food diversity or any other instruments aimed to capture only part of the food </w:t>
      </w:r>
      <w:r w:rsidR="00F87FE2" w:rsidRPr="0001372C">
        <w:rPr>
          <w:rFonts w:ascii="Times New Roman" w:hAnsi="Times New Roman" w:cs="Times New Roman"/>
          <w:sz w:val="28"/>
          <w:szCs w:val="28"/>
        </w:rPr>
        <w:lastRenderedPageBreak/>
        <w:t>available f</w:t>
      </w:r>
      <w:r w:rsidR="00BE1E9F" w:rsidRPr="0001372C">
        <w:rPr>
          <w:rFonts w:ascii="Times New Roman" w:hAnsi="Times New Roman" w:cs="Times New Roman"/>
          <w:sz w:val="28"/>
          <w:szCs w:val="28"/>
        </w:rPr>
        <w:t>or</w:t>
      </w:r>
      <w:r w:rsidR="00F87FE2" w:rsidRPr="0001372C">
        <w:rPr>
          <w:rFonts w:ascii="Times New Roman" w:hAnsi="Times New Roman" w:cs="Times New Roman"/>
          <w:sz w:val="28"/>
          <w:szCs w:val="28"/>
        </w:rPr>
        <w:t xml:space="preserve"> consumption such as methods using the Universal Product Codes (UPCs) approach are not </w:t>
      </w:r>
      <w:r w:rsidR="00BE1E9F" w:rsidRPr="0001372C">
        <w:rPr>
          <w:rFonts w:ascii="Times New Roman" w:hAnsi="Times New Roman" w:cs="Times New Roman"/>
          <w:sz w:val="28"/>
          <w:szCs w:val="28"/>
        </w:rPr>
        <w:t>considered neither in this chapter</w:t>
      </w:r>
      <w:r w:rsidR="00F87FE2" w:rsidRPr="0001372C">
        <w:rPr>
          <w:rFonts w:ascii="Times New Roman" w:hAnsi="Times New Roman" w:cs="Times New Roman"/>
          <w:sz w:val="28"/>
          <w:szCs w:val="28"/>
        </w:rPr>
        <w:t>.</w:t>
      </w:r>
    </w:p>
    <w:p w14:paraId="59FE010E" w14:textId="77777777" w:rsidR="00AE4358" w:rsidRPr="0001372C" w:rsidRDefault="00AE4358" w:rsidP="007C1A52">
      <w:pPr>
        <w:pStyle w:val="PlainText"/>
        <w:jc w:val="both"/>
        <w:rPr>
          <w:rFonts w:ascii="Times New Roman" w:hAnsi="Times New Roman" w:cs="Times New Roman"/>
          <w:sz w:val="28"/>
          <w:szCs w:val="28"/>
        </w:rPr>
      </w:pPr>
    </w:p>
    <w:p w14:paraId="62B7F1CB" w14:textId="0C3DE37E" w:rsidR="007B5C0C" w:rsidRPr="0001372C" w:rsidRDefault="00AE4358" w:rsidP="00156833">
      <w:pPr>
        <w:pStyle w:val="PlainText"/>
        <w:rPr>
          <w:rFonts w:ascii="Times New Roman" w:hAnsi="Times New Roman" w:cs="Times New Roman"/>
          <w:sz w:val="28"/>
          <w:szCs w:val="28"/>
        </w:rPr>
      </w:pPr>
      <w:r w:rsidRPr="0001372C">
        <w:rPr>
          <w:rFonts w:ascii="Times New Roman" w:hAnsi="Times New Roman" w:cs="Times New Roman"/>
          <w:b/>
          <w:bCs/>
          <w:sz w:val="28"/>
          <w:szCs w:val="28"/>
        </w:rPr>
        <w:t xml:space="preserve">2.1 </w:t>
      </w:r>
      <w:r w:rsidR="003D0185" w:rsidRPr="0001372C">
        <w:rPr>
          <w:rFonts w:ascii="Times New Roman" w:hAnsi="Times New Roman" w:cs="Times New Roman"/>
          <w:b/>
          <w:bCs/>
          <w:sz w:val="28"/>
          <w:szCs w:val="28"/>
        </w:rPr>
        <w:t xml:space="preserve">Measurement of food available for consumption </w:t>
      </w:r>
      <w:r w:rsidR="00CF3F6D" w:rsidRPr="0001372C">
        <w:rPr>
          <w:rFonts w:ascii="Times New Roman" w:hAnsi="Times New Roman" w:cs="Times New Roman"/>
          <w:b/>
          <w:bCs/>
          <w:sz w:val="28"/>
          <w:szCs w:val="28"/>
        </w:rPr>
        <w:t>a</w:t>
      </w:r>
      <w:r w:rsidR="003D0185" w:rsidRPr="0001372C">
        <w:rPr>
          <w:rFonts w:ascii="Times New Roman" w:hAnsi="Times New Roman" w:cs="Times New Roman"/>
          <w:b/>
          <w:bCs/>
          <w:sz w:val="28"/>
          <w:szCs w:val="28"/>
        </w:rPr>
        <w:t>t the national level: Food balance sheets (FBSs)</w:t>
      </w:r>
    </w:p>
    <w:p w14:paraId="124366A0" w14:textId="3EC4C651" w:rsidR="00AE476F" w:rsidRPr="0001372C" w:rsidRDefault="00AE476F" w:rsidP="00AE4358">
      <w:pPr>
        <w:pStyle w:val="PlainText"/>
        <w:rPr>
          <w:rFonts w:ascii="Times New Roman" w:hAnsi="Times New Roman" w:cs="Times New Roman"/>
          <w:sz w:val="28"/>
          <w:szCs w:val="28"/>
        </w:rPr>
      </w:pPr>
    </w:p>
    <w:p w14:paraId="6D9F7EB8" w14:textId="0FDC5EC1" w:rsidR="00100A63" w:rsidRPr="0001372C" w:rsidRDefault="00480E6F" w:rsidP="00BD331B">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This source of information is particularly precious for countries where household food consumption surveys and individual food consumption surveys are not performed regularly on a representative sample of the population. It is the case for some low-income countries. </w:t>
      </w:r>
    </w:p>
    <w:p w14:paraId="5031D1E3" w14:textId="1CA26CB2" w:rsidR="00100A63" w:rsidRPr="0001372C" w:rsidRDefault="00100A63" w:rsidP="00463A77">
      <w:pPr>
        <w:pStyle w:val="PlainText"/>
        <w:jc w:val="both"/>
        <w:rPr>
          <w:rFonts w:ascii="Times New Roman" w:hAnsi="Times New Roman" w:cs="Times New Roman"/>
          <w:sz w:val="28"/>
          <w:szCs w:val="28"/>
        </w:rPr>
      </w:pPr>
    </w:p>
    <w:p w14:paraId="0F7D406C" w14:textId="6F448F3E" w:rsidR="00312DD3" w:rsidRPr="0001372C" w:rsidRDefault="000B6C7D" w:rsidP="000B6C7D">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Several terms have been used to describe </w:t>
      </w:r>
      <w:r w:rsidR="00626E84" w:rsidRPr="0001372C">
        <w:rPr>
          <w:rFonts w:ascii="Times New Roman" w:hAnsi="Times New Roman" w:cs="Times New Roman"/>
          <w:sz w:val="28"/>
          <w:szCs w:val="28"/>
        </w:rPr>
        <w:t>FBS</w:t>
      </w:r>
      <w:r w:rsidRPr="0001372C">
        <w:rPr>
          <w:rFonts w:ascii="Times New Roman" w:hAnsi="Times New Roman" w:cs="Times New Roman"/>
          <w:sz w:val="28"/>
          <w:szCs w:val="28"/>
        </w:rPr>
        <w:t xml:space="preserve">s. These include </w:t>
      </w:r>
      <w:r w:rsidR="008D2516" w:rsidRPr="0001372C">
        <w:rPr>
          <w:rFonts w:ascii="Times New Roman" w:hAnsi="Times New Roman" w:cs="Times New Roman"/>
          <w:sz w:val="28"/>
          <w:szCs w:val="28"/>
        </w:rPr>
        <w:t xml:space="preserve">“country’s food supply”, </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national food accounts</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food moving into consumption</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food consumption statistics</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food disappearance data</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food available for consumption</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 xml:space="preserve"> and </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consumption level estimates</w:t>
      </w:r>
      <w:r w:rsidR="00BC47DE"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r w:rsidR="007B5992" w:rsidRPr="0001372C">
        <w:rPr>
          <w:rFonts w:ascii="Times New Roman" w:hAnsi="Times New Roman" w:cs="Times New Roman"/>
          <w:sz w:val="28"/>
          <w:szCs w:val="28"/>
        </w:rPr>
        <w:t xml:space="preserve">In this chapter the term “country’s food supply” is being used. </w:t>
      </w:r>
    </w:p>
    <w:p w14:paraId="226173EB" w14:textId="77777777" w:rsidR="00312DD3" w:rsidRPr="0001372C" w:rsidRDefault="00312DD3" w:rsidP="000B6C7D">
      <w:pPr>
        <w:pStyle w:val="PlainText"/>
        <w:jc w:val="both"/>
        <w:rPr>
          <w:rFonts w:ascii="Times New Roman" w:hAnsi="Times New Roman" w:cs="Times New Roman"/>
          <w:sz w:val="28"/>
          <w:szCs w:val="28"/>
        </w:rPr>
      </w:pPr>
    </w:p>
    <w:p w14:paraId="57782F6E" w14:textId="1642517E" w:rsidR="00A7721B" w:rsidRPr="0001372C" w:rsidRDefault="00E35D41" w:rsidP="00100A63">
      <w:pPr>
        <w:pStyle w:val="PlainText"/>
        <w:jc w:val="both"/>
        <w:rPr>
          <w:rFonts w:ascii="Times New Roman" w:hAnsi="Times New Roman" w:cs="Times New Roman"/>
          <w:sz w:val="28"/>
          <w:szCs w:val="28"/>
        </w:rPr>
      </w:pPr>
      <w:r w:rsidRPr="0001372C">
        <w:rPr>
          <w:rFonts w:ascii="Times New Roman" w:hAnsi="Times New Roman" w:cs="Times New Roman"/>
          <w:sz w:val="28"/>
          <w:szCs w:val="28"/>
        </w:rPr>
        <w:t>F</w:t>
      </w:r>
      <w:r w:rsidR="00312DD3" w:rsidRPr="0001372C">
        <w:rPr>
          <w:rFonts w:ascii="Times New Roman" w:hAnsi="Times New Roman" w:cs="Times New Roman"/>
          <w:sz w:val="28"/>
          <w:szCs w:val="28"/>
        </w:rPr>
        <w:t xml:space="preserve">BSs </w:t>
      </w:r>
      <w:r w:rsidRPr="0001372C">
        <w:rPr>
          <w:rFonts w:ascii="Times New Roman" w:hAnsi="Times New Roman" w:cs="Times New Roman"/>
          <w:sz w:val="28"/>
          <w:szCs w:val="28"/>
        </w:rPr>
        <w:t>present a comprehensive picture of the pattern of a country's food supply during a specified reference period</w:t>
      </w:r>
      <w:r w:rsidR="00312DD3" w:rsidRPr="0001372C">
        <w:rPr>
          <w:rFonts w:ascii="Times New Roman" w:hAnsi="Times New Roman" w:cs="Times New Roman"/>
          <w:sz w:val="28"/>
          <w:szCs w:val="28"/>
        </w:rPr>
        <w:t xml:space="preserve">: </w:t>
      </w:r>
      <w:r w:rsidR="00BE0903" w:rsidRPr="0001372C">
        <w:rPr>
          <w:rFonts w:ascii="Times New Roman" w:hAnsi="Times New Roman" w:cs="Times New Roman"/>
          <w:sz w:val="28"/>
          <w:szCs w:val="28"/>
        </w:rPr>
        <w:t>the</w:t>
      </w:r>
      <w:r w:rsidR="00312DD3" w:rsidRPr="0001372C">
        <w:rPr>
          <w:rFonts w:ascii="Times New Roman" w:hAnsi="Times New Roman" w:cs="Times New Roman"/>
          <w:sz w:val="28"/>
          <w:szCs w:val="28"/>
        </w:rPr>
        <w:t xml:space="preserve"> calendar year, the agricultural </w:t>
      </w:r>
      <w:proofErr w:type="gramStart"/>
      <w:r w:rsidR="00312DD3" w:rsidRPr="0001372C">
        <w:rPr>
          <w:rFonts w:ascii="Times New Roman" w:hAnsi="Times New Roman" w:cs="Times New Roman"/>
          <w:sz w:val="28"/>
          <w:szCs w:val="28"/>
        </w:rPr>
        <w:t>year</w:t>
      </w:r>
      <w:proofErr w:type="gramEnd"/>
      <w:r w:rsidR="00312DD3" w:rsidRPr="0001372C">
        <w:rPr>
          <w:rFonts w:ascii="Times New Roman" w:hAnsi="Times New Roman" w:cs="Times New Roman"/>
          <w:sz w:val="28"/>
          <w:szCs w:val="28"/>
        </w:rPr>
        <w:t xml:space="preserve"> or the crop year (FAO, 2021c)</w:t>
      </w:r>
      <w:r w:rsidRPr="0001372C">
        <w:rPr>
          <w:rFonts w:ascii="Times New Roman" w:hAnsi="Times New Roman" w:cs="Times New Roman"/>
          <w:sz w:val="28"/>
          <w:szCs w:val="28"/>
        </w:rPr>
        <w:t xml:space="preserve">. </w:t>
      </w:r>
      <w:r w:rsidR="006B19C7" w:rsidRPr="0001372C">
        <w:rPr>
          <w:rFonts w:ascii="Times New Roman" w:hAnsi="Times New Roman" w:cs="Times New Roman"/>
          <w:sz w:val="28"/>
          <w:szCs w:val="28"/>
        </w:rPr>
        <w:t>The sources of supply and its utilization are reported f</w:t>
      </w:r>
      <w:r w:rsidRPr="0001372C">
        <w:rPr>
          <w:rFonts w:ascii="Times New Roman" w:hAnsi="Times New Roman" w:cs="Times New Roman"/>
          <w:sz w:val="28"/>
          <w:szCs w:val="28"/>
        </w:rPr>
        <w:t xml:space="preserve">or each food item </w:t>
      </w:r>
      <w:r w:rsidR="006B19C7" w:rsidRPr="0001372C">
        <w:rPr>
          <w:rFonts w:ascii="Times New Roman" w:hAnsi="Times New Roman" w:cs="Times New Roman"/>
          <w:sz w:val="28"/>
          <w:szCs w:val="28"/>
        </w:rPr>
        <w:t>potentially available for human consumption</w:t>
      </w:r>
      <w:r w:rsidR="00BE0903" w:rsidRPr="0001372C">
        <w:rPr>
          <w:rFonts w:ascii="Times New Roman" w:hAnsi="Times New Roman" w:cs="Times New Roman"/>
          <w:sz w:val="28"/>
          <w:szCs w:val="28"/>
        </w:rPr>
        <w:t xml:space="preserve">: </w:t>
      </w:r>
      <w:r w:rsidRPr="0001372C">
        <w:rPr>
          <w:rFonts w:ascii="Times New Roman" w:hAnsi="Times New Roman" w:cs="Times New Roman"/>
          <w:sz w:val="28"/>
          <w:szCs w:val="28"/>
        </w:rPr>
        <w:t>primary commodit</w:t>
      </w:r>
      <w:r w:rsidR="006B19C7" w:rsidRPr="0001372C">
        <w:rPr>
          <w:rFonts w:ascii="Times New Roman" w:hAnsi="Times New Roman" w:cs="Times New Roman"/>
          <w:sz w:val="28"/>
          <w:szCs w:val="28"/>
        </w:rPr>
        <w:t>ies</w:t>
      </w:r>
      <w:r w:rsidRPr="0001372C">
        <w:rPr>
          <w:rFonts w:ascii="Times New Roman" w:hAnsi="Times New Roman" w:cs="Times New Roman"/>
          <w:sz w:val="28"/>
          <w:szCs w:val="28"/>
        </w:rPr>
        <w:t xml:space="preserve"> </w:t>
      </w:r>
      <w:r w:rsidR="00AB75DA" w:rsidRPr="0001372C">
        <w:rPr>
          <w:rFonts w:ascii="Times New Roman" w:hAnsi="Times New Roman" w:cs="Times New Roman"/>
          <w:sz w:val="28"/>
          <w:szCs w:val="28"/>
        </w:rPr>
        <w:t>such as “soy</w:t>
      </w:r>
      <w:r w:rsidR="00D0059D" w:rsidRPr="0001372C">
        <w:rPr>
          <w:rFonts w:ascii="Times New Roman" w:hAnsi="Times New Roman" w:cs="Times New Roman"/>
          <w:sz w:val="28"/>
          <w:szCs w:val="28"/>
        </w:rPr>
        <w:t>beans</w:t>
      </w:r>
      <w:r w:rsidR="00AB75DA" w:rsidRPr="0001372C">
        <w:rPr>
          <w:rFonts w:ascii="Times New Roman" w:hAnsi="Times New Roman" w:cs="Times New Roman"/>
          <w:sz w:val="28"/>
          <w:szCs w:val="28"/>
        </w:rPr>
        <w:t xml:space="preserve">” </w:t>
      </w:r>
      <w:r w:rsidRPr="0001372C">
        <w:rPr>
          <w:rFonts w:ascii="Times New Roman" w:hAnsi="Times New Roman" w:cs="Times New Roman"/>
          <w:sz w:val="28"/>
          <w:szCs w:val="28"/>
        </w:rPr>
        <w:t>and processed commodities</w:t>
      </w:r>
      <w:r w:rsidR="00AB75DA" w:rsidRPr="0001372C">
        <w:rPr>
          <w:rFonts w:ascii="Times New Roman" w:hAnsi="Times New Roman" w:cs="Times New Roman"/>
          <w:sz w:val="28"/>
          <w:szCs w:val="28"/>
        </w:rPr>
        <w:t xml:space="preserve"> such as “</w:t>
      </w:r>
      <w:r w:rsidR="00D0059D" w:rsidRPr="0001372C">
        <w:rPr>
          <w:rFonts w:ascii="Times New Roman" w:hAnsi="Times New Roman" w:cs="Times New Roman"/>
          <w:sz w:val="28"/>
          <w:szCs w:val="28"/>
        </w:rPr>
        <w:t>oil of soyabeans</w:t>
      </w:r>
      <w:r w:rsidR="00AB75DA"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p>
    <w:p w14:paraId="484214FD" w14:textId="77777777" w:rsidR="00A7721B" w:rsidRPr="0001372C" w:rsidRDefault="00A7721B" w:rsidP="00100A63">
      <w:pPr>
        <w:pStyle w:val="PlainText"/>
        <w:jc w:val="both"/>
        <w:rPr>
          <w:rFonts w:ascii="Times New Roman" w:hAnsi="Times New Roman" w:cs="Times New Roman"/>
          <w:sz w:val="28"/>
          <w:szCs w:val="28"/>
        </w:rPr>
      </w:pPr>
    </w:p>
    <w:p w14:paraId="5F3D3BA5" w14:textId="18584521" w:rsidR="00A7721B" w:rsidRPr="0001372C" w:rsidRDefault="00FF467E" w:rsidP="00A7721B">
      <w:pPr>
        <w:pStyle w:val="PlainText"/>
        <w:jc w:val="both"/>
        <w:rPr>
          <w:rFonts w:ascii="Times New Roman" w:hAnsi="Times New Roman" w:cs="Times New Roman"/>
          <w:sz w:val="28"/>
          <w:szCs w:val="28"/>
        </w:rPr>
      </w:pPr>
      <w:r w:rsidRPr="0001372C">
        <w:rPr>
          <w:rFonts w:ascii="Times New Roman" w:hAnsi="Times New Roman" w:cs="Times New Roman"/>
          <w:sz w:val="28"/>
          <w:szCs w:val="28"/>
        </w:rPr>
        <w:t>T</w:t>
      </w:r>
      <w:r w:rsidR="00A7721B" w:rsidRPr="0001372C">
        <w:rPr>
          <w:rFonts w:ascii="Times New Roman" w:hAnsi="Times New Roman" w:cs="Times New Roman"/>
          <w:sz w:val="28"/>
          <w:szCs w:val="28"/>
        </w:rPr>
        <w:t xml:space="preserve">he </w:t>
      </w:r>
      <w:r w:rsidR="007B5992" w:rsidRPr="0001372C">
        <w:rPr>
          <w:rFonts w:ascii="Times New Roman" w:hAnsi="Times New Roman" w:cs="Times New Roman"/>
          <w:sz w:val="28"/>
          <w:szCs w:val="28"/>
        </w:rPr>
        <w:t xml:space="preserve">country’s </w:t>
      </w:r>
      <w:r w:rsidR="00A7721B" w:rsidRPr="0001372C">
        <w:rPr>
          <w:rFonts w:ascii="Times New Roman" w:hAnsi="Times New Roman" w:cs="Times New Roman"/>
          <w:sz w:val="28"/>
          <w:szCs w:val="28"/>
        </w:rPr>
        <w:t xml:space="preserve">food supply is calculated from national food production plus imports </w:t>
      </w:r>
      <w:r w:rsidR="007B5992" w:rsidRPr="0001372C">
        <w:rPr>
          <w:rFonts w:ascii="Times New Roman" w:hAnsi="Times New Roman" w:cs="Times New Roman"/>
          <w:sz w:val="28"/>
          <w:szCs w:val="28"/>
        </w:rPr>
        <w:t>plus</w:t>
      </w:r>
      <w:r w:rsidR="00A7721B" w:rsidRPr="0001372C">
        <w:rPr>
          <w:rFonts w:ascii="Times New Roman" w:hAnsi="Times New Roman" w:cs="Times New Roman"/>
          <w:sz w:val="28"/>
          <w:szCs w:val="28"/>
        </w:rPr>
        <w:t xml:space="preserve"> food taken from stocks. Exports and food added to stocks are then subtracted, to obtain an estimate of gross </w:t>
      </w:r>
      <w:r w:rsidR="007B5992" w:rsidRPr="0001372C">
        <w:rPr>
          <w:rFonts w:ascii="Times New Roman" w:hAnsi="Times New Roman" w:cs="Times New Roman"/>
          <w:sz w:val="28"/>
          <w:szCs w:val="28"/>
        </w:rPr>
        <w:t xml:space="preserve">country’s </w:t>
      </w:r>
      <w:r w:rsidR="00A7721B" w:rsidRPr="0001372C">
        <w:rPr>
          <w:rFonts w:ascii="Times New Roman" w:hAnsi="Times New Roman" w:cs="Times New Roman"/>
          <w:sz w:val="28"/>
          <w:szCs w:val="28"/>
        </w:rPr>
        <w:t>food supply</w:t>
      </w:r>
      <w:r w:rsidR="007B5992" w:rsidRPr="0001372C">
        <w:rPr>
          <w:rFonts w:ascii="Times New Roman" w:hAnsi="Times New Roman" w:cs="Times New Roman"/>
          <w:sz w:val="28"/>
          <w:szCs w:val="28"/>
        </w:rPr>
        <w:t>.</w:t>
      </w:r>
      <w:r w:rsidR="00A7721B" w:rsidRPr="0001372C">
        <w:rPr>
          <w:rFonts w:ascii="Times New Roman" w:hAnsi="Times New Roman" w:cs="Times New Roman"/>
          <w:sz w:val="28"/>
          <w:szCs w:val="28"/>
        </w:rPr>
        <w:t xml:space="preserve"> The estimate of </w:t>
      </w:r>
      <w:r w:rsidR="00713CF0" w:rsidRPr="0001372C">
        <w:rPr>
          <w:rFonts w:ascii="Times New Roman" w:hAnsi="Times New Roman" w:cs="Times New Roman"/>
          <w:sz w:val="28"/>
          <w:szCs w:val="28"/>
        </w:rPr>
        <w:t xml:space="preserve">food </w:t>
      </w:r>
      <w:r w:rsidR="00A7721B" w:rsidRPr="0001372C">
        <w:rPr>
          <w:rFonts w:ascii="Times New Roman" w:hAnsi="Times New Roman" w:cs="Times New Roman"/>
          <w:sz w:val="28"/>
          <w:szCs w:val="28"/>
        </w:rPr>
        <w:t>diverted for non-human uses</w:t>
      </w:r>
      <w:r w:rsidR="0086674B" w:rsidRPr="0001372C">
        <w:rPr>
          <w:rFonts w:ascii="Times New Roman" w:hAnsi="Times New Roman" w:cs="Times New Roman"/>
          <w:sz w:val="28"/>
          <w:szCs w:val="28"/>
        </w:rPr>
        <w:t xml:space="preserve"> (</w:t>
      </w:r>
      <w:proofErr w:type="gramStart"/>
      <w:r w:rsidR="0086674B" w:rsidRPr="0001372C">
        <w:rPr>
          <w:rFonts w:ascii="Times New Roman" w:hAnsi="Times New Roman" w:cs="Times New Roman"/>
          <w:sz w:val="28"/>
          <w:szCs w:val="28"/>
        </w:rPr>
        <w:t>e.g.</w:t>
      </w:r>
      <w:proofErr w:type="gramEnd"/>
      <w:r w:rsidR="00A7721B" w:rsidRPr="0001372C">
        <w:rPr>
          <w:rFonts w:ascii="Times New Roman" w:hAnsi="Times New Roman" w:cs="Times New Roman"/>
          <w:sz w:val="28"/>
          <w:szCs w:val="28"/>
        </w:rPr>
        <w:t xml:space="preserve"> animal feed, seed, non-food use</w:t>
      </w:r>
      <w:r w:rsidR="0086674B" w:rsidRPr="0001372C">
        <w:rPr>
          <w:rFonts w:ascii="Times New Roman" w:hAnsi="Times New Roman" w:cs="Times New Roman"/>
          <w:sz w:val="28"/>
          <w:szCs w:val="28"/>
        </w:rPr>
        <w:t>)</w:t>
      </w:r>
      <w:r w:rsidR="00A7721B" w:rsidRPr="0001372C">
        <w:rPr>
          <w:rFonts w:ascii="Times New Roman" w:hAnsi="Times New Roman" w:cs="Times New Roman"/>
          <w:sz w:val="28"/>
          <w:szCs w:val="28"/>
        </w:rPr>
        <w:t xml:space="preserve"> </w:t>
      </w:r>
      <w:r w:rsidR="0086674B" w:rsidRPr="0001372C">
        <w:rPr>
          <w:rFonts w:ascii="Times New Roman" w:hAnsi="Times New Roman" w:cs="Times New Roman"/>
          <w:sz w:val="28"/>
          <w:szCs w:val="28"/>
        </w:rPr>
        <w:t xml:space="preserve">and of food loss up to retail level </w:t>
      </w:r>
      <w:r w:rsidR="00A7721B" w:rsidRPr="0001372C">
        <w:rPr>
          <w:rFonts w:ascii="Times New Roman" w:hAnsi="Times New Roman" w:cs="Times New Roman"/>
          <w:sz w:val="28"/>
          <w:szCs w:val="28"/>
        </w:rPr>
        <w:t xml:space="preserve">are subtracted from the gross </w:t>
      </w:r>
      <w:r w:rsidR="007B5992" w:rsidRPr="0001372C">
        <w:rPr>
          <w:rFonts w:ascii="Times New Roman" w:hAnsi="Times New Roman" w:cs="Times New Roman"/>
          <w:sz w:val="28"/>
          <w:szCs w:val="28"/>
        </w:rPr>
        <w:t xml:space="preserve">country’s food </w:t>
      </w:r>
      <w:r w:rsidR="00A7721B" w:rsidRPr="0001372C">
        <w:rPr>
          <w:rFonts w:ascii="Times New Roman" w:hAnsi="Times New Roman" w:cs="Times New Roman"/>
          <w:sz w:val="28"/>
          <w:szCs w:val="28"/>
        </w:rPr>
        <w:t xml:space="preserve">supply to obtain the net </w:t>
      </w:r>
      <w:r w:rsidR="007B5992" w:rsidRPr="0001372C">
        <w:rPr>
          <w:rFonts w:ascii="Times New Roman" w:hAnsi="Times New Roman" w:cs="Times New Roman"/>
          <w:sz w:val="28"/>
          <w:szCs w:val="28"/>
        </w:rPr>
        <w:t xml:space="preserve">country’s </w:t>
      </w:r>
      <w:r w:rsidR="00A7721B" w:rsidRPr="0001372C">
        <w:rPr>
          <w:rFonts w:ascii="Times New Roman" w:hAnsi="Times New Roman" w:cs="Times New Roman"/>
          <w:sz w:val="28"/>
          <w:szCs w:val="28"/>
        </w:rPr>
        <w:t>food supply (i.e. total food available for human consumption in a country at the retail level</w:t>
      </w:r>
      <w:r w:rsidR="00BE0903" w:rsidRPr="0001372C">
        <w:rPr>
          <w:rFonts w:ascii="Times New Roman" w:hAnsi="Times New Roman" w:cs="Times New Roman"/>
          <w:sz w:val="28"/>
          <w:szCs w:val="28"/>
        </w:rPr>
        <w:t>)</w:t>
      </w:r>
      <w:r w:rsidR="00A7721B" w:rsidRPr="0001372C">
        <w:rPr>
          <w:rFonts w:ascii="Times New Roman" w:hAnsi="Times New Roman" w:cs="Times New Roman"/>
          <w:sz w:val="28"/>
          <w:szCs w:val="28"/>
        </w:rPr>
        <w:t xml:space="preserve"> (</w:t>
      </w:r>
      <w:r w:rsidRPr="0001372C">
        <w:rPr>
          <w:rFonts w:ascii="Times New Roman" w:hAnsi="Times New Roman" w:cs="Times New Roman"/>
          <w:sz w:val="28"/>
          <w:szCs w:val="28"/>
        </w:rPr>
        <w:t>FAO 2021d</w:t>
      </w:r>
      <w:r w:rsidR="00A7721B" w:rsidRPr="0001372C">
        <w:rPr>
          <w:rFonts w:ascii="Times New Roman" w:hAnsi="Times New Roman" w:cs="Times New Roman"/>
          <w:sz w:val="28"/>
          <w:szCs w:val="28"/>
        </w:rPr>
        <w:t>).</w:t>
      </w:r>
    </w:p>
    <w:p w14:paraId="3D096897" w14:textId="710D1BAC" w:rsidR="00932DD1" w:rsidRPr="0001372C" w:rsidRDefault="00932DD1" w:rsidP="00A7721B">
      <w:pPr>
        <w:pStyle w:val="PlainText"/>
        <w:jc w:val="both"/>
        <w:rPr>
          <w:rFonts w:ascii="Times New Roman" w:hAnsi="Times New Roman" w:cs="Times New Roman"/>
          <w:sz w:val="28"/>
          <w:szCs w:val="28"/>
        </w:rPr>
      </w:pPr>
    </w:p>
    <w:p w14:paraId="091770B5" w14:textId="2111776A" w:rsidR="00A7721B" w:rsidRPr="0001372C" w:rsidRDefault="00A7721B" w:rsidP="00A7721B">
      <w:pPr>
        <w:autoSpaceDE w:val="0"/>
        <w:autoSpaceDN w:val="0"/>
        <w:adjustRightInd w:val="0"/>
        <w:spacing w:after="0" w:line="240" w:lineRule="auto"/>
        <w:jc w:val="both"/>
        <w:rPr>
          <w:rFonts w:ascii="Times New Roman" w:hAnsi="Times New Roman" w:cs="Times New Roman"/>
          <w:sz w:val="28"/>
          <w:szCs w:val="28"/>
        </w:rPr>
      </w:pPr>
      <w:r w:rsidRPr="0001372C">
        <w:rPr>
          <w:rFonts w:ascii="Times New Roman" w:hAnsi="Times New Roman" w:cs="Times New Roman"/>
          <w:sz w:val="28"/>
          <w:szCs w:val="28"/>
        </w:rPr>
        <w:t>For the purposes of the FBS, “</w:t>
      </w:r>
      <w:r w:rsidR="007B5992" w:rsidRPr="0001372C">
        <w:rPr>
          <w:rFonts w:ascii="Times New Roman" w:hAnsi="Times New Roman" w:cs="Times New Roman"/>
          <w:sz w:val="28"/>
          <w:szCs w:val="28"/>
        </w:rPr>
        <w:t xml:space="preserve">food </w:t>
      </w:r>
      <w:r w:rsidRPr="0001372C">
        <w:rPr>
          <w:rFonts w:ascii="Times New Roman" w:hAnsi="Times New Roman" w:cs="Times New Roman"/>
          <w:sz w:val="28"/>
          <w:szCs w:val="28"/>
        </w:rPr>
        <w:t>loss” closely aligns with “post-harvest/post-slaughter loss”</w:t>
      </w:r>
      <w:r w:rsidR="007B5992" w:rsidRPr="0001372C">
        <w:rPr>
          <w:rFonts w:ascii="Times New Roman" w:hAnsi="Times New Roman" w:cs="Times New Roman"/>
          <w:sz w:val="28"/>
          <w:szCs w:val="28"/>
        </w:rPr>
        <w:t>. It</w:t>
      </w:r>
      <w:r w:rsidRPr="0001372C">
        <w:rPr>
          <w:rFonts w:ascii="Times New Roman" w:hAnsi="Times New Roman" w:cs="Times New Roman"/>
          <w:sz w:val="28"/>
          <w:szCs w:val="28"/>
        </w:rPr>
        <w:t xml:space="preserve"> represent</w:t>
      </w:r>
      <w:r w:rsidR="007B5992" w:rsidRPr="0001372C">
        <w:rPr>
          <w:rFonts w:ascii="Times New Roman" w:hAnsi="Times New Roman" w:cs="Times New Roman"/>
          <w:sz w:val="28"/>
          <w:szCs w:val="28"/>
        </w:rPr>
        <w:t>s</w:t>
      </w:r>
      <w:r w:rsidRPr="0001372C">
        <w:rPr>
          <w:rFonts w:ascii="Times New Roman" w:hAnsi="Times New Roman" w:cs="Times New Roman"/>
          <w:sz w:val="28"/>
          <w:szCs w:val="28"/>
        </w:rPr>
        <w:t xml:space="preserve"> th</w:t>
      </w:r>
      <w:r w:rsidR="007B5992" w:rsidRPr="0001372C">
        <w:rPr>
          <w:rFonts w:ascii="Times New Roman" w:hAnsi="Times New Roman" w:cs="Times New Roman"/>
          <w:sz w:val="28"/>
          <w:szCs w:val="28"/>
        </w:rPr>
        <w:t xml:space="preserve">e </w:t>
      </w:r>
      <w:r w:rsidRPr="0001372C">
        <w:rPr>
          <w:rFonts w:ascii="Times New Roman" w:hAnsi="Times New Roman" w:cs="Times New Roman"/>
          <w:sz w:val="28"/>
          <w:szCs w:val="28"/>
        </w:rPr>
        <w:t xml:space="preserve">quantities of food that leave the production/supply chain at any stage </w:t>
      </w:r>
      <w:r w:rsidR="00FF467E" w:rsidRPr="0001372C">
        <w:rPr>
          <w:rFonts w:ascii="Times New Roman" w:hAnsi="Times New Roman" w:cs="Times New Roman"/>
          <w:sz w:val="28"/>
          <w:szCs w:val="28"/>
        </w:rPr>
        <w:t>(</w:t>
      </w:r>
      <w:r w:rsidR="00C732B5" w:rsidRPr="0001372C">
        <w:rPr>
          <w:rFonts w:ascii="Times New Roman" w:hAnsi="Times New Roman" w:cs="Times New Roman"/>
          <w:sz w:val="28"/>
          <w:szCs w:val="28"/>
        </w:rPr>
        <w:t xml:space="preserve">e.g., </w:t>
      </w:r>
      <w:r w:rsidR="00FF467E" w:rsidRPr="0001372C">
        <w:rPr>
          <w:rFonts w:ascii="Times New Roman" w:hAnsi="Times New Roman" w:cs="Times New Roman"/>
          <w:sz w:val="28"/>
          <w:szCs w:val="28"/>
        </w:rPr>
        <w:t xml:space="preserve">during </w:t>
      </w:r>
      <w:r w:rsidR="003339BD" w:rsidRPr="0001372C">
        <w:rPr>
          <w:rFonts w:ascii="Times New Roman" w:hAnsi="Times New Roman" w:cs="Times New Roman"/>
          <w:sz w:val="28"/>
          <w:szCs w:val="28"/>
        </w:rPr>
        <w:t xml:space="preserve">production, </w:t>
      </w:r>
      <w:proofErr w:type="gramStart"/>
      <w:r w:rsidR="00FF467E" w:rsidRPr="0001372C">
        <w:rPr>
          <w:rFonts w:ascii="Times New Roman" w:hAnsi="Times New Roman" w:cs="Times New Roman"/>
          <w:sz w:val="28"/>
          <w:szCs w:val="28"/>
        </w:rPr>
        <w:t>processing</w:t>
      </w:r>
      <w:proofErr w:type="gramEnd"/>
      <w:r w:rsidR="003339BD" w:rsidRPr="0001372C">
        <w:rPr>
          <w:rFonts w:ascii="Times New Roman" w:hAnsi="Times New Roman" w:cs="Times New Roman"/>
          <w:sz w:val="28"/>
          <w:szCs w:val="28"/>
        </w:rPr>
        <w:t xml:space="preserve"> and distribution</w:t>
      </w:r>
      <w:r w:rsidR="00FF467E" w:rsidRPr="0001372C">
        <w:rPr>
          <w:rFonts w:ascii="Times New Roman" w:hAnsi="Times New Roman" w:cs="Times New Roman"/>
          <w:sz w:val="28"/>
          <w:szCs w:val="28"/>
        </w:rPr>
        <w:t xml:space="preserve">) </w:t>
      </w:r>
      <w:r w:rsidRPr="0001372C">
        <w:rPr>
          <w:rFonts w:ascii="Times New Roman" w:hAnsi="Times New Roman" w:cs="Times New Roman"/>
          <w:sz w:val="28"/>
          <w:szCs w:val="28"/>
        </w:rPr>
        <w:t>up to the retail level (FAO 2021a).</w:t>
      </w:r>
      <w:r w:rsidR="005F6494">
        <w:rPr>
          <w:rFonts w:ascii="Times New Roman" w:hAnsi="Times New Roman" w:cs="Times New Roman"/>
          <w:sz w:val="28"/>
          <w:szCs w:val="28"/>
        </w:rPr>
        <w:t xml:space="preserve"> </w:t>
      </w:r>
      <w:r w:rsidR="00C732B5" w:rsidRPr="0001372C">
        <w:rPr>
          <w:rFonts w:ascii="Times New Roman" w:hAnsi="Times New Roman" w:cs="Times New Roman"/>
          <w:sz w:val="28"/>
          <w:szCs w:val="28"/>
        </w:rPr>
        <w:t xml:space="preserve">Food </w:t>
      </w:r>
      <w:r w:rsidRPr="0001372C">
        <w:rPr>
          <w:rFonts w:ascii="Times New Roman" w:hAnsi="Times New Roman" w:cs="Times New Roman"/>
          <w:sz w:val="28"/>
          <w:szCs w:val="28"/>
        </w:rPr>
        <w:t xml:space="preserve">loss may be considerable in countries where the agricultural products reach the consumer after travelling long distance and/or passing through several intermediaries before the retail level. In such cases, </w:t>
      </w:r>
      <w:r w:rsidR="00C732B5" w:rsidRPr="0001372C">
        <w:rPr>
          <w:rFonts w:ascii="Times New Roman" w:hAnsi="Times New Roman" w:cs="Times New Roman"/>
          <w:sz w:val="28"/>
          <w:szCs w:val="28"/>
        </w:rPr>
        <w:t>large amounts of</w:t>
      </w:r>
      <w:r w:rsidRPr="0001372C">
        <w:rPr>
          <w:rFonts w:ascii="Times New Roman" w:hAnsi="Times New Roman" w:cs="Times New Roman"/>
          <w:sz w:val="28"/>
          <w:szCs w:val="28"/>
        </w:rPr>
        <w:t xml:space="preserve"> food </w:t>
      </w:r>
      <w:r w:rsidR="00C732B5" w:rsidRPr="0001372C">
        <w:rPr>
          <w:rFonts w:ascii="Times New Roman" w:hAnsi="Times New Roman" w:cs="Times New Roman"/>
          <w:sz w:val="28"/>
          <w:szCs w:val="28"/>
        </w:rPr>
        <w:t>are</w:t>
      </w:r>
      <w:r w:rsidRPr="0001372C">
        <w:rPr>
          <w:rFonts w:ascii="Times New Roman" w:hAnsi="Times New Roman" w:cs="Times New Roman"/>
          <w:sz w:val="28"/>
          <w:szCs w:val="28"/>
        </w:rPr>
        <w:t xml:space="preserve"> lost because damaged, especially for perishable foods such as fresh fruit and vegetables or processed foods with a short shelf life. Assumptions for </w:t>
      </w:r>
      <w:r w:rsidR="00C732B5" w:rsidRPr="0001372C">
        <w:rPr>
          <w:rFonts w:ascii="Times New Roman" w:hAnsi="Times New Roman" w:cs="Times New Roman"/>
          <w:sz w:val="28"/>
          <w:szCs w:val="28"/>
        </w:rPr>
        <w:t>losses</w:t>
      </w:r>
      <w:r w:rsidRPr="0001372C">
        <w:rPr>
          <w:rFonts w:ascii="Times New Roman" w:hAnsi="Times New Roman" w:cs="Times New Roman"/>
          <w:sz w:val="28"/>
          <w:szCs w:val="28"/>
        </w:rPr>
        <w:t xml:space="preserve"> may be based on expert opinion obtained in the countries. Losses or waste </w:t>
      </w:r>
      <w:r w:rsidRPr="0001372C">
        <w:rPr>
          <w:rFonts w:ascii="Times New Roman" w:hAnsi="Times New Roman" w:cs="Times New Roman"/>
          <w:sz w:val="28"/>
          <w:szCs w:val="28"/>
        </w:rPr>
        <w:lastRenderedPageBreak/>
        <w:t>at the retailer, food catering and household level are not considered in the compilation of FBS. For this reason, total food availability estimates derived from the FBS are likely to be higher than average food consumption at household level.</w:t>
      </w:r>
    </w:p>
    <w:p w14:paraId="12B7E782" w14:textId="255C839F" w:rsidR="00312DD3" w:rsidRDefault="00312DD3" w:rsidP="00954BC7">
      <w:pPr>
        <w:pStyle w:val="PlainText"/>
        <w:jc w:val="both"/>
        <w:rPr>
          <w:rFonts w:ascii="Times New Roman" w:hAnsi="Times New Roman" w:cs="Times New Roman"/>
          <w:sz w:val="28"/>
          <w:szCs w:val="28"/>
        </w:rPr>
      </w:pPr>
    </w:p>
    <w:p w14:paraId="22CC51FB" w14:textId="558F24DF" w:rsidR="005E6288" w:rsidRPr="0001372C" w:rsidRDefault="00224AE7" w:rsidP="005E6288">
      <w:pPr>
        <w:pStyle w:val="PlainText"/>
        <w:jc w:val="both"/>
        <w:rPr>
          <w:rFonts w:ascii="Times New Roman" w:hAnsi="Times New Roman" w:cs="Times New Roman"/>
          <w:sz w:val="28"/>
          <w:szCs w:val="28"/>
        </w:rPr>
      </w:pPr>
      <w:r>
        <w:rPr>
          <w:rFonts w:ascii="Times New Roman" w:hAnsi="Times New Roman" w:cs="Times New Roman"/>
          <w:sz w:val="28"/>
          <w:szCs w:val="28"/>
        </w:rPr>
        <w:t xml:space="preserve">In some cases, information on country’s stocks </w:t>
      </w:r>
      <w:r w:rsidR="00CE5608">
        <w:rPr>
          <w:rFonts w:ascii="Times New Roman" w:hAnsi="Times New Roman" w:cs="Times New Roman"/>
          <w:sz w:val="28"/>
          <w:szCs w:val="28"/>
        </w:rPr>
        <w:t>is</w:t>
      </w:r>
      <w:r>
        <w:rPr>
          <w:rFonts w:ascii="Times New Roman" w:hAnsi="Times New Roman" w:cs="Times New Roman"/>
          <w:sz w:val="28"/>
          <w:szCs w:val="28"/>
        </w:rPr>
        <w:t xml:space="preserve"> not available. </w:t>
      </w:r>
      <w:r w:rsidR="005E6288" w:rsidRPr="0001372C">
        <w:rPr>
          <w:rFonts w:ascii="Times New Roman" w:hAnsi="Times New Roman" w:cs="Times New Roman"/>
          <w:sz w:val="28"/>
          <w:szCs w:val="28"/>
        </w:rPr>
        <w:t>The effect of th</w:t>
      </w:r>
      <w:r>
        <w:rPr>
          <w:rFonts w:ascii="Times New Roman" w:hAnsi="Times New Roman" w:cs="Times New Roman"/>
          <w:sz w:val="28"/>
          <w:szCs w:val="28"/>
        </w:rPr>
        <w:t xml:space="preserve">is data gap </w:t>
      </w:r>
      <w:r w:rsidR="005E6288" w:rsidRPr="0001372C">
        <w:rPr>
          <w:rFonts w:ascii="Times New Roman" w:hAnsi="Times New Roman" w:cs="Times New Roman"/>
          <w:sz w:val="28"/>
          <w:szCs w:val="28"/>
        </w:rPr>
        <w:t xml:space="preserve"> is reduced by preparing </w:t>
      </w:r>
      <w:r>
        <w:rPr>
          <w:rFonts w:ascii="Times New Roman" w:hAnsi="Times New Roman" w:cs="Times New Roman"/>
          <w:sz w:val="28"/>
          <w:szCs w:val="28"/>
        </w:rPr>
        <w:t>FBSs</w:t>
      </w:r>
      <w:r w:rsidR="005E6288" w:rsidRPr="0001372C">
        <w:rPr>
          <w:rFonts w:ascii="Times New Roman" w:hAnsi="Times New Roman" w:cs="Times New Roman"/>
          <w:sz w:val="28"/>
          <w:szCs w:val="28"/>
        </w:rPr>
        <w:t xml:space="preserve"> as a</w:t>
      </w:r>
      <w:r w:rsidR="006D21BC">
        <w:rPr>
          <w:rFonts w:ascii="Times New Roman" w:hAnsi="Times New Roman" w:cs="Times New Roman"/>
          <w:sz w:val="28"/>
          <w:szCs w:val="28"/>
        </w:rPr>
        <w:t xml:space="preserve"> moving</w:t>
      </w:r>
      <w:r w:rsidR="005E6288" w:rsidRPr="0001372C">
        <w:rPr>
          <w:rFonts w:ascii="Times New Roman" w:hAnsi="Times New Roman" w:cs="Times New Roman"/>
          <w:sz w:val="28"/>
          <w:szCs w:val="28"/>
        </w:rPr>
        <w:t xml:space="preserve"> average for 3-year period</w:t>
      </w:r>
      <w:r w:rsidR="006D21BC">
        <w:rPr>
          <w:rFonts w:ascii="Times New Roman" w:hAnsi="Times New Roman" w:cs="Times New Roman"/>
          <w:sz w:val="28"/>
          <w:szCs w:val="28"/>
        </w:rPr>
        <w:t>s</w:t>
      </w:r>
      <w:r w:rsidR="005E6288">
        <w:rPr>
          <w:rFonts w:ascii="Times New Roman" w:hAnsi="Times New Roman" w:cs="Times New Roman"/>
          <w:sz w:val="28"/>
          <w:szCs w:val="28"/>
        </w:rPr>
        <w:t xml:space="preserve"> </w:t>
      </w:r>
      <w:r w:rsidR="00455277">
        <w:rPr>
          <w:rFonts w:ascii="Times New Roman" w:hAnsi="Times New Roman" w:cs="Times New Roman"/>
          <w:sz w:val="28"/>
          <w:szCs w:val="28"/>
        </w:rPr>
        <w:t xml:space="preserve"> for all countries </w:t>
      </w:r>
      <w:r w:rsidR="005E6288">
        <w:rPr>
          <w:rFonts w:ascii="Times New Roman" w:hAnsi="Times New Roman" w:cs="Times New Roman"/>
          <w:sz w:val="28"/>
          <w:szCs w:val="28"/>
        </w:rPr>
        <w:t>(</w:t>
      </w:r>
      <w:hyperlink r:id="rId8" w:history="1">
        <w:r w:rsidR="005E6288" w:rsidRPr="005D201F">
          <w:rPr>
            <w:rStyle w:val="Hyperlink"/>
            <w:rFonts w:ascii="Times New Roman" w:hAnsi="Times New Roman" w:cs="Times New Roman"/>
            <w:sz w:val="28"/>
            <w:szCs w:val="28"/>
          </w:rPr>
          <w:t>https://www.fao.org/economic/the-statistics-division-ess/publications-studies/publications/food-balance-sheets/zh/</w:t>
        </w:r>
      </w:hyperlink>
      <w:r w:rsidR="005E6288" w:rsidRPr="0001372C">
        <w:rPr>
          <w:rFonts w:ascii="Times New Roman" w:hAnsi="Times New Roman" w:cs="Times New Roman"/>
          <w:sz w:val="28"/>
          <w:szCs w:val="28"/>
        </w:rPr>
        <w:t xml:space="preserve"> </w:t>
      </w:r>
      <w:r w:rsidR="005E6288">
        <w:rPr>
          <w:rFonts w:ascii="Times New Roman" w:hAnsi="Times New Roman" w:cs="Times New Roman"/>
          <w:sz w:val="28"/>
          <w:szCs w:val="28"/>
        </w:rPr>
        <w:t>)</w:t>
      </w:r>
    </w:p>
    <w:p w14:paraId="693231B7" w14:textId="77777777" w:rsidR="005E6288" w:rsidRPr="0001372C" w:rsidRDefault="005E6288" w:rsidP="00954BC7">
      <w:pPr>
        <w:pStyle w:val="PlainText"/>
        <w:jc w:val="both"/>
        <w:rPr>
          <w:rFonts w:ascii="Times New Roman" w:hAnsi="Times New Roman" w:cs="Times New Roman"/>
          <w:sz w:val="28"/>
          <w:szCs w:val="28"/>
        </w:rPr>
      </w:pPr>
    </w:p>
    <w:p w14:paraId="2BEEC3EB" w14:textId="6F866057" w:rsidR="000102A5" w:rsidRPr="0001372C" w:rsidRDefault="005E6288" w:rsidP="00194C60">
      <w:pPr>
        <w:pStyle w:val="PlainText"/>
        <w:jc w:val="both"/>
        <w:rPr>
          <w:rFonts w:ascii="Times New Roman" w:hAnsi="Times New Roman" w:cs="Times New Roman"/>
          <w:sz w:val="28"/>
          <w:szCs w:val="28"/>
        </w:rPr>
      </w:pPr>
      <w:r>
        <w:rPr>
          <w:rFonts w:ascii="Times New Roman" w:hAnsi="Times New Roman" w:cs="Times New Roman"/>
          <w:sz w:val="28"/>
          <w:szCs w:val="28"/>
        </w:rPr>
        <w:t xml:space="preserve">Both official </w:t>
      </w:r>
      <w:r w:rsidRPr="00445AFC">
        <w:rPr>
          <w:rFonts w:ascii="Times New Roman" w:hAnsi="Times New Roman" w:cs="Times New Roman"/>
          <w:sz w:val="28"/>
          <w:szCs w:val="28"/>
        </w:rPr>
        <w:t>and unofficial data are used for compilation of FBSs</w:t>
      </w:r>
      <w:r>
        <w:rPr>
          <w:rFonts w:ascii="Times New Roman" w:hAnsi="Times New Roman" w:cs="Times New Roman"/>
          <w:sz w:val="28"/>
          <w:szCs w:val="28"/>
        </w:rPr>
        <w:t>; N</w:t>
      </w:r>
      <w:r w:rsidRPr="0001372C">
        <w:rPr>
          <w:rFonts w:ascii="Times New Roman" w:hAnsi="Times New Roman" w:cs="Times New Roman"/>
          <w:sz w:val="28"/>
          <w:szCs w:val="28"/>
        </w:rPr>
        <w:t>ational statistical offices</w:t>
      </w:r>
      <w:r>
        <w:rPr>
          <w:rFonts w:ascii="Times New Roman" w:hAnsi="Times New Roman" w:cs="Times New Roman"/>
          <w:sz w:val="28"/>
          <w:szCs w:val="28"/>
        </w:rPr>
        <w:t xml:space="preserve"> constitute an important data source</w:t>
      </w:r>
      <w:r w:rsidRPr="0001372C">
        <w:rPr>
          <w:rFonts w:ascii="Times New Roman" w:hAnsi="Times New Roman" w:cs="Times New Roman"/>
          <w:sz w:val="28"/>
          <w:szCs w:val="28"/>
        </w:rPr>
        <w:t xml:space="preserve">. </w:t>
      </w:r>
      <w:r>
        <w:rPr>
          <w:rFonts w:ascii="Times New Roman" w:hAnsi="Times New Roman" w:cs="Times New Roman"/>
          <w:sz w:val="28"/>
          <w:szCs w:val="28"/>
        </w:rPr>
        <w:t>However, d</w:t>
      </w:r>
      <w:r w:rsidR="000102A5" w:rsidRPr="0001372C">
        <w:rPr>
          <w:rFonts w:ascii="Times New Roman" w:hAnsi="Times New Roman" w:cs="Times New Roman"/>
          <w:sz w:val="28"/>
          <w:szCs w:val="28"/>
        </w:rPr>
        <w:t xml:space="preserve">irectly measured data on food availability </w:t>
      </w:r>
      <w:r w:rsidR="00463A77" w:rsidRPr="0001372C">
        <w:rPr>
          <w:rFonts w:ascii="Times New Roman" w:hAnsi="Times New Roman" w:cs="Times New Roman"/>
          <w:sz w:val="28"/>
          <w:szCs w:val="28"/>
        </w:rPr>
        <w:t>at national leve</w:t>
      </w:r>
      <w:r w:rsidR="003E5F4A" w:rsidRPr="0001372C">
        <w:rPr>
          <w:rFonts w:ascii="Times New Roman" w:hAnsi="Times New Roman" w:cs="Times New Roman"/>
          <w:sz w:val="28"/>
          <w:szCs w:val="28"/>
        </w:rPr>
        <w:t>l</w:t>
      </w:r>
      <w:r w:rsidR="000102A5" w:rsidRPr="0001372C">
        <w:rPr>
          <w:rFonts w:ascii="Times New Roman" w:hAnsi="Times New Roman" w:cs="Times New Roman"/>
          <w:sz w:val="28"/>
          <w:szCs w:val="28"/>
        </w:rPr>
        <w:t xml:space="preserve"> may be difficult to obtain</w:t>
      </w:r>
      <w:r w:rsidR="00BC47DE" w:rsidRPr="0001372C">
        <w:rPr>
          <w:rFonts w:ascii="Times New Roman" w:hAnsi="Times New Roman" w:cs="Times New Roman"/>
          <w:sz w:val="28"/>
          <w:szCs w:val="28"/>
        </w:rPr>
        <w:t xml:space="preserve"> </w:t>
      </w:r>
      <w:r w:rsidR="003E5F4A" w:rsidRPr="0001372C">
        <w:rPr>
          <w:rFonts w:ascii="Times New Roman" w:hAnsi="Times New Roman" w:cs="Times New Roman"/>
          <w:sz w:val="28"/>
          <w:szCs w:val="28"/>
        </w:rPr>
        <w:t>(</w:t>
      </w:r>
      <w:r w:rsidR="00BC47DE" w:rsidRPr="0001372C">
        <w:rPr>
          <w:rFonts w:ascii="Times New Roman" w:hAnsi="Times New Roman" w:cs="Times New Roman"/>
          <w:sz w:val="28"/>
          <w:szCs w:val="28"/>
        </w:rPr>
        <w:t>FAO</w:t>
      </w:r>
      <w:r w:rsidR="003E5F4A" w:rsidRPr="0001372C">
        <w:rPr>
          <w:rFonts w:ascii="Times New Roman" w:hAnsi="Times New Roman" w:cs="Times New Roman"/>
          <w:sz w:val="28"/>
          <w:szCs w:val="28"/>
        </w:rPr>
        <w:t xml:space="preserve">, </w:t>
      </w:r>
      <w:r w:rsidR="00BC47DE" w:rsidRPr="0001372C">
        <w:rPr>
          <w:rFonts w:ascii="Times New Roman" w:hAnsi="Times New Roman" w:cs="Times New Roman"/>
          <w:sz w:val="28"/>
          <w:szCs w:val="28"/>
        </w:rPr>
        <w:t>2021a)</w:t>
      </w:r>
      <w:r>
        <w:rPr>
          <w:rFonts w:ascii="Times New Roman" w:hAnsi="Times New Roman" w:cs="Times New Roman"/>
          <w:sz w:val="28"/>
          <w:szCs w:val="28"/>
        </w:rPr>
        <w:t xml:space="preserve"> and</w:t>
      </w:r>
      <w:r w:rsidR="000102A5" w:rsidRPr="0001372C">
        <w:rPr>
          <w:rFonts w:ascii="Times New Roman" w:hAnsi="Times New Roman" w:cs="Times New Roman"/>
          <w:sz w:val="28"/>
          <w:szCs w:val="28"/>
        </w:rPr>
        <w:t xml:space="preserve"> FBS compilers </w:t>
      </w:r>
      <w:r w:rsidR="00DA1A6E" w:rsidRPr="0001372C">
        <w:rPr>
          <w:rFonts w:ascii="Times New Roman" w:hAnsi="Times New Roman" w:cs="Times New Roman"/>
          <w:sz w:val="28"/>
          <w:szCs w:val="28"/>
        </w:rPr>
        <w:t xml:space="preserve">often </w:t>
      </w:r>
      <w:r w:rsidR="000102A5" w:rsidRPr="0001372C">
        <w:rPr>
          <w:rFonts w:ascii="Times New Roman" w:hAnsi="Times New Roman" w:cs="Times New Roman"/>
          <w:sz w:val="28"/>
          <w:szCs w:val="28"/>
        </w:rPr>
        <w:t>derive estimates of food availability by making certain adjustments</w:t>
      </w:r>
      <w:r w:rsidR="003E5F4A" w:rsidRPr="0001372C">
        <w:rPr>
          <w:rFonts w:ascii="Times New Roman" w:hAnsi="Times New Roman" w:cs="Times New Roman"/>
          <w:sz w:val="28"/>
          <w:szCs w:val="28"/>
        </w:rPr>
        <w:t xml:space="preserve"> based on</w:t>
      </w:r>
      <w:r w:rsidR="000102A5" w:rsidRPr="0001372C">
        <w:rPr>
          <w:rFonts w:ascii="Times New Roman" w:hAnsi="Times New Roman" w:cs="Times New Roman"/>
          <w:sz w:val="28"/>
          <w:szCs w:val="28"/>
        </w:rPr>
        <w:t xml:space="preserve"> other existing data sets that measure food production or consumption. Two official data sources may provide </w:t>
      </w:r>
      <w:r>
        <w:rPr>
          <w:rFonts w:ascii="Times New Roman" w:hAnsi="Times New Roman" w:cs="Times New Roman"/>
          <w:sz w:val="28"/>
          <w:szCs w:val="28"/>
        </w:rPr>
        <w:t xml:space="preserve">additional </w:t>
      </w:r>
      <w:r w:rsidR="000102A5" w:rsidRPr="0001372C">
        <w:rPr>
          <w:rFonts w:ascii="Times New Roman" w:hAnsi="Times New Roman" w:cs="Times New Roman"/>
          <w:sz w:val="28"/>
          <w:szCs w:val="28"/>
        </w:rPr>
        <w:t xml:space="preserve">information useful to the estimation of a country’s food availability: industrial output surveys and </w:t>
      </w:r>
      <w:r w:rsidR="00312DD3" w:rsidRPr="0001372C">
        <w:rPr>
          <w:rFonts w:ascii="Times New Roman" w:hAnsi="Times New Roman" w:cs="Times New Roman"/>
          <w:sz w:val="28"/>
          <w:szCs w:val="28"/>
        </w:rPr>
        <w:t xml:space="preserve">Household Consumption and Expenditure Surveys (HCES) </w:t>
      </w:r>
      <w:r w:rsidR="00194C60" w:rsidRPr="0001372C">
        <w:rPr>
          <w:rFonts w:ascii="Times New Roman" w:hAnsi="Times New Roman" w:cs="Times New Roman"/>
          <w:sz w:val="28"/>
          <w:szCs w:val="28"/>
        </w:rPr>
        <w:t xml:space="preserve">(see paragraph 2.2 for the description of </w:t>
      </w:r>
      <w:r w:rsidR="003E5F4A" w:rsidRPr="0001372C">
        <w:rPr>
          <w:rFonts w:ascii="Times New Roman" w:hAnsi="Times New Roman" w:cs="Times New Roman"/>
          <w:sz w:val="28"/>
          <w:szCs w:val="28"/>
        </w:rPr>
        <w:t>HCES</w:t>
      </w:r>
      <w:r w:rsidR="00312DD3" w:rsidRPr="0001372C">
        <w:rPr>
          <w:rFonts w:ascii="Times New Roman" w:hAnsi="Times New Roman" w:cs="Times New Roman"/>
          <w:sz w:val="28"/>
          <w:szCs w:val="28"/>
        </w:rPr>
        <w:t xml:space="preserve"> </w:t>
      </w:r>
      <w:r w:rsidR="00194C60" w:rsidRPr="0001372C">
        <w:rPr>
          <w:rFonts w:ascii="Times New Roman" w:hAnsi="Times New Roman" w:cs="Times New Roman"/>
          <w:sz w:val="28"/>
          <w:szCs w:val="28"/>
        </w:rPr>
        <w:t>surveys).</w:t>
      </w:r>
    </w:p>
    <w:p w14:paraId="19F777C2" w14:textId="77777777" w:rsidR="00AE4358" w:rsidRPr="0001372C" w:rsidRDefault="00AE4358" w:rsidP="00AE4358">
      <w:pPr>
        <w:pStyle w:val="PlainText"/>
        <w:rPr>
          <w:rFonts w:ascii="Times New Roman" w:hAnsi="Times New Roman" w:cs="Times New Roman"/>
          <w:sz w:val="28"/>
          <w:szCs w:val="28"/>
        </w:rPr>
      </w:pPr>
    </w:p>
    <w:p w14:paraId="266BCDBC" w14:textId="3E9487C3" w:rsidR="008A1DDD" w:rsidRDefault="008B45B0" w:rsidP="008A1DDD">
      <w:pPr>
        <w:pStyle w:val="PlainText"/>
        <w:jc w:val="both"/>
        <w:rPr>
          <w:rFonts w:ascii="Times New Roman" w:hAnsi="Times New Roman" w:cs="Times New Roman"/>
          <w:sz w:val="28"/>
          <w:szCs w:val="28"/>
        </w:rPr>
      </w:pPr>
      <w:r>
        <w:rPr>
          <w:rFonts w:ascii="Times New Roman" w:hAnsi="Times New Roman" w:cs="Times New Roman"/>
          <w:sz w:val="28"/>
          <w:szCs w:val="28"/>
        </w:rPr>
        <w:t xml:space="preserve">In its free online database (FAOSTAT), </w:t>
      </w:r>
      <w:r w:rsidR="00D54A2F" w:rsidRPr="0001372C">
        <w:rPr>
          <w:rFonts w:ascii="Times New Roman" w:hAnsi="Times New Roman" w:cs="Times New Roman"/>
          <w:sz w:val="28"/>
          <w:szCs w:val="28"/>
        </w:rPr>
        <w:t>FAO p</w:t>
      </w:r>
      <w:r w:rsidR="008A1DDD" w:rsidRPr="0001372C">
        <w:rPr>
          <w:rFonts w:ascii="Times New Roman" w:hAnsi="Times New Roman" w:cs="Times New Roman"/>
          <w:sz w:val="28"/>
          <w:szCs w:val="28"/>
        </w:rPr>
        <w:t>rovides free access to FBSs for over 245 countries and territories and covers all FAO regional groupings from 1961 to the most recent year available</w:t>
      </w:r>
      <w:r w:rsidR="005B16A7" w:rsidRPr="0001372C">
        <w:rPr>
          <w:rFonts w:ascii="Times New Roman" w:hAnsi="Times New Roman" w:cs="Times New Roman"/>
          <w:sz w:val="28"/>
          <w:szCs w:val="28"/>
        </w:rPr>
        <w:t xml:space="preserve"> </w:t>
      </w:r>
      <w:r w:rsidR="00A94430">
        <w:rPr>
          <w:rFonts w:ascii="Times New Roman" w:hAnsi="Times New Roman" w:cs="Times New Roman"/>
          <w:sz w:val="28"/>
          <w:szCs w:val="28"/>
        </w:rPr>
        <w:t>(</w:t>
      </w:r>
      <w:hyperlink r:id="rId9" w:anchor="home" w:history="1">
        <w:r w:rsidR="00A94430" w:rsidRPr="002B3592">
          <w:rPr>
            <w:rStyle w:val="Hyperlink"/>
            <w:rFonts w:ascii="Times New Roman" w:hAnsi="Times New Roman" w:cs="Times New Roman"/>
            <w:sz w:val="28"/>
            <w:szCs w:val="28"/>
          </w:rPr>
          <w:t>https://www.fao.org/faostat/en/#home</w:t>
        </w:r>
      </w:hyperlink>
      <w:r w:rsidR="00A94430">
        <w:rPr>
          <w:rFonts w:ascii="Times New Roman" w:hAnsi="Times New Roman" w:cs="Times New Roman"/>
          <w:sz w:val="28"/>
          <w:szCs w:val="28"/>
        </w:rPr>
        <w:t>, accessed February 2023</w:t>
      </w:r>
      <w:r w:rsidR="001B32CB">
        <w:rPr>
          <w:rFonts w:ascii="Times New Roman" w:hAnsi="Times New Roman" w:cs="Times New Roman"/>
          <w:sz w:val="28"/>
          <w:szCs w:val="28"/>
        </w:rPr>
        <w:t>)</w:t>
      </w:r>
      <w:r w:rsidR="00A94430">
        <w:rPr>
          <w:rFonts w:ascii="Times New Roman" w:hAnsi="Times New Roman" w:cs="Times New Roman"/>
          <w:sz w:val="28"/>
          <w:szCs w:val="28"/>
        </w:rPr>
        <w:t>.</w:t>
      </w:r>
      <w:r w:rsidR="00A94430" w:rsidRPr="001B32CB">
        <w:rPr>
          <w:rFonts w:ascii="Times New Roman" w:hAnsi="Times New Roman" w:cs="Times New Roman"/>
          <w:sz w:val="28"/>
          <w:szCs w:val="28"/>
        </w:rPr>
        <w:t xml:space="preserve"> The F</w:t>
      </w:r>
      <w:r w:rsidR="00AA2C8D" w:rsidRPr="001B32CB">
        <w:rPr>
          <w:rFonts w:ascii="Times New Roman" w:hAnsi="Times New Roman" w:cs="Times New Roman"/>
          <w:sz w:val="28"/>
          <w:szCs w:val="28"/>
        </w:rPr>
        <w:t>BSs reported are “standardized FBSs”:</w:t>
      </w:r>
      <w:r w:rsidR="008A1DDD" w:rsidRPr="001B32CB">
        <w:rPr>
          <w:rFonts w:ascii="Times New Roman" w:hAnsi="Times New Roman" w:cs="Times New Roman"/>
          <w:sz w:val="28"/>
          <w:szCs w:val="28"/>
        </w:rPr>
        <w:t xml:space="preserve"> </w:t>
      </w:r>
      <w:r w:rsidR="005B16A7" w:rsidRPr="001B32CB">
        <w:rPr>
          <w:rFonts w:ascii="Times New Roman" w:hAnsi="Times New Roman" w:cs="Times New Roman"/>
          <w:sz w:val="28"/>
          <w:szCs w:val="28"/>
        </w:rPr>
        <w:t xml:space="preserve">the </w:t>
      </w:r>
      <w:r w:rsidR="00712811" w:rsidRPr="001B32CB">
        <w:rPr>
          <w:rFonts w:ascii="Times New Roman" w:hAnsi="Times New Roman" w:cs="Times New Roman"/>
          <w:sz w:val="28"/>
          <w:szCs w:val="28"/>
        </w:rPr>
        <w:t xml:space="preserve">quantity </w:t>
      </w:r>
      <w:r w:rsidR="005B16A7" w:rsidRPr="001B32CB">
        <w:rPr>
          <w:rFonts w:ascii="Times New Roman" w:hAnsi="Times New Roman" w:cs="Times New Roman"/>
          <w:sz w:val="28"/>
          <w:szCs w:val="28"/>
        </w:rPr>
        <w:t>of primary commodities available for consumption (e.g., wheat)</w:t>
      </w:r>
      <w:r w:rsidR="00AA2C8D" w:rsidRPr="001B32CB">
        <w:rPr>
          <w:rFonts w:ascii="Times New Roman" w:hAnsi="Times New Roman" w:cs="Times New Roman"/>
          <w:sz w:val="28"/>
          <w:szCs w:val="28"/>
        </w:rPr>
        <w:t xml:space="preserve"> </w:t>
      </w:r>
      <w:r w:rsidR="005B16A7" w:rsidRPr="001B32CB">
        <w:rPr>
          <w:rFonts w:ascii="Times New Roman" w:hAnsi="Times New Roman" w:cs="Times New Roman"/>
          <w:sz w:val="28"/>
          <w:szCs w:val="28"/>
        </w:rPr>
        <w:t xml:space="preserve">include the </w:t>
      </w:r>
      <w:r w:rsidR="00712811" w:rsidRPr="001B32CB">
        <w:rPr>
          <w:rFonts w:ascii="Times New Roman" w:hAnsi="Times New Roman" w:cs="Times New Roman"/>
          <w:sz w:val="28"/>
          <w:szCs w:val="28"/>
        </w:rPr>
        <w:t xml:space="preserve">quantity </w:t>
      </w:r>
      <w:r w:rsidR="005B16A7" w:rsidRPr="001B32CB">
        <w:rPr>
          <w:rFonts w:ascii="Times New Roman" w:hAnsi="Times New Roman" w:cs="Times New Roman"/>
          <w:sz w:val="28"/>
          <w:szCs w:val="28"/>
        </w:rPr>
        <w:t>of processed commodities (e.g., bread) converted back to their primary commodities. The li</w:t>
      </w:r>
      <w:r w:rsidR="00373139" w:rsidRPr="001B32CB">
        <w:rPr>
          <w:rFonts w:ascii="Times New Roman" w:hAnsi="Times New Roman" w:cs="Times New Roman"/>
          <w:sz w:val="28"/>
          <w:szCs w:val="28"/>
        </w:rPr>
        <w:t xml:space="preserve">st of food commodities (such as “cassava”) in each of the </w:t>
      </w:r>
      <w:r w:rsidR="005E6288" w:rsidRPr="001B32CB">
        <w:rPr>
          <w:rFonts w:ascii="Times New Roman" w:hAnsi="Times New Roman" w:cs="Times New Roman"/>
          <w:sz w:val="28"/>
          <w:szCs w:val="28"/>
        </w:rPr>
        <w:t>24</w:t>
      </w:r>
      <w:r w:rsidR="008A1DDD" w:rsidRPr="001B32CB">
        <w:rPr>
          <w:rFonts w:ascii="Times New Roman" w:hAnsi="Times New Roman" w:cs="Times New Roman"/>
          <w:sz w:val="28"/>
          <w:szCs w:val="28"/>
        </w:rPr>
        <w:t xml:space="preserve"> food groups (such as </w:t>
      </w:r>
      <w:r w:rsidR="00373139" w:rsidRPr="001B32CB">
        <w:rPr>
          <w:rFonts w:ascii="Times New Roman" w:hAnsi="Times New Roman" w:cs="Times New Roman"/>
          <w:sz w:val="28"/>
          <w:szCs w:val="28"/>
        </w:rPr>
        <w:t>“</w:t>
      </w:r>
      <w:r w:rsidR="00713CF0" w:rsidRPr="001B32CB">
        <w:rPr>
          <w:rFonts w:ascii="Times New Roman" w:hAnsi="Times New Roman" w:cs="Times New Roman"/>
          <w:sz w:val="28"/>
          <w:szCs w:val="28"/>
        </w:rPr>
        <w:t>starchy roots</w:t>
      </w:r>
      <w:r w:rsidR="00373139" w:rsidRPr="001B32CB">
        <w:rPr>
          <w:rFonts w:ascii="Times New Roman" w:hAnsi="Times New Roman" w:cs="Times New Roman"/>
          <w:sz w:val="28"/>
          <w:szCs w:val="28"/>
        </w:rPr>
        <w:t xml:space="preserve">”) </w:t>
      </w:r>
      <w:r w:rsidR="00081BE9" w:rsidRPr="001B32CB">
        <w:rPr>
          <w:rFonts w:ascii="Times New Roman" w:hAnsi="Times New Roman" w:cs="Times New Roman"/>
          <w:sz w:val="28"/>
          <w:szCs w:val="28"/>
        </w:rPr>
        <w:t>can be found in the definition and standard section of the FAOSAT FBS website (</w:t>
      </w:r>
      <w:hyperlink r:id="rId10" w:anchor="data/FBS" w:history="1">
        <w:r w:rsidR="00081BE9" w:rsidRPr="00224AE7">
          <w:rPr>
            <w:rStyle w:val="Hyperlink"/>
            <w:rFonts w:ascii="Times New Roman" w:hAnsi="Times New Roman" w:cs="Times New Roman"/>
            <w:sz w:val="28"/>
            <w:szCs w:val="28"/>
          </w:rPr>
          <w:t>https://www.fao.org/faostat/en/#data/FBS</w:t>
        </w:r>
      </w:hyperlink>
      <w:r w:rsidR="00081BE9" w:rsidRPr="00224AE7">
        <w:rPr>
          <w:rFonts w:ascii="Times New Roman" w:hAnsi="Times New Roman" w:cs="Times New Roman"/>
          <w:sz w:val="28"/>
          <w:szCs w:val="28"/>
        </w:rPr>
        <w:t>, accessed February 2023)</w:t>
      </w:r>
      <w:r w:rsidR="001B32CB">
        <w:rPr>
          <w:rFonts w:ascii="Times New Roman" w:hAnsi="Times New Roman" w:cs="Times New Roman"/>
          <w:sz w:val="28"/>
          <w:szCs w:val="28"/>
        </w:rPr>
        <w:t xml:space="preserve">. </w:t>
      </w:r>
      <w:r w:rsidR="00A94430" w:rsidRPr="00A94430">
        <w:rPr>
          <w:rFonts w:ascii="Times New Roman" w:hAnsi="Times New Roman" w:cs="Times New Roman"/>
          <w:sz w:val="28"/>
          <w:szCs w:val="28"/>
        </w:rPr>
        <w:t xml:space="preserve">Data on per caput food supplies are expressed in terms of quantity and in terms of caloric value </w:t>
      </w:r>
      <w:r w:rsidR="0046549D">
        <w:rPr>
          <w:rFonts w:ascii="Times New Roman" w:hAnsi="Times New Roman" w:cs="Times New Roman"/>
          <w:sz w:val="28"/>
          <w:szCs w:val="28"/>
        </w:rPr>
        <w:t>(</w:t>
      </w:r>
      <w:r w:rsidR="0046549D" w:rsidRPr="006D21BC">
        <w:rPr>
          <w:rFonts w:ascii="Times New Roman" w:hAnsi="Times New Roman" w:cs="Times New Roman"/>
          <w:sz w:val="28"/>
          <w:szCs w:val="28"/>
        </w:rPr>
        <w:t>refer</w:t>
      </w:r>
      <w:r w:rsidR="006D21BC">
        <w:rPr>
          <w:rFonts w:ascii="Times New Roman" w:hAnsi="Times New Roman" w:cs="Times New Roman"/>
          <w:sz w:val="28"/>
          <w:szCs w:val="28"/>
        </w:rPr>
        <w:t>red</w:t>
      </w:r>
      <w:r w:rsidR="0046549D">
        <w:rPr>
          <w:rFonts w:ascii="Times New Roman" w:hAnsi="Times New Roman" w:cs="Times New Roman"/>
          <w:sz w:val="28"/>
          <w:szCs w:val="28"/>
        </w:rPr>
        <w:t xml:space="preserve"> to as Dietary Energy Supply – DES) </w:t>
      </w:r>
      <w:r w:rsidR="00A94430" w:rsidRPr="00A94430">
        <w:rPr>
          <w:rFonts w:ascii="Times New Roman" w:hAnsi="Times New Roman" w:cs="Times New Roman"/>
          <w:sz w:val="28"/>
          <w:szCs w:val="28"/>
        </w:rPr>
        <w:t>and protein and fat content</w:t>
      </w:r>
      <w:r w:rsidR="0046549D" w:rsidRPr="00A94430">
        <w:rPr>
          <w:rFonts w:ascii="Times New Roman" w:hAnsi="Times New Roman" w:cs="Times New Roman"/>
          <w:sz w:val="28"/>
          <w:szCs w:val="28"/>
        </w:rPr>
        <w:t xml:space="preserve">- by applying appropriate food composition factors for all primary and processed </w:t>
      </w:r>
      <w:r w:rsidR="0046549D">
        <w:rPr>
          <w:rFonts w:ascii="Times New Roman" w:hAnsi="Times New Roman" w:cs="Times New Roman"/>
          <w:sz w:val="28"/>
          <w:szCs w:val="28"/>
        </w:rPr>
        <w:t>products.</w:t>
      </w:r>
    </w:p>
    <w:p w14:paraId="5A969074" w14:textId="40F5F039" w:rsidR="008B45B0" w:rsidRDefault="008B45B0" w:rsidP="008A1DDD">
      <w:pPr>
        <w:pStyle w:val="PlainText"/>
        <w:jc w:val="both"/>
        <w:rPr>
          <w:rFonts w:ascii="Times New Roman" w:hAnsi="Times New Roman" w:cs="Times New Roman"/>
          <w:sz w:val="28"/>
          <w:szCs w:val="28"/>
        </w:rPr>
      </w:pPr>
    </w:p>
    <w:p w14:paraId="0BB2CE8F" w14:textId="4E879A47" w:rsidR="008B45B0" w:rsidRPr="0001372C" w:rsidRDefault="008B45B0" w:rsidP="008B45B0">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The per capita supply available for human consumption is obtained by dividing the food supply by the partaking population estimate in each country; it is expressed in grams per capita of individual food commodities. FAO uses mid-year official population estimates released by the United Nations Development Program (UNDP). The most recent data are available at  </w:t>
      </w:r>
      <w:hyperlink r:id="rId11" w:history="1">
        <w:r w:rsidRPr="0001372C">
          <w:rPr>
            <w:rFonts w:ascii="Times New Roman" w:hAnsi="Times New Roman" w:cs="Times New Roman"/>
            <w:sz w:val="28"/>
            <w:szCs w:val="28"/>
          </w:rPr>
          <w:t>https://population.un.org/wpp/</w:t>
        </w:r>
      </w:hyperlink>
      <w:r w:rsidRPr="0001372C">
        <w:rPr>
          <w:rFonts w:ascii="Times New Roman" w:hAnsi="Times New Roman" w:cs="Times New Roman"/>
          <w:sz w:val="28"/>
          <w:szCs w:val="28"/>
        </w:rPr>
        <w:t xml:space="preserve"> (accessed August 2022). According to the last FAO recommendation for FBS compilers, the number of migrants and tourists must be subtracted from the </w:t>
      </w:r>
      <w:r w:rsidRPr="0001372C">
        <w:rPr>
          <w:rFonts w:ascii="Times New Roman" w:hAnsi="Times New Roman" w:cs="Times New Roman"/>
          <w:sz w:val="28"/>
          <w:szCs w:val="28"/>
        </w:rPr>
        <w:lastRenderedPageBreak/>
        <w:t xml:space="preserve">population estimates. The number of migrants and tourists should be calculated as the difference between country’s outbound travelers and inbound visitors (FAO 2021a).  </w:t>
      </w:r>
    </w:p>
    <w:p w14:paraId="360DA0C3" w14:textId="77777777" w:rsidR="008B45B0" w:rsidRPr="0001372C" w:rsidRDefault="008B45B0" w:rsidP="008A1DDD">
      <w:pPr>
        <w:pStyle w:val="PlainText"/>
        <w:jc w:val="both"/>
        <w:rPr>
          <w:rFonts w:ascii="Times New Roman" w:hAnsi="Times New Roman" w:cs="Times New Roman"/>
          <w:sz w:val="28"/>
          <w:szCs w:val="28"/>
        </w:rPr>
      </w:pPr>
    </w:p>
    <w:p w14:paraId="32E681B9" w14:textId="7F30347D" w:rsidR="001B32CB" w:rsidRDefault="001B32CB" w:rsidP="001B32CB">
      <w:pPr>
        <w:pStyle w:val="PlainText"/>
        <w:jc w:val="both"/>
        <w:rPr>
          <w:rFonts w:ascii="Times New Roman" w:hAnsi="Times New Roman" w:cs="Times New Roman"/>
          <w:sz w:val="28"/>
          <w:szCs w:val="28"/>
        </w:rPr>
      </w:pPr>
      <w:r w:rsidRPr="0001372C">
        <w:rPr>
          <w:rFonts w:ascii="Times New Roman" w:hAnsi="Times New Roman" w:cs="Times New Roman"/>
          <w:sz w:val="28"/>
          <w:szCs w:val="28"/>
        </w:rPr>
        <w:t>The accuracy of food balance sheets, which are in essence derived statistics, is of course dependent on the reliability of the underlying basic statistics. The coverage and accuracy of underlying statistics vary a great deal between countries. In some low-income countries, the coverage and quality of the statistics - especially for food diverted for non-human food uses and for food stocks - has many gaps. Systematic errors may also increase in countries where food systems become more sophisticated.</w:t>
      </w:r>
      <w:r>
        <w:rPr>
          <w:rFonts w:ascii="Times New Roman" w:hAnsi="Times New Roman" w:cs="Times New Roman"/>
          <w:sz w:val="28"/>
          <w:szCs w:val="28"/>
        </w:rPr>
        <w:t xml:space="preserve"> </w:t>
      </w:r>
      <w:r w:rsidRPr="0001372C">
        <w:rPr>
          <w:rFonts w:ascii="Times New Roman" w:hAnsi="Times New Roman" w:cs="Times New Roman"/>
          <w:sz w:val="28"/>
          <w:szCs w:val="28"/>
        </w:rPr>
        <w:t>FBSs may result in an underestimate of per capita food supply in low-income countries where subsistence agriculture is widespread. In fact, household consumption of vegetal food products obtained through growing or gathering and of animal food products obtained through breeding or hunting are not considered in the calculation.  FAO documents emphasize that availability for human consumption is by no means identical with consumption. The quantities of food available for human consumption, as estimated in the food balance sheet, reflect only the quantities reaching the consumer at retail level. The amount of food (and of nutrients) actually consumed may be lower than the quantity shown in the food balance sheet depending on the degree of loss and waste of edible food and nutrients in the household, e.g., during storage, in preparation and cooking (which affect vitamins and minerals to a greater extent than calories, protein and fat), as plate-waste, as fed to domestic animals and pets or thrown away (</w:t>
      </w:r>
      <w:hyperlink r:id="rId12" w:history="1">
        <w:r w:rsidRPr="0001372C">
          <w:rPr>
            <w:rStyle w:val="Hyperlink"/>
            <w:rFonts w:ascii="Times New Roman" w:hAnsi="Times New Roman" w:cs="Times New Roman"/>
            <w:sz w:val="28"/>
            <w:szCs w:val="28"/>
          </w:rPr>
          <w:t>https://www.fao.org/economic/the-statistics-division-ess/methodology/methodology-systems/supply-utilization-accounts-and-food-balance-sheets-background-information-for-your-better-understanding/en/</w:t>
        </w:r>
      </w:hyperlink>
      <w:r w:rsidRPr="0001372C">
        <w:rPr>
          <w:rFonts w:ascii="Times New Roman" w:hAnsi="Times New Roman" w:cs="Times New Roman"/>
          <w:sz w:val="28"/>
          <w:szCs w:val="28"/>
        </w:rPr>
        <w:t>).</w:t>
      </w:r>
    </w:p>
    <w:p w14:paraId="500B66D4" w14:textId="77777777" w:rsidR="001B32CB" w:rsidRDefault="001B32CB" w:rsidP="001B32CB">
      <w:pPr>
        <w:pStyle w:val="PlainText"/>
        <w:jc w:val="both"/>
        <w:rPr>
          <w:rFonts w:ascii="Times New Roman" w:hAnsi="Times New Roman" w:cs="Times New Roman"/>
          <w:sz w:val="28"/>
          <w:szCs w:val="28"/>
        </w:rPr>
      </w:pPr>
    </w:p>
    <w:p w14:paraId="73F6176E" w14:textId="6C00E684" w:rsidR="00365BE2" w:rsidRPr="0001372C" w:rsidRDefault="006D21BC" w:rsidP="00F87B1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w:t>
      </w:r>
      <w:r w:rsidR="00AA2C8D" w:rsidRPr="0001372C">
        <w:rPr>
          <w:rFonts w:ascii="Times New Roman" w:hAnsi="Times New Roman" w:cs="Times New Roman"/>
          <w:sz w:val="28"/>
          <w:szCs w:val="28"/>
        </w:rPr>
        <w:t xml:space="preserve">hen making use of </w:t>
      </w:r>
      <w:r w:rsidR="001B32CB">
        <w:rPr>
          <w:rFonts w:ascii="Times New Roman" w:hAnsi="Times New Roman" w:cs="Times New Roman"/>
          <w:sz w:val="28"/>
          <w:szCs w:val="28"/>
        </w:rPr>
        <w:t>FAO FBS data,</w:t>
      </w:r>
      <w:r w:rsidR="00AA2C8D" w:rsidRPr="0001372C">
        <w:rPr>
          <w:rFonts w:ascii="Times New Roman" w:hAnsi="Times New Roman" w:cs="Times New Roman"/>
          <w:sz w:val="28"/>
          <w:szCs w:val="28"/>
        </w:rPr>
        <w:t xml:space="preserve"> one must bear in mind that i</w:t>
      </w:r>
      <w:r w:rsidR="00051D60" w:rsidRPr="0001372C">
        <w:rPr>
          <w:rFonts w:ascii="Times New Roman" w:hAnsi="Times New Roman" w:cs="Times New Roman"/>
          <w:sz w:val="28"/>
          <w:szCs w:val="28"/>
        </w:rPr>
        <w:t>n the last few years F</w:t>
      </w:r>
      <w:r w:rsidR="001B6868" w:rsidRPr="0001372C">
        <w:rPr>
          <w:rFonts w:ascii="Times New Roman" w:hAnsi="Times New Roman" w:cs="Times New Roman"/>
          <w:sz w:val="28"/>
          <w:szCs w:val="28"/>
        </w:rPr>
        <w:t>AO has changed its methodology</w:t>
      </w:r>
      <w:r w:rsidR="00E87786" w:rsidRPr="0001372C">
        <w:rPr>
          <w:rFonts w:ascii="Times New Roman" w:hAnsi="Times New Roman" w:cs="Times New Roman"/>
          <w:sz w:val="28"/>
          <w:szCs w:val="28"/>
        </w:rPr>
        <w:t xml:space="preserve"> to develop </w:t>
      </w:r>
      <w:r w:rsidR="00626E84" w:rsidRPr="0001372C">
        <w:rPr>
          <w:rFonts w:ascii="Times New Roman" w:hAnsi="Times New Roman" w:cs="Times New Roman"/>
          <w:sz w:val="28"/>
          <w:szCs w:val="28"/>
        </w:rPr>
        <w:t>FBS</w:t>
      </w:r>
      <w:r w:rsidR="00E87786" w:rsidRPr="0001372C">
        <w:rPr>
          <w:rFonts w:ascii="Times New Roman" w:hAnsi="Times New Roman" w:cs="Times New Roman"/>
          <w:sz w:val="28"/>
          <w:szCs w:val="28"/>
        </w:rPr>
        <w:t>s</w:t>
      </w:r>
      <w:r w:rsidR="00F87B19" w:rsidRPr="0001372C">
        <w:rPr>
          <w:rFonts w:ascii="Times New Roman" w:hAnsi="Times New Roman" w:cs="Times New Roman"/>
          <w:sz w:val="28"/>
          <w:szCs w:val="28"/>
        </w:rPr>
        <w:t xml:space="preserve">. The new methodology </w:t>
      </w:r>
      <w:r w:rsidR="006A7027" w:rsidRPr="0001372C">
        <w:rPr>
          <w:rFonts w:ascii="Times New Roman" w:hAnsi="Times New Roman" w:cs="Times New Roman"/>
          <w:sz w:val="28"/>
          <w:szCs w:val="28"/>
        </w:rPr>
        <w:t xml:space="preserve">is illustrated in </w:t>
      </w:r>
      <w:r w:rsidR="00F87B19" w:rsidRPr="0001372C">
        <w:rPr>
          <w:rFonts w:ascii="Times New Roman" w:hAnsi="Times New Roman" w:cs="Times New Roman"/>
          <w:sz w:val="28"/>
          <w:szCs w:val="28"/>
        </w:rPr>
        <w:t xml:space="preserve">the document </w:t>
      </w:r>
      <w:r w:rsidR="006A7027" w:rsidRPr="0001372C">
        <w:rPr>
          <w:rFonts w:ascii="Times New Roman" w:hAnsi="Times New Roman" w:cs="Times New Roman"/>
          <w:sz w:val="28"/>
          <w:szCs w:val="28"/>
        </w:rPr>
        <w:t xml:space="preserve">“The New Food Balances and the utilization variables” </w:t>
      </w:r>
      <w:r w:rsidR="001B6868" w:rsidRPr="0001372C">
        <w:rPr>
          <w:rFonts w:ascii="Times New Roman" w:hAnsi="Times New Roman" w:cs="Times New Roman"/>
          <w:sz w:val="28"/>
          <w:szCs w:val="28"/>
        </w:rPr>
        <w:t>(FAO,</w:t>
      </w:r>
      <w:r w:rsidR="00365BE2" w:rsidRPr="0001372C">
        <w:rPr>
          <w:rFonts w:ascii="Times New Roman" w:hAnsi="Times New Roman" w:cs="Times New Roman"/>
          <w:sz w:val="28"/>
          <w:szCs w:val="28"/>
        </w:rPr>
        <w:t xml:space="preserve"> 2021a</w:t>
      </w:r>
      <w:r w:rsidR="006A7027" w:rsidRPr="0001372C">
        <w:rPr>
          <w:rFonts w:ascii="Times New Roman" w:hAnsi="Times New Roman" w:cs="Times New Roman"/>
          <w:sz w:val="28"/>
          <w:szCs w:val="28"/>
        </w:rPr>
        <w:t>)</w:t>
      </w:r>
      <w:r w:rsidR="00326C82" w:rsidRPr="0001372C">
        <w:rPr>
          <w:rFonts w:ascii="Times New Roman" w:hAnsi="Times New Roman" w:cs="Times New Roman"/>
          <w:sz w:val="28"/>
          <w:szCs w:val="28"/>
        </w:rPr>
        <w:t>.</w:t>
      </w:r>
      <w:r w:rsidR="001B6868" w:rsidRPr="0001372C">
        <w:rPr>
          <w:rFonts w:ascii="Times New Roman" w:hAnsi="Times New Roman" w:cs="Times New Roman"/>
          <w:sz w:val="28"/>
          <w:szCs w:val="28"/>
        </w:rPr>
        <w:t xml:space="preserve"> Key differences between new and old </w:t>
      </w:r>
      <w:r w:rsidR="00626E84" w:rsidRPr="0001372C">
        <w:rPr>
          <w:rFonts w:ascii="Times New Roman" w:hAnsi="Times New Roman" w:cs="Times New Roman"/>
          <w:sz w:val="28"/>
          <w:szCs w:val="28"/>
        </w:rPr>
        <w:t>FBS</w:t>
      </w:r>
      <w:r w:rsidR="001B6868" w:rsidRPr="0001372C">
        <w:rPr>
          <w:rFonts w:ascii="Times New Roman" w:hAnsi="Times New Roman" w:cs="Times New Roman"/>
          <w:sz w:val="28"/>
          <w:szCs w:val="28"/>
        </w:rPr>
        <w:t xml:space="preserve"> (FBS)</w:t>
      </w:r>
      <w:r w:rsidR="00365BE2" w:rsidRPr="0001372C">
        <w:rPr>
          <w:rFonts w:ascii="Times New Roman" w:hAnsi="Times New Roman" w:cs="Times New Roman"/>
          <w:sz w:val="28"/>
          <w:szCs w:val="28"/>
        </w:rPr>
        <w:t xml:space="preserve"> are descri</w:t>
      </w:r>
      <w:r w:rsidR="006A7027" w:rsidRPr="0001372C">
        <w:rPr>
          <w:rFonts w:ascii="Times New Roman" w:hAnsi="Times New Roman" w:cs="Times New Roman"/>
          <w:sz w:val="28"/>
          <w:szCs w:val="28"/>
        </w:rPr>
        <w:t>b</w:t>
      </w:r>
      <w:r w:rsidR="00365BE2" w:rsidRPr="0001372C">
        <w:rPr>
          <w:rFonts w:ascii="Times New Roman" w:hAnsi="Times New Roman" w:cs="Times New Roman"/>
          <w:sz w:val="28"/>
          <w:szCs w:val="28"/>
        </w:rPr>
        <w:t xml:space="preserve">ed </w:t>
      </w:r>
      <w:r w:rsidR="00BF15AD" w:rsidRPr="0001372C">
        <w:rPr>
          <w:rFonts w:ascii="Times New Roman" w:hAnsi="Times New Roman" w:cs="Times New Roman"/>
          <w:sz w:val="28"/>
          <w:szCs w:val="28"/>
        </w:rPr>
        <w:t>in</w:t>
      </w:r>
      <w:r w:rsidR="00365BE2" w:rsidRPr="0001372C">
        <w:rPr>
          <w:rFonts w:ascii="Times New Roman" w:hAnsi="Times New Roman" w:cs="Times New Roman"/>
          <w:sz w:val="28"/>
          <w:szCs w:val="28"/>
        </w:rPr>
        <w:t xml:space="preserve"> FAO (2021b)</w:t>
      </w:r>
      <w:r w:rsidR="006A7027" w:rsidRPr="0001372C">
        <w:rPr>
          <w:rFonts w:ascii="Times New Roman" w:hAnsi="Times New Roman" w:cs="Times New Roman"/>
          <w:sz w:val="28"/>
          <w:szCs w:val="28"/>
        </w:rPr>
        <w:t xml:space="preserve">. </w:t>
      </w:r>
      <w:r w:rsidR="005E4E64" w:rsidRPr="0001372C">
        <w:rPr>
          <w:rFonts w:ascii="Times New Roman" w:hAnsi="Times New Roman" w:cs="Times New Roman"/>
          <w:sz w:val="28"/>
          <w:szCs w:val="28"/>
        </w:rPr>
        <w:t>With the release of FBS data for 2019, the new methodology used for 2014–2019 ha</w:t>
      </w:r>
      <w:r w:rsidR="00BF15AD" w:rsidRPr="0001372C">
        <w:rPr>
          <w:rFonts w:ascii="Times New Roman" w:hAnsi="Times New Roman" w:cs="Times New Roman"/>
          <w:sz w:val="28"/>
          <w:szCs w:val="28"/>
        </w:rPr>
        <w:t xml:space="preserve">s </w:t>
      </w:r>
      <w:r w:rsidR="005E4E64" w:rsidRPr="0001372C">
        <w:rPr>
          <w:rFonts w:ascii="Times New Roman" w:hAnsi="Times New Roman" w:cs="Times New Roman"/>
          <w:sz w:val="28"/>
          <w:szCs w:val="28"/>
        </w:rPr>
        <w:t xml:space="preserve">been applied backwards to cover 2010–2013, therefore giving consistent time series </w:t>
      </w:r>
      <w:r w:rsidR="009A5CE9" w:rsidRPr="0001372C">
        <w:rPr>
          <w:rFonts w:ascii="Times New Roman" w:hAnsi="Times New Roman" w:cs="Times New Roman"/>
          <w:sz w:val="28"/>
          <w:szCs w:val="28"/>
        </w:rPr>
        <w:t xml:space="preserve">of national food supply </w:t>
      </w:r>
      <w:r w:rsidR="005E4E64" w:rsidRPr="0001372C">
        <w:rPr>
          <w:rFonts w:ascii="Times New Roman" w:hAnsi="Times New Roman" w:cs="Times New Roman"/>
          <w:sz w:val="28"/>
          <w:szCs w:val="28"/>
        </w:rPr>
        <w:t xml:space="preserve">from 2010 to 2019. </w:t>
      </w:r>
      <w:r w:rsidR="00E303DC" w:rsidRPr="0001372C">
        <w:rPr>
          <w:rFonts w:ascii="Times New Roman" w:hAnsi="Times New Roman" w:cs="Times New Roman"/>
          <w:sz w:val="28"/>
          <w:szCs w:val="28"/>
        </w:rPr>
        <w:t xml:space="preserve">The </w:t>
      </w:r>
      <w:r w:rsidR="00AA2C8D" w:rsidRPr="0001372C">
        <w:rPr>
          <w:rFonts w:ascii="Times New Roman" w:hAnsi="Times New Roman" w:cs="Times New Roman"/>
          <w:sz w:val="28"/>
          <w:szCs w:val="28"/>
        </w:rPr>
        <w:t xml:space="preserve">per capita </w:t>
      </w:r>
      <w:r w:rsidR="009A5CE9" w:rsidRPr="0001372C">
        <w:rPr>
          <w:rFonts w:ascii="Times New Roman" w:hAnsi="Times New Roman" w:cs="Times New Roman"/>
          <w:sz w:val="28"/>
          <w:szCs w:val="28"/>
        </w:rPr>
        <w:t xml:space="preserve">food supply </w:t>
      </w:r>
      <w:r w:rsidR="00AA2C8D" w:rsidRPr="0001372C">
        <w:rPr>
          <w:rFonts w:ascii="Times New Roman" w:hAnsi="Times New Roman" w:cs="Times New Roman"/>
          <w:sz w:val="28"/>
          <w:szCs w:val="28"/>
        </w:rPr>
        <w:t xml:space="preserve">data </w:t>
      </w:r>
      <w:r w:rsidR="00E303DC" w:rsidRPr="0001372C">
        <w:rPr>
          <w:rFonts w:ascii="Times New Roman" w:hAnsi="Times New Roman" w:cs="Times New Roman"/>
          <w:sz w:val="28"/>
          <w:szCs w:val="28"/>
        </w:rPr>
        <w:t>for 2010-19 have been compiled using the 2019 UNPD population data</w:t>
      </w:r>
      <w:r w:rsidR="00E87786" w:rsidRPr="0001372C">
        <w:rPr>
          <w:rFonts w:ascii="Times New Roman" w:hAnsi="Times New Roman" w:cs="Times New Roman"/>
          <w:sz w:val="28"/>
          <w:szCs w:val="28"/>
        </w:rPr>
        <w:t>,</w:t>
      </w:r>
      <w:r w:rsidR="00E303DC" w:rsidRPr="0001372C">
        <w:rPr>
          <w:rFonts w:ascii="Times New Roman" w:hAnsi="Times New Roman" w:cs="Times New Roman"/>
          <w:sz w:val="28"/>
          <w:szCs w:val="28"/>
        </w:rPr>
        <w:t xml:space="preserve"> whereas the series up to 2009 has been compiled using the 2015 (or even earlier) version of the UNPD population data. </w:t>
      </w:r>
      <w:r w:rsidR="009A5CE9" w:rsidRPr="0001372C">
        <w:rPr>
          <w:rFonts w:ascii="Times New Roman" w:hAnsi="Times New Roman" w:cs="Times New Roman"/>
          <w:sz w:val="28"/>
          <w:szCs w:val="28"/>
        </w:rPr>
        <w:t>T</w:t>
      </w:r>
      <w:r w:rsidR="00E303DC" w:rsidRPr="0001372C">
        <w:rPr>
          <w:rFonts w:ascii="Times New Roman" w:hAnsi="Times New Roman" w:cs="Times New Roman"/>
          <w:sz w:val="28"/>
          <w:szCs w:val="28"/>
        </w:rPr>
        <w:t xml:space="preserve">he FBS preceding 2010 will </w:t>
      </w:r>
      <w:r w:rsidR="009A5CE9" w:rsidRPr="0001372C">
        <w:rPr>
          <w:rFonts w:ascii="Times New Roman" w:hAnsi="Times New Roman" w:cs="Times New Roman"/>
          <w:sz w:val="28"/>
          <w:szCs w:val="28"/>
        </w:rPr>
        <w:t xml:space="preserve">soon </w:t>
      </w:r>
      <w:r w:rsidR="00E303DC" w:rsidRPr="0001372C">
        <w:rPr>
          <w:rFonts w:ascii="Times New Roman" w:hAnsi="Times New Roman" w:cs="Times New Roman"/>
          <w:sz w:val="28"/>
          <w:szCs w:val="28"/>
        </w:rPr>
        <w:t>be recompiled using the new methodology</w:t>
      </w:r>
      <w:r w:rsidR="009A5CE9" w:rsidRPr="0001372C">
        <w:rPr>
          <w:rFonts w:ascii="Times New Roman" w:hAnsi="Times New Roman" w:cs="Times New Roman"/>
          <w:sz w:val="28"/>
          <w:szCs w:val="28"/>
        </w:rPr>
        <w:t xml:space="preserve">. </w:t>
      </w:r>
    </w:p>
    <w:p w14:paraId="55E271F4" w14:textId="77777777" w:rsidR="00C25D6D" w:rsidRPr="0001372C" w:rsidRDefault="00C25D6D" w:rsidP="006020C2">
      <w:pPr>
        <w:pStyle w:val="PlainText"/>
        <w:jc w:val="both"/>
        <w:rPr>
          <w:rFonts w:ascii="Times New Roman" w:hAnsi="Times New Roman" w:cs="Times New Roman"/>
          <w:sz w:val="28"/>
          <w:szCs w:val="28"/>
        </w:rPr>
      </w:pPr>
    </w:p>
    <w:p w14:paraId="4E4F4FB4" w14:textId="77A37B52" w:rsidR="00A01D5B" w:rsidRPr="0001372C" w:rsidRDefault="00AE4358" w:rsidP="00AE4358">
      <w:pPr>
        <w:pStyle w:val="PlainText"/>
        <w:rPr>
          <w:rFonts w:ascii="Times New Roman" w:hAnsi="Times New Roman" w:cs="Times New Roman"/>
          <w:sz w:val="28"/>
          <w:szCs w:val="28"/>
        </w:rPr>
      </w:pPr>
      <w:r w:rsidRPr="0001372C">
        <w:rPr>
          <w:rFonts w:ascii="Times New Roman" w:hAnsi="Times New Roman" w:cs="Times New Roman"/>
          <w:b/>
          <w:bCs/>
          <w:sz w:val="28"/>
          <w:szCs w:val="28"/>
        </w:rPr>
        <w:lastRenderedPageBreak/>
        <w:t>2.2</w:t>
      </w:r>
      <w:r w:rsidR="00CF3F6D" w:rsidRPr="0001372C">
        <w:rPr>
          <w:rFonts w:ascii="Times New Roman" w:hAnsi="Times New Roman" w:cs="Times New Roman"/>
          <w:b/>
          <w:bCs/>
          <w:sz w:val="28"/>
          <w:szCs w:val="28"/>
        </w:rPr>
        <w:t>.</w:t>
      </w:r>
      <w:r w:rsidR="00713AE3" w:rsidRPr="0001372C">
        <w:rPr>
          <w:rFonts w:ascii="Times New Roman" w:hAnsi="Times New Roman" w:cs="Times New Roman"/>
          <w:b/>
          <w:bCs/>
          <w:sz w:val="28"/>
          <w:szCs w:val="28"/>
        </w:rPr>
        <w:t xml:space="preserve"> </w:t>
      </w:r>
      <w:r w:rsidR="00A01D5B" w:rsidRPr="0001372C">
        <w:rPr>
          <w:rFonts w:ascii="Times New Roman" w:hAnsi="Times New Roman" w:cs="Times New Roman"/>
          <w:b/>
          <w:bCs/>
          <w:sz w:val="28"/>
          <w:szCs w:val="28"/>
        </w:rPr>
        <w:t xml:space="preserve"> </w:t>
      </w:r>
      <w:r w:rsidR="003261AE" w:rsidRPr="0001372C">
        <w:rPr>
          <w:rFonts w:ascii="Times New Roman" w:hAnsi="Times New Roman" w:cs="Times New Roman"/>
          <w:b/>
          <w:bCs/>
          <w:sz w:val="28"/>
          <w:szCs w:val="28"/>
        </w:rPr>
        <w:t>Measurement of food available for consumption at the household level: Household surveys</w:t>
      </w:r>
    </w:p>
    <w:p w14:paraId="0C5AC058" w14:textId="77777777" w:rsidR="003261AE" w:rsidRPr="0001372C" w:rsidRDefault="003261AE" w:rsidP="00A01D5B">
      <w:pPr>
        <w:pStyle w:val="PlainText"/>
        <w:jc w:val="both"/>
        <w:rPr>
          <w:rFonts w:ascii="Times New Roman" w:hAnsi="Times New Roman" w:cs="Times New Roman"/>
          <w:sz w:val="28"/>
          <w:szCs w:val="28"/>
        </w:rPr>
      </w:pPr>
    </w:p>
    <w:p w14:paraId="667ACF38" w14:textId="7FC2D541" w:rsidR="00940EFB" w:rsidRPr="0001372C" w:rsidRDefault="00940EFB" w:rsidP="00D9594A">
      <w:pPr>
        <w:pStyle w:val="PlainText"/>
        <w:jc w:val="both"/>
        <w:rPr>
          <w:rFonts w:ascii="Times New Roman" w:hAnsi="Times New Roman" w:cs="Times New Roman"/>
          <w:sz w:val="28"/>
          <w:szCs w:val="28"/>
        </w:rPr>
      </w:pPr>
      <w:r w:rsidRPr="0001372C">
        <w:rPr>
          <w:rFonts w:ascii="Times New Roman" w:hAnsi="Times New Roman" w:cs="Times New Roman"/>
          <w:sz w:val="28"/>
          <w:szCs w:val="28"/>
        </w:rPr>
        <w:t>Household food consumption is the food and beverages available for consumption by the household, family group, or institution. It is defined as</w:t>
      </w:r>
      <w:r w:rsidR="00D9594A" w:rsidRPr="0001372C">
        <w:rPr>
          <w:rFonts w:ascii="Times New Roman" w:hAnsi="Times New Roman" w:cs="Times New Roman"/>
          <w:sz w:val="28"/>
          <w:szCs w:val="28"/>
        </w:rPr>
        <w:t xml:space="preserve"> </w:t>
      </w:r>
      <w:r w:rsidRPr="0001372C">
        <w:rPr>
          <w:rFonts w:ascii="Times New Roman" w:hAnsi="Times New Roman" w:cs="Times New Roman"/>
          <w:sz w:val="28"/>
          <w:szCs w:val="28"/>
        </w:rPr>
        <w:t xml:space="preserve">the total amount of food </w:t>
      </w:r>
      <w:r w:rsidR="005C6B32">
        <w:rPr>
          <w:rFonts w:ascii="Times New Roman" w:hAnsi="Times New Roman" w:cs="Times New Roman"/>
          <w:sz w:val="28"/>
          <w:szCs w:val="28"/>
        </w:rPr>
        <w:t xml:space="preserve">and beverages </w:t>
      </w:r>
      <w:r w:rsidRPr="0001372C">
        <w:rPr>
          <w:rFonts w:ascii="Times New Roman" w:hAnsi="Times New Roman" w:cs="Times New Roman"/>
          <w:sz w:val="28"/>
          <w:szCs w:val="28"/>
        </w:rPr>
        <w:t>available for</w:t>
      </w:r>
      <w:r w:rsidR="00D9594A" w:rsidRPr="0001372C">
        <w:rPr>
          <w:rFonts w:ascii="Times New Roman" w:hAnsi="Times New Roman" w:cs="Times New Roman"/>
          <w:sz w:val="28"/>
          <w:szCs w:val="28"/>
        </w:rPr>
        <w:t xml:space="preserve"> </w:t>
      </w:r>
      <w:r w:rsidRPr="0001372C">
        <w:rPr>
          <w:rFonts w:ascii="Times New Roman" w:hAnsi="Times New Roman" w:cs="Times New Roman"/>
          <w:sz w:val="28"/>
          <w:szCs w:val="28"/>
        </w:rPr>
        <w:t>consumption in the household</w:t>
      </w:r>
      <w:r w:rsidR="00D9594A" w:rsidRPr="0001372C">
        <w:rPr>
          <w:rFonts w:ascii="Times New Roman" w:hAnsi="Times New Roman" w:cs="Times New Roman"/>
          <w:sz w:val="28"/>
          <w:szCs w:val="28"/>
        </w:rPr>
        <w:t xml:space="preserve"> or </w:t>
      </w:r>
      <w:r w:rsidR="00BE1E9F" w:rsidRPr="005B023D">
        <w:rPr>
          <w:rFonts w:ascii="Times New Roman" w:hAnsi="Times New Roman" w:cs="Times New Roman"/>
          <w:sz w:val="28"/>
          <w:szCs w:val="28"/>
        </w:rPr>
        <w:t>prepared</w:t>
      </w:r>
      <w:r w:rsidR="00BE1E9F" w:rsidRPr="0001372C">
        <w:rPr>
          <w:rFonts w:ascii="Times New Roman" w:hAnsi="Times New Roman" w:cs="Times New Roman"/>
          <w:sz w:val="28"/>
          <w:szCs w:val="28"/>
        </w:rPr>
        <w:t xml:space="preserve"> and </w:t>
      </w:r>
      <w:r w:rsidR="00D9594A" w:rsidRPr="0001372C">
        <w:rPr>
          <w:rFonts w:ascii="Times New Roman" w:hAnsi="Times New Roman" w:cs="Times New Roman"/>
          <w:sz w:val="28"/>
          <w:szCs w:val="28"/>
        </w:rPr>
        <w:t xml:space="preserve">consumed outside the household. </w:t>
      </w:r>
    </w:p>
    <w:p w14:paraId="5B378F90" w14:textId="77777777" w:rsidR="00940EFB" w:rsidRPr="0001372C" w:rsidRDefault="00940EFB" w:rsidP="00A01D5B">
      <w:pPr>
        <w:pStyle w:val="PlainText"/>
        <w:jc w:val="both"/>
        <w:rPr>
          <w:rFonts w:ascii="Times New Roman" w:hAnsi="Times New Roman" w:cs="Times New Roman"/>
          <w:sz w:val="28"/>
          <w:szCs w:val="28"/>
        </w:rPr>
      </w:pPr>
    </w:p>
    <w:p w14:paraId="0E15DD09" w14:textId="112AE7F0" w:rsidR="00A903C1" w:rsidRDefault="00A903C1" w:rsidP="00A903C1">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Household surveys are of two types, those developed in the 80s as an alternative to individual surveys to inform nutrition where </w:t>
      </w:r>
      <w:r w:rsidRPr="0001372C">
        <w:rPr>
          <w:rFonts w:ascii="Times New Roman" w:hAnsi="Times New Roman" w:cs="Times New Roman"/>
          <w:i/>
          <w:iCs/>
          <w:sz w:val="28"/>
          <w:szCs w:val="28"/>
        </w:rPr>
        <w:t>food consumption</w:t>
      </w:r>
      <w:r w:rsidRPr="0001372C">
        <w:rPr>
          <w:rFonts w:ascii="Times New Roman" w:hAnsi="Times New Roman" w:cs="Times New Roman"/>
          <w:sz w:val="28"/>
          <w:szCs w:val="28"/>
        </w:rPr>
        <w:t xml:space="preserve"> is measured (Household Food Consumption Surveys – HFCS) and those more widely used in low- and middle-income economies to inform on global food security and poverty where </w:t>
      </w:r>
      <w:r w:rsidRPr="0001372C">
        <w:rPr>
          <w:rFonts w:ascii="Times New Roman" w:hAnsi="Times New Roman" w:cs="Times New Roman"/>
          <w:i/>
          <w:iCs/>
          <w:sz w:val="28"/>
          <w:szCs w:val="28"/>
        </w:rPr>
        <w:t>food available for consumption</w:t>
      </w:r>
      <w:r w:rsidRPr="0001372C">
        <w:rPr>
          <w:rFonts w:ascii="Times New Roman" w:hAnsi="Times New Roman" w:cs="Times New Roman"/>
          <w:sz w:val="28"/>
          <w:szCs w:val="28"/>
        </w:rPr>
        <w:t xml:space="preserve"> is measured (Household Consumption and Expenditure Surveys </w:t>
      </w:r>
      <w:r w:rsidR="00DA2481">
        <w:rPr>
          <w:rFonts w:ascii="Times New Roman" w:hAnsi="Times New Roman" w:cs="Times New Roman"/>
          <w:sz w:val="28"/>
          <w:szCs w:val="28"/>
        </w:rPr>
        <w:t>–</w:t>
      </w:r>
      <w:r w:rsidRPr="0001372C">
        <w:rPr>
          <w:rFonts w:ascii="Times New Roman" w:hAnsi="Times New Roman" w:cs="Times New Roman"/>
          <w:sz w:val="28"/>
          <w:szCs w:val="28"/>
        </w:rPr>
        <w:t xml:space="preserve"> HCES). They can also be used for surveys conducted in institutions (</w:t>
      </w:r>
      <w:proofErr w:type="gramStart"/>
      <w:r w:rsidRPr="0001372C">
        <w:rPr>
          <w:rFonts w:ascii="Times New Roman" w:hAnsi="Times New Roman" w:cs="Times New Roman"/>
          <w:sz w:val="28"/>
          <w:szCs w:val="28"/>
        </w:rPr>
        <w:t>e.g.</w:t>
      </w:r>
      <w:proofErr w:type="gramEnd"/>
      <w:r w:rsidRPr="0001372C">
        <w:rPr>
          <w:rFonts w:ascii="Times New Roman" w:hAnsi="Times New Roman" w:cs="Times New Roman"/>
          <w:sz w:val="28"/>
          <w:szCs w:val="28"/>
        </w:rPr>
        <w:t xml:space="preserve"> for institutionalized elderly).</w:t>
      </w:r>
    </w:p>
    <w:p w14:paraId="0B9B1487" w14:textId="5D63ABE3" w:rsidR="00556046" w:rsidRDefault="00556046" w:rsidP="00A903C1">
      <w:pPr>
        <w:pStyle w:val="PlainText"/>
        <w:jc w:val="both"/>
        <w:rPr>
          <w:rFonts w:ascii="Times New Roman" w:hAnsi="Times New Roman" w:cs="Times New Roman"/>
          <w:sz w:val="28"/>
          <w:szCs w:val="28"/>
        </w:rPr>
      </w:pPr>
    </w:p>
    <w:p w14:paraId="37ABA1F6" w14:textId="36109F41" w:rsidR="00556046" w:rsidRPr="0001372C" w:rsidRDefault="00556046" w:rsidP="0055604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In the past, some surveys with the same characteristics as </w:t>
      </w:r>
      <w:r>
        <w:rPr>
          <w:rFonts w:ascii="Times New Roman" w:hAnsi="Times New Roman" w:cs="Times New Roman"/>
          <w:sz w:val="28"/>
          <w:szCs w:val="28"/>
        </w:rPr>
        <w:t xml:space="preserve">HFCS or </w:t>
      </w:r>
      <w:r w:rsidRPr="0001372C">
        <w:rPr>
          <w:rFonts w:ascii="Times New Roman" w:hAnsi="Times New Roman" w:cs="Times New Roman"/>
          <w:sz w:val="28"/>
          <w:szCs w:val="28"/>
        </w:rPr>
        <w:t>HCES were conducted in high income countries with the objective of dietary assessment. As for some HCES they were based on the record of food quantities entering the household, either purchased, received as gifts, or produced for household use over a reference period. They were called food account method (Burk &amp; Pao, 1976) or food inventory method (Turrini et al., 2001). Individual food consumption of the household components w</w:t>
      </w:r>
      <w:r w:rsidR="00455277">
        <w:rPr>
          <w:rFonts w:ascii="Times New Roman" w:hAnsi="Times New Roman" w:cs="Times New Roman"/>
          <w:sz w:val="28"/>
          <w:szCs w:val="28"/>
        </w:rPr>
        <w:t>as</w:t>
      </w:r>
      <w:r w:rsidRPr="0001372C">
        <w:rPr>
          <w:rFonts w:ascii="Times New Roman" w:hAnsi="Times New Roman" w:cs="Times New Roman"/>
          <w:sz w:val="28"/>
          <w:szCs w:val="28"/>
        </w:rPr>
        <w:t xml:space="preserve"> often also recorded as an additional component of the survey, leading to an important burden on the sampled households. Such surveys are now rare and have been substituted by individual food consumption surveys.</w:t>
      </w:r>
    </w:p>
    <w:p w14:paraId="731D8615" w14:textId="77777777" w:rsidR="00A903C1" w:rsidRPr="0001372C" w:rsidRDefault="00A903C1" w:rsidP="00B71927">
      <w:pPr>
        <w:pStyle w:val="PlainText"/>
        <w:jc w:val="both"/>
        <w:rPr>
          <w:rFonts w:ascii="Times New Roman" w:hAnsi="Times New Roman" w:cs="Times New Roman"/>
          <w:sz w:val="28"/>
          <w:szCs w:val="28"/>
        </w:rPr>
      </w:pPr>
    </w:p>
    <w:p w14:paraId="00F6912C" w14:textId="1F13A8E3" w:rsidR="00B71927" w:rsidRPr="0001372C" w:rsidRDefault="00C06D4C" w:rsidP="00B71927">
      <w:pPr>
        <w:pStyle w:val="PlainText"/>
        <w:jc w:val="both"/>
        <w:rPr>
          <w:rFonts w:ascii="Times New Roman" w:hAnsi="Times New Roman" w:cs="Times New Roman"/>
          <w:sz w:val="28"/>
          <w:szCs w:val="28"/>
        </w:rPr>
      </w:pPr>
      <w:r w:rsidRPr="0001372C">
        <w:rPr>
          <w:rFonts w:ascii="Times New Roman" w:hAnsi="Times New Roman" w:cs="Times New Roman"/>
          <w:sz w:val="28"/>
          <w:szCs w:val="28"/>
        </w:rPr>
        <w:t>During HFCS and HCES, data on acquisition and/or expenditure and/or consumption of commodities including food</w:t>
      </w:r>
      <w:r w:rsidR="003A4A9F">
        <w:rPr>
          <w:rFonts w:ascii="Times New Roman" w:hAnsi="Times New Roman" w:cs="Times New Roman"/>
          <w:sz w:val="28"/>
          <w:szCs w:val="28"/>
        </w:rPr>
        <w:t>s and beverages</w:t>
      </w:r>
      <w:r w:rsidRPr="0001372C">
        <w:rPr>
          <w:rFonts w:ascii="Times New Roman" w:hAnsi="Times New Roman" w:cs="Times New Roman"/>
          <w:sz w:val="28"/>
          <w:szCs w:val="28"/>
        </w:rPr>
        <w:t xml:space="preserve"> are collected. HFCS and HCES are less expensive </w:t>
      </w:r>
      <w:r w:rsidR="003261AE" w:rsidRPr="0001372C">
        <w:rPr>
          <w:rFonts w:ascii="Times New Roman" w:hAnsi="Times New Roman" w:cs="Times New Roman"/>
          <w:sz w:val="28"/>
          <w:szCs w:val="28"/>
        </w:rPr>
        <w:t xml:space="preserve">than individual food consumption surveys </w:t>
      </w:r>
      <w:r w:rsidRPr="0001372C">
        <w:rPr>
          <w:rFonts w:ascii="Times New Roman" w:hAnsi="Times New Roman" w:cs="Times New Roman"/>
          <w:sz w:val="28"/>
          <w:szCs w:val="28"/>
        </w:rPr>
        <w:t xml:space="preserve">and require a lower burden for participants. However, many of the technical problems </w:t>
      </w:r>
      <w:r w:rsidR="00B71927" w:rsidRPr="0001372C">
        <w:rPr>
          <w:rFonts w:ascii="Times New Roman" w:hAnsi="Times New Roman" w:cs="Times New Roman"/>
          <w:sz w:val="28"/>
          <w:szCs w:val="28"/>
        </w:rPr>
        <w:t xml:space="preserve">and limitations </w:t>
      </w:r>
      <w:r w:rsidRPr="0001372C">
        <w:rPr>
          <w:rFonts w:ascii="Times New Roman" w:hAnsi="Times New Roman" w:cs="Times New Roman"/>
          <w:sz w:val="28"/>
          <w:szCs w:val="28"/>
        </w:rPr>
        <w:t xml:space="preserve">of household surveys are the same as those of individual dietary surveys and are discussed in other sections (Chapters 4 and 5). </w:t>
      </w:r>
      <w:r w:rsidR="00B71927" w:rsidRPr="0001372C">
        <w:rPr>
          <w:rFonts w:ascii="Times New Roman" w:hAnsi="Times New Roman" w:cs="Times New Roman"/>
          <w:sz w:val="28"/>
          <w:szCs w:val="28"/>
        </w:rPr>
        <w:t>Thus</w:t>
      </w:r>
      <w:r w:rsidR="00823C28" w:rsidRPr="0001372C">
        <w:rPr>
          <w:rFonts w:ascii="Times New Roman" w:hAnsi="Times New Roman" w:cs="Times New Roman"/>
          <w:sz w:val="28"/>
          <w:szCs w:val="28"/>
        </w:rPr>
        <w:t>,</w:t>
      </w:r>
      <w:r w:rsidR="00B71927" w:rsidRPr="0001372C">
        <w:rPr>
          <w:rFonts w:ascii="Times New Roman" w:hAnsi="Times New Roman" w:cs="Times New Roman"/>
          <w:sz w:val="28"/>
          <w:szCs w:val="28"/>
        </w:rPr>
        <w:t xml:space="preserve"> diet might be altered by the </w:t>
      </w:r>
      <w:r w:rsidR="00BE1E9F" w:rsidRPr="0001372C">
        <w:rPr>
          <w:rFonts w:ascii="Times New Roman" w:hAnsi="Times New Roman" w:cs="Times New Roman"/>
          <w:sz w:val="28"/>
          <w:szCs w:val="28"/>
        </w:rPr>
        <w:t xml:space="preserve">design of the survey or the </w:t>
      </w:r>
      <w:r w:rsidR="00B71927" w:rsidRPr="0001372C">
        <w:rPr>
          <w:rFonts w:ascii="Times New Roman" w:hAnsi="Times New Roman" w:cs="Times New Roman"/>
          <w:sz w:val="28"/>
          <w:szCs w:val="28"/>
        </w:rPr>
        <w:t>recording process</w:t>
      </w:r>
      <w:r w:rsidR="00556046">
        <w:rPr>
          <w:rFonts w:ascii="Times New Roman" w:hAnsi="Times New Roman" w:cs="Times New Roman"/>
          <w:sz w:val="28"/>
          <w:szCs w:val="28"/>
        </w:rPr>
        <w:t>.</w:t>
      </w:r>
      <w:r w:rsidR="00B71927" w:rsidRPr="0001372C">
        <w:rPr>
          <w:rFonts w:ascii="Times New Roman" w:hAnsi="Times New Roman" w:cs="Times New Roman"/>
          <w:sz w:val="28"/>
          <w:szCs w:val="28"/>
        </w:rPr>
        <w:t xml:space="preserve"> </w:t>
      </w:r>
    </w:p>
    <w:p w14:paraId="53855893" w14:textId="330B64F2" w:rsidR="00A01D5B" w:rsidRPr="0001372C" w:rsidRDefault="00A01D5B" w:rsidP="00A01D5B">
      <w:pPr>
        <w:pStyle w:val="PlainText"/>
        <w:jc w:val="both"/>
        <w:rPr>
          <w:rFonts w:ascii="Times New Roman" w:hAnsi="Times New Roman" w:cs="Times New Roman"/>
          <w:sz w:val="28"/>
          <w:szCs w:val="28"/>
        </w:rPr>
      </w:pPr>
    </w:p>
    <w:p w14:paraId="2D6144DA" w14:textId="7E8E814A" w:rsidR="00B71927" w:rsidRPr="0001372C" w:rsidRDefault="00C06D4C" w:rsidP="00C06D4C">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Typically, HFCS and HCES are conducted on </w:t>
      </w:r>
      <w:r w:rsidR="003261AE" w:rsidRPr="0001372C">
        <w:rPr>
          <w:rFonts w:ascii="Times New Roman" w:hAnsi="Times New Roman" w:cs="Times New Roman"/>
          <w:sz w:val="28"/>
          <w:szCs w:val="28"/>
        </w:rPr>
        <w:t xml:space="preserve">large </w:t>
      </w:r>
      <w:r w:rsidRPr="0001372C">
        <w:rPr>
          <w:rFonts w:ascii="Times New Roman" w:hAnsi="Times New Roman" w:cs="Times New Roman"/>
          <w:sz w:val="28"/>
          <w:szCs w:val="28"/>
        </w:rPr>
        <w:t>nationally representative sample of households (</w:t>
      </w:r>
      <w:hyperlink r:id="rId13" w:history="1">
        <w:r w:rsidRPr="0001372C">
          <w:rPr>
            <w:rFonts w:ascii="Times New Roman" w:hAnsi="Times New Roman" w:cs="Times New Roman"/>
            <w:sz w:val="28"/>
            <w:szCs w:val="28"/>
          </w:rPr>
          <w:t>Fiedler et al., 2012</w:t>
        </w:r>
      </w:hyperlink>
      <w:r w:rsidRPr="0001372C">
        <w:rPr>
          <w:rFonts w:ascii="Times New Roman" w:hAnsi="Times New Roman" w:cs="Times New Roman"/>
          <w:sz w:val="28"/>
          <w:szCs w:val="28"/>
        </w:rPr>
        <w:t>). These surveys all involve collecting information on demographic and socioeconomic characteristics of the household, thereby enabling data to be presented in terms of income level, family size, region of the country, etc. Attention must be paid to the sampling design of these surveys to ensure that a representative national sample is obtained, as noted</w:t>
      </w:r>
      <w:r w:rsidR="00BC1735" w:rsidRPr="0001372C">
        <w:rPr>
          <w:rFonts w:ascii="Times New Roman" w:hAnsi="Times New Roman" w:cs="Times New Roman"/>
          <w:sz w:val="28"/>
          <w:szCs w:val="28"/>
        </w:rPr>
        <w:t xml:space="preserve"> in chapter 1, </w:t>
      </w:r>
      <w:r w:rsidR="00BC1735" w:rsidRPr="0001372C">
        <w:rPr>
          <w:rFonts w:ascii="Times New Roman" w:hAnsi="Times New Roman" w:cs="Times New Roman"/>
          <w:sz w:val="28"/>
          <w:szCs w:val="28"/>
        </w:rPr>
        <w:lastRenderedPageBreak/>
        <w:t>paragraph 1.4.2.</w:t>
      </w:r>
      <w:r w:rsidRPr="0001372C">
        <w:rPr>
          <w:rFonts w:ascii="Times New Roman" w:hAnsi="Times New Roman" w:cs="Times New Roman"/>
          <w:sz w:val="28"/>
          <w:szCs w:val="28"/>
        </w:rPr>
        <w:t xml:space="preserve"> The </w:t>
      </w:r>
      <w:r w:rsidR="00BC1735" w:rsidRPr="0001372C">
        <w:rPr>
          <w:rFonts w:ascii="Times New Roman" w:hAnsi="Times New Roman" w:cs="Times New Roman"/>
          <w:sz w:val="28"/>
          <w:szCs w:val="28"/>
        </w:rPr>
        <w:t xml:space="preserve">sampling design </w:t>
      </w:r>
      <w:r w:rsidRPr="0001372C">
        <w:rPr>
          <w:rFonts w:ascii="Times New Roman" w:hAnsi="Times New Roman" w:cs="Times New Roman"/>
          <w:sz w:val="28"/>
          <w:szCs w:val="28"/>
        </w:rPr>
        <w:t xml:space="preserve">should account for the influence on food consumption of season, holidays, weekends, socioeconomic </w:t>
      </w:r>
      <w:proofErr w:type="gramStart"/>
      <w:r w:rsidRPr="0001372C">
        <w:rPr>
          <w:rFonts w:ascii="Times New Roman" w:hAnsi="Times New Roman" w:cs="Times New Roman"/>
          <w:sz w:val="28"/>
          <w:szCs w:val="28"/>
        </w:rPr>
        <w:t>status</w:t>
      </w:r>
      <w:proofErr w:type="gramEnd"/>
      <w:r w:rsidRPr="0001372C">
        <w:rPr>
          <w:rFonts w:ascii="Times New Roman" w:hAnsi="Times New Roman" w:cs="Times New Roman"/>
          <w:sz w:val="28"/>
          <w:szCs w:val="28"/>
        </w:rPr>
        <w:t xml:space="preserve"> and region</w:t>
      </w:r>
      <w:r w:rsidR="003261AE" w:rsidRPr="0001372C">
        <w:rPr>
          <w:rFonts w:ascii="Times New Roman" w:hAnsi="Times New Roman" w:cs="Times New Roman"/>
          <w:sz w:val="28"/>
          <w:szCs w:val="28"/>
        </w:rPr>
        <w:t xml:space="preserve"> to obtain </w:t>
      </w:r>
      <w:r w:rsidR="00B71927" w:rsidRPr="0001372C">
        <w:rPr>
          <w:rFonts w:ascii="Times New Roman" w:hAnsi="Times New Roman" w:cs="Times New Roman"/>
          <w:sz w:val="28"/>
          <w:szCs w:val="28"/>
        </w:rPr>
        <w:t>information on the annual mean food consumption and of food consumption patterns of a population.</w:t>
      </w:r>
    </w:p>
    <w:p w14:paraId="4A145C39" w14:textId="0A22DCB0" w:rsidR="00C06D4C" w:rsidRPr="0001372C" w:rsidRDefault="00C06D4C" w:rsidP="00A01D5B">
      <w:pPr>
        <w:pStyle w:val="PlainText"/>
        <w:jc w:val="both"/>
        <w:rPr>
          <w:rFonts w:ascii="Times New Roman" w:hAnsi="Times New Roman" w:cs="Times New Roman"/>
          <w:sz w:val="28"/>
          <w:szCs w:val="28"/>
        </w:rPr>
      </w:pPr>
    </w:p>
    <w:p w14:paraId="13D12294" w14:textId="162784A6" w:rsidR="00E13FA8" w:rsidRPr="0001372C" w:rsidRDefault="00E13FA8" w:rsidP="00E13FA8">
      <w:pPr>
        <w:pStyle w:val="PlainText"/>
        <w:rPr>
          <w:rFonts w:ascii="Times New Roman" w:hAnsi="Times New Roman" w:cs="Times New Roman"/>
          <w:sz w:val="28"/>
          <w:szCs w:val="28"/>
          <w:u w:val="single"/>
        </w:rPr>
      </w:pPr>
      <w:r w:rsidRPr="0001372C">
        <w:rPr>
          <w:rFonts w:ascii="Times New Roman" w:hAnsi="Times New Roman" w:cs="Times New Roman"/>
          <w:sz w:val="28"/>
          <w:szCs w:val="28"/>
          <w:u w:val="single"/>
        </w:rPr>
        <w:t>2.2.1. Household Food Consumption Surveys</w:t>
      </w:r>
      <w:r w:rsidR="00A12802" w:rsidRPr="0001372C">
        <w:rPr>
          <w:rFonts w:ascii="Times New Roman" w:hAnsi="Times New Roman" w:cs="Times New Roman"/>
          <w:sz w:val="28"/>
          <w:szCs w:val="28"/>
          <w:u w:val="single"/>
        </w:rPr>
        <w:t xml:space="preserve"> (HFCS)</w:t>
      </w:r>
      <w:r w:rsidRPr="0001372C">
        <w:rPr>
          <w:rFonts w:ascii="Times New Roman" w:hAnsi="Times New Roman" w:cs="Times New Roman"/>
          <w:sz w:val="28"/>
          <w:szCs w:val="28"/>
          <w:u w:val="single"/>
        </w:rPr>
        <w:t>.</w:t>
      </w:r>
    </w:p>
    <w:p w14:paraId="59284A87" w14:textId="77777777" w:rsidR="00E13FA8" w:rsidRPr="0001372C" w:rsidRDefault="00E13FA8" w:rsidP="00E13FA8">
      <w:pPr>
        <w:pStyle w:val="PlainText"/>
        <w:rPr>
          <w:rFonts w:ascii="Times New Roman" w:hAnsi="Times New Roman" w:cs="Times New Roman"/>
          <w:sz w:val="28"/>
          <w:szCs w:val="28"/>
        </w:rPr>
      </w:pPr>
    </w:p>
    <w:p w14:paraId="79BFF0CF" w14:textId="21243C26" w:rsidR="00E13FA8" w:rsidRPr="0001372C" w:rsidRDefault="00E13FA8" w:rsidP="00E13FA8">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HFCS measure all food and beverages consumed within a household during a specified period. They require careful supervision by the interviewer and good cooperation of the respondents. In general, these surveys are more complicated and costly to undertake than HCES and </w:t>
      </w:r>
      <w:r w:rsidR="004F2709">
        <w:rPr>
          <w:rFonts w:ascii="Times New Roman" w:hAnsi="Times New Roman" w:cs="Times New Roman"/>
          <w:sz w:val="28"/>
          <w:szCs w:val="28"/>
        </w:rPr>
        <w:t xml:space="preserve">are </w:t>
      </w:r>
      <w:r w:rsidRPr="0001372C">
        <w:rPr>
          <w:rFonts w:ascii="Times New Roman" w:hAnsi="Times New Roman" w:cs="Times New Roman"/>
          <w:sz w:val="28"/>
          <w:szCs w:val="28"/>
        </w:rPr>
        <w:t>therefore not always carried out frequently, or even at regular intervals. They are now rarely performed</w:t>
      </w:r>
      <w:r w:rsidR="00CE5608">
        <w:rPr>
          <w:rFonts w:ascii="Times New Roman" w:hAnsi="Times New Roman" w:cs="Times New Roman"/>
          <w:sz w:val="28"/>
          <w:szCs w:val="28"/>
        </w:rPr>
        <w:t>;</w:t>
      </w:r>
      <w:r w:rsidRPr="0001372C">
        <w:rPr>
          <w:rFonts w:ascii="Times New Roman" w:hAnsi="Times New Roman" w:cs="Times New Roman"/>
          <w:sz w:val="28"/>
          <w:szCs w:val="28"/>
        </w:rPr>
        <w:t xml:space="preserve"> they have been substituted with individual food consumption surveys</w:t>
      </w:r>
      <w:r w:rsidR="00BE1E9F" w:rsidRPr="0001372C">
        <w:rPr>
          <w:rFonts w:ascii="Times New Roman" w:hAnsi="Times New Roman" w:cs="Times New Roman"/>
          <w:sz w:val="28"/>
          <w:szCs w:val="28"/>
        </w:rPr>
        <w:t xml:space="preserve"> even if more costly</w:t>
      </w:r>
      <w:r w:rsidRPr="0001372C">
        <w:rPr>
          <w:rFonts w:ascii="Times New Roman" w:hAnsi="Times New Roman" w:cs="Times New Roman"/>
          <w:sz w:val="28"/>
          <w:szCs w:val="28"/>
        </w:rPr>
        <w:t xml:space="preserve">. </w:t>
      </w:r>
    </w:p>
    <w:p w14:paraId="5386383F" w14:textId="77777777" w:rsidR="00E13FA8" w:rsidRPr="0001372C" w:rsidRDefault="00E13FA8" w:rsidP="00E13FA8">
      <w:pPr>
        <w:pStyle w:val="PlainText"/>
        <w:rPr>
          <w:rFonts w:ascii="Times New Roman" w:hAnsi="Times New Roman" w:cs="Times New Roman"/>
          <w:sz w:val="28"/>
          <w:szCs w:val="28"/>
        </w:rPr>
      </w:pPr>
    </w:p>
    <w:p w14:paraId="5F28BD40" w14:textId="77777777" w:rsidR="00E13FA8" w:rsidRPr="0001372C" w:rsidRDefault="00E13FA8" w:rsidP="00E13FA8">
      <w:pPr>
        <w:pStyle w:val="PlainText"/>
        <w:rPr>
          <w:rFonts w:ascii="Times New Roman" w:hAnsi="Times New Roman" w:cs="Times New Roman"/>
          <w:i/>
          <w:iCs/>
          <w:sz w:val="28"/>
          <w:szCs w:val="28"/>
        </w:rPr>
      </w:pPr>
      <w:r w:rsidRPr="0001372C">
        <w:rPr>
          <w:rFonts w:ascii="Times New Roman" w:hAnsi="Times New Roman" w:cs="Times New Roman"/>
          <w:i/>
          <w:iCs/>
          <w:sz w:val="28"/>
          <w:szCs w:val="28"/>
        </w:rPr>
        <w:t xml:space="preserve">i.  Weighed household food record </w:t>
      </w:r>
      <w:proofErr w:type="gramStart"/>
      <w:r w:rsidRPr="0001372C">
        <w:rPr>
          <w:rFonts w:ascii="Times New Roman" w:hAnsi="Times New Roman" w:cs="Times New Roman"/>
          <w:i/>
          <w:iCs/>
          <w:sz w:val="28"/>
          <w:szCs w:val="28"/>
        </w:rPr>
        <w:t>method</w:t>
      </w:r>
      <w:proofErr w:type="gramEnd"/>
    </w:p>
    <w:p w14:paraId="38F11D76" w14:textId="77777777" w:rsidR="00E13FA8" w:rsidRPr="0001372C" w:rsidRDefault="00E13FA8" w:rsidP="00E13FA8">
      <w:pPr>
        <w:pStyle w:val="PlainText"/>
        <w:rPr>
          <w:rFonts w:ascii="Times New Roman" w:hAnsi="Times New Roman" w:cs="Times New Roman"/>
          <w:sz w:val="28"/>
          <w:szCs w:val="28"/>
        </w:rPr>
      </w:pPr>
    </w:p>
    <w:p w14:paraId="15041036" w14:textId="77777777" w:rsidR="00E13FA8" w:rsidRPr="0001372C" w:rsidRDefault="00E13FA8" w:rsidP="00E13FA8">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Food records (also called food diaries) are usually completed over </w:t>
      </w:r>
      <w:r w:rsidRPr="0001372C">
        <w:rPr>
          <w:rFonts w:ascii="Times New Roman" w:hAnsi="Times New Roman" w:cs="Times New Roman"/>
          <w:sz w:val="28"/>
          <w:szCs w:val="28"/>
          <w:u w:val="single"/>
        </w:rPr>
        <w:t>at least a 1-wk period</w:t>
      </w:r>
      <w:r w:rsidRPr="0001372C">
        <w:rPr>
          <w:rFonts w:ascii="Times New Roman" w:hAnsi="Times New Roman" w:cs="Times New Roman"/>
          <w:sz w:val="28"/>
          <w:szCs w:val="28"/>
        </w:rPr>
        <w:t xml:space="preserve">, by either the householder or a fieldworker. The </w:t>
      </w:r>
      <w:r w:rsidRPr="0001372C">
        <w:rPr>
          <w:rFonts w:ascii="Times New Roman" w:hAnsi="Times New Roman" w:cs="Times New Roman"/>
          <w:sz w:val="28"/>
          <w:szCs w:val="28"/>
          <w:u w:val="single"/>
        </w:rPr>
        <w:t>food eaten by the household</w:t>
      </w:r>
      <w:r w:rsidRPr="0001372C">
        <w:rPr>
          <w:rFonts w:ascii="Times New Roman" w:hAnsi="Times New Roman" w:cs="Times New Roman"/>
          <w:sz w:val="28"/>
          <w:szCs w:val="28"/>
        </w:rPr>
        <w:t xml:space="preserve"> is recorded through this method. During the survey period, the weight or volume of each food consumed at each meal is recorded, before subdivision into individual helpings (Burk &amp; Pao, 1976). Detailed descriptions of all foods (including brand names) and their method of preparation are recorded. For composite dishes, the amount of each raw ingredient used in the recipe and the final weight of the prepared composite dish is also recorded. In some surveys the plate wastes from each meal are collected and separated so that individual food items wastes are weighed and recorded.  </w:t>
      </w:r>
    </w:p>
    <w:p w14:paraId="57EEA103" w14:textId="77777777" w:rsidR="00E13FA8" w:rsidRPr="0001372C" w:rsidRDefault="00E13FA8" w:rsidP="00E13FA8">
      <w:pPr>
        <w:pStyle w:val="PlainText"/>
        <w:jc w:val="both"/>
        <w:rPr>
          <w:rFonts w:ascii="Times New Roman" w:hAnsi="Times New Roman" w:cs="Times New Roman"/>
          <w:sz w:val="28"/>
          <w:szCs w:val="28"/>
        </w:rPr>
      </w:pPr>
    </w:p>
    <w:p w14:paraId="78A3CF2C" w14:textId="77777777" w:rsidR="00E13FA8" w:rsidRPr="0001372C" w:rsidRDefault="00E13FA8" w:rsidP="00E13FA8">
      <w:pPr>
        <w:pStyle w:val="PlainText"/>
        <w:rPr>
          <w:rFonts w:ascii="Times New Roman" w:hAnsi="Times New Roman" w:cs="Times New Roman"/>
          <w:i/>
          <w:iCs/>
          <w:sz w:val="28"/>
          <w:szCs w:val="28"/>
        </w:rPr>
      </w:pPr>
      <w:r w:rsidRPr="0001372C">
        <w:rPr>
          <w:rFonts w:ascii="Times New Roman" w:hAnsi="Times New Roman" w:cs="Times New Roman"/>
          <w:i/>
          <w:iCs/>
          <w:sz w:val="28"/>
          <w:szCs w:val="28"/>
        </w:rPr>
        <w:t xml:space="preserve">ii. Household </w:t>
      </w:r>
      <w:r w:rsidRPr="0001372C">
        <w:rPr>
          <w:rFonts w:ascii="Times New Roman" w:hAnsi="Times New Roman" w:cs="Times New Roman"/>
          <w:i/>
          <w:iCs/>
          <w:sz w:val="28"/>
          <w:szCs w:val="28"/>
          <w:u w:val="single"/>
        </w:rPr>
        <w:t>24-h recall</w:t>
      </w:r>
      <w:r w:rsidRPr="0001372C">
        <w:rPr>
          <w:rFonts w:ascii="Times New Roman" w:hAnsi="Times New Roman" w:cs="Times New Roman"/>
          <w:i/>
          <w:iCs/>
          <w:sz w:val="28"/>
          <w:szCs w:val="28"/>
        </w:rPr>
        <w:t xml:space="preserve"> method</w:t>
      </w:r>
    </w:p>
    <w:p w14:paraId="3F4FB815" w14:textId="77777777" w:rsidR="00E13FA8" w:rsidRPr="0001372C" w:rsidRDefault="00E13FA8" w:rsidP="00E13FA8">
      <w:pPr>
        <w:pStyle w:val="PlainText"/>
        <w:rPr>
          <w:rFonts w:ascii="Times New Roman" w:hAnsi="Times New Roman" w:cs="Times New Roman"/>
          <w:sz w:val="28"/>
          <w:szCs w:val="28"/>
        </w:rPr>
      </w:pPr>
    </w:p>
    <w:p w14:paraId="7055C316" w14:textId="77777777" w:rsidR="00E13FA8" w:rsidRPr="0001372C" w:rsidRDefault="00E13FA8" w:rsidP="00E13FA8">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In this method, the household member responsible for the food preparation is interviewed to obtain information on both household composition and household food consumption over the previous 24-h period. In the first stage of the interview, information is collected on the dishes and ingredients consumed, followed by details on the quantity, focusing particularly on those foods that are important sources of energy.  </w:t>
      </w:r>
    </w:p>
    <w:p w14:paraId="252A0B72" w14:textId="77777777" w:rsidR="00E13FA8" w:rsidRPr="0001372C" w:rsidRDefault="00E13FA8" w:rsidP="00E13FA8">
      <w:pPr>
        <w:pStyle w:val="PlainText"/>
        <w:jc w:val="both"/>
        <w:rPr>
          <w:rFonts w:ascii="Times New Roman" w:hAnsi="Times New Roman" w:cs="Times New Roman"/>
          <w:sz w:val="28"/>
          <w:szCs w:val="28"/>
        </w:rPr>
      </w:pPr>
      <w:r w:rsidRPr="0001372C">
        <w:rPr>
          <w:rFonts w:ascii="Times New Roman" w:hAnsi="Times New Roman" w:cs="Times New Roman"/>
          <w:sz w:val="28"/>
          <w:szCs w:val="28"/>
        </w:rPr>
        <w:t>A technical guide for measuring household food consumption using a 24-h recall was developed by Swindale &amp; Ohri-Vachaspati (1999), providing detailed instructions and sample questionnaires that can be used to collect the data, quantify the portion sizes of food consumed, and analyze the results.</w:t>
      </w:r>
    </w:p>
    <w:p w14:paraId="76790794" w14:textId="77777777" w:rsidR="00C06D4C" w:rsidRPr="0001372C" w:rsidRDefault="00C06D4C" w:rsidP="00A01D5B">
      <w:pPr>
        <w:pStyle w:val="PlainText"/>
        <w:jc w:val="both"/>
        <w:rPr>
          <w:rFonts w:ascii="Times New Roman" w:hAnsi="Times New Roman" w:cs="Times New Roman"/>
          <w:sz w:val="28"/>
          <w:szCs w:val="28"/>
        </w:rPr>
      </w:pPr>
    </w:p>
    <w:p w14:paraId="5DA8EC6C" w14:textId="7DD6C7B6" w:rsidR="00713AE3" w:rsidRPr="0001372C" w:rsidRDefault="00A01D5B" w:rsidP="00AE4358">
      <w:pPr>
        <w:pStyle w:val="PlainText"/>
        <w:rPr>
          <w:rFonts w:ascii="Times New Roman" w:hAnsi="Times New Roman" w:cs="Times New Roman"/>
          <w:sz w:val="28"/>
          <w:szCs w:val="28"/>
          <w:u w:val="single"/>
        </w:rPr>
      </w:pPr>
      <w:r w:rsidRPr="0001372C">
        <w:rPr>
          <w:rFonts w:ascii="Times New Roman" w:hAnsi="Times New Roman" w:cs="Times New Roman"/>
          <w:sz w:val="28"/>
          <w:szCs w:val="28"/>
          <w:u w:val="single"/>
        </w:rPr>
        <w:lastRenderedPageBreak/>
        <w:t>2.2.</w:t>
      </w:r>
      <w:r w:rsidR="00940EFB" w:rsidRPr="0001372C">
        <w:rPr>
          <w:rFonts w:ascii="Times New Roman" w:hAnsi="Times New Roman" w:cs="Times New Roman"/>
          <w:sz w:val="28"/>
          <w:szCs w:val="28"/>
          <w:u w:val="single"/>
        </w:rPr>
        <w:t>2</w:t>
      </w:r>
      <w:r w:rsidRPr="0001372C">
        <w:rPr>
          <w:rFonts w:ascii="Times New Roman" w:hAnsi="Times New Roman" w:cs="Times New Roman"/>
          <w:sz w:val="28"/>
          <w:szCs w:val="28"/>
          <w:u w:val="single"/>
        </w:rPr>
        <w:t xml:space="preserve">. </w:t>
      </w:r>
      <w:r w:rsidR="00C06D4C" w:rsidRPr="0001372C">
        <w:rPr>
          <w:rFonts w:ascii="Times New Roman" w:hAnsi="Times New Roman" w:cs="Times New Roman"/>
          <w:sz w:val="28"/>
          <w:szCs w:val="28"/>
          <w:u w:val="single"/>
        </w:rPr>
        <w:t>Household Consumption and Expenditure surveys</w:t>
      </w:r>
      <w:r w:rsidR="00A12802" w:rsidRPr="0001372C">
        <w:rPr>
          <w:rFonts w:ascii="Times New Roman" w:hAnsi="Times New Roman" w:cs="Times New Roman"/>
          <w:sz w:val="28"/>
          <w:szCs w:val="28"/>
          <w:u w:val="single"/>
        </w:rPr>
        <w:t xml:space="preserve"> (HCES)</w:t>
      </w:r>
      <w:r w:rsidR="00C06D4C" w:rsidRPr="0001372C">
        <w:rPr>
          <w:rFonts w:ascii="Times New Roman" w:hAnsi="Times New Roman" w:cs="Times New Roman"/>
          <w:sz w:val="28"/>
          <w:szCs w:val="28"/>
          <w:u w:val="single"/>
        </w:rPr>
        <w:t>.</w:t>
      </w:r>
    </w:p>
    <w:p w14:paraId="710518BE" w14:textId="77777777" w:rsidR="005028AE" w:rsidRPr="0001372C" w:rsidRDefault="005028AE" w:rsidP="00541F86">
      <w:pPr>
        <w:pStyle w:val="PlainText"/>
        <w:jc w:val="both"/>
        <w:rPr>
          <w:rFonts w:ascii="Times New Roman" w:hAnsi="Times New Roman" w:cs="Times New Roman"/>
          <w:sz w:val="28"/>
          <w:szCs w:val="28"/>
        </w:rPr>
      </w:pPr>
    </w:p>
    <w:p w14:paraId="41C0553C" w14:textId="10FF6EEB" w:rsidR="00C06D4C" w:rsidRPr="0001372C" w:rsidRDefault="00C06D4C" w:rsidP="00C06D4C">
      <w:pPr>
        <w:pStyle w:val="PlainText"/>
        <w:jc w:val="both"/>
        <w:rPr>
          <w:rFonts w:ascii="Times New Roman" w:hAnsi="Times New Roman" w:cs="Times New Roman"/>
          <w:sz w:val="28"/>
          <w:szCs w:val="28"/>
        </w:rPr>
      </w:pPr>
      <w:r w:rsidRPr="0001372C">
        <w:rPr>
          <w:rFonts w:ascii="Times New Roman" w:hAnsi="Times New Roman" w:cs="Times New Roman"/>
          <w:sz w:val="28"/>
          <w:szCs w:val="28"/>
        </w:rPr>
        <w:t>Household Consumption and Expenditure surveys (HCES) are typically performed within Household Expenditure Surveys (HES)</w:t>
      </w:r>
      <w:r w:rsidR="00CE5608">
        <w:rPr>
          <w:rFonts w:ascii="Times New Roman" w:hAnsi="Times New Roman" w:cs="Times New Roman"/>
          <w:sz w:val="28"/>
          <w:szCs w:val="28"/>
        </w:rPr>
        <w:t>,</w:t>
      </w:r>
      <w:r w:rsidRPr="0001372C">
        <w:rPr>
          <w:rFonts w:ascii="Times New Roman" w:hAnsi="Times New Roman" w:cs="Times New Roman"/>
          <w:sz w:val="28"/>
          <w:szCs w:val="28"/>
        </w:rPr>
        <w:t xml:space="preserve"> </w:t>
      </w:r>
      <w:proofErr w:type="gramStart"/>
      <w:r w:rsidRPr="0001372C">
        <w:rPr>
          <w:rFonts w:ascii="Times New Roman" w:hAnsi="Times New Roman" w:cs="Times New Roman"/>
          <w:sz w:val="28"/>
          <w:szCs w:val="28"/>
        </w:rPr>
        <w:t>i.e.</w:t>
      </w:r>
      <w:proofErr w:type="gramEnd"/>
      <w:r w:rsidRPr="0001372C">
        <w:rPr>
          <w:rFonts w:ascii="Times New Roman" w:hAnsi="Times New Roman" w:cs="Times New Roman"/>
          <w:sz w:val="28"/>
          <w:szCs w:val="28"/>
        </w:rPr>
        <w:t xml:space="preserve"> economic surveys designed to inform national economic policy which are usually implemented by national statistical agencies. </w:t>
      </w:r>
    </w:p>
    <w:p w14:paraId="7E81E481" w14:textId="77777777" w:rsidR="00BE1E9F" w:rsidRPr="0001372C" w:rsidRDefault="00BE1E9F" w:rsidP="00C06D4C">
      <w:pPr>
        <w:pStyle w:val="PlainText"/>
        <w:jc w:val="both"/>
        <w:rPr>
          <w:rFonts w:ascii="Times New Roman" w:hAnsi="Times New Roman" w:cs="Times New Roman"/>
          <w:sz w:val="28"/>
          <w:szCs w:val="28"/>
        </w:rPr>
      </w:pPr>
    </w:p>
    <w:p w14:paraId="36B70D2B" w14:textId="77777777" w:rsidR="00BE1E9F" w:rsidRPr="0001372C" w:rsidRDefault="00BE1E9F" w:rsidP="00BE1E9F">
      <w:pPr>
        <w:pStyle w:val="PlainText"/>
        <w:jc w:val="both"/>
      </w:pPr>
      <w:r w:rsidRPr="0001372C">
        <w:rPr>
          <w:rFonts w:ascii="Times New Roman" w:hAnsi="Times New Roman" w:cs="Times New Roman"/>
          <w:sz w:val="28"/>
          <w:szCs w:val="28"/>
        </w:rPr>
        <w:t>HCES are less costly than HFCS and are widely used in low-income settings (FAO, 2023). They are usually conducted every 3-5 years. HCES refer to a heterogeneous group including Household Income Expenditure Surveys (HIES), Living Standards Measurement Studies (LSMS) and National Household Budget Surveys (NHBS). LSMS are multi-topic surveys for which technical assistance can be provided by the World Bank’s LSMS group.</w:t>
      </w:r>
      <w:r w:rsidRPr="0001372C">
        <w:t xml:space="preserve"> </w:t>
      </w:r>
    </w:p>
    <w:p w14:paraId="0A92B006" w14:textId="77777777" w:rsidR="00C06D4C" w:rsidRPr="0001372C" w:rsidRDefault="00C06D4C" w:rsidP="00C06D4C">
      <w:pPr>
        <w:pStyle w:val="PlainText"/>
        <w:jc w:val="both"/>
        <w:rPr>
          <w:rFonts w:ascii="Times New Roman" w:hAnsi="Times New Roman" w:cs="Times New Roman"/>
          <w:sz w:val="28"/>
          <w:szCs w:val="28"/>
        </w:rPr>
      </w:pPr>
    </w:p>
    <w:p w14:paraId="146ED370" w14:textId="12EE5F22" w:rsidR="00B71927" w:rsidRPr="0001372C" w:rsidRDefault="00766DB8" w:rsidP="00450212">
      <w:pPr>
        <w:pStyle w:val="PlainText"/>
        <w:jc w:val="both"/>
        <w:rPr>
          <w:rFonts w:ascii="Times New Roman" w:hAnsi="Times New Roman" w:cs="Times New Roman"/>
          <w:sz w:val="28"/>
          <w:szCs w:val="28"/>
        </w:rPr>
      </w:pPr>
      <w:r w:rsidRPr="0001372C">
        <w:rPr>
          <w:rFonts w:ascii="Times New Roman" w:hAnsi="Times New Roman" w:cs="Times New Roman"/>
          <w:sz w:val="28"/>
          <w:szCs w:val="28"/>
        </w:rPr>
        <w:t>HCES</w:t>
      </w:r>
      <w:r w:rsidR="00930F87" w:rsidRPr="0001372C">
        <w:rPr>
          <w:rFonts w:ascii="Times New Roman" w:hAnsi="Times New Roman" w:cs="Times New Roman"/>
          <w:sz w:val="28"/>
          <w:szCs w:val="28"/>
        </w:rPr>
        <w:t xml:space="preserve"> </w:t>
      </w:r>
      <w:r w:rsidR="00BE1E9F" w:rsidRPr="0001372C">
        <w:rPr>
          <w:rFonts w:ascii="Times New Roman" w:hAnsi="Times New Roman" w:cs="Times New Roman"/>
          <w:sz w:val="28"/>
          <w:szCs w:val="28"/>
        </w:rPr>
        <w:t xml:space="preserve">were </w:t>
      </w:r>
      <w:r w:rsidRPr="0001372C">
        <w:rPr>
          <w:rFonts w:ascii="Times New Roman" w:hAnsi="Times New Roman" w:cs="Times New Roman"/>
          <w:sz w:val="28"/>
          <w:szCs w:val="28"/>
        </w:rPr>
        <w:t xml:space="preserve">primarily designed to measure household </w:t>
      </w:r>
      <w:r w:rsidR="00C06D4C" w:rsidRPr="0001372C">
        <w:rPr>
          <w:rFonts w:ascii="Times New Roman" w:hAnsi="Times New Roman" w:cs="Times New Roman"/>
          <w:sz w:val="28"/>
          <w:szCs w:val="28"/>
        </w:rPr>
        <w:t xml:space="preserve">food available for </w:t>
      </w:r>
      <w:r w:rsidRPr="0001372C">
        <w:rPr>
          <w:rFonts w:ascii="Times New Roman" w:hAnsi="Times New Roman" w:cs="Times New Roman"/>
          <w:sz w:val="28"/>
          <w:szCs w:val="28"/>
        </w:rPr>
        <w:t xml:space="preserve">consumption </w:t>
      </w:r>
      <w:r w:rsidR="00245470" w:rsidRPr="0001372C">
        <w:rPr>
          <w:rFonts w:ascii="Times New Roman" w:hAnsi="Times New Roman" w:cs="Times New Roman"/>
          <w:sz w:val="28"/>
          <w:szCs w:val="28"/>
        </w:rPr>
        <w:t xml:space="preserve">in a reference period </w:t>
      </w:r>
      <w:r w:rsidRPr="0001372C">
        <w:rPr>
          <w:rFonts w:ascii="Times New Roman" w:hAnsi="Times New Roman" w:cs="Times New Roman"/>
          <w:sz w:val="28"/>
          <w:szCs w:val="28"/>
        </w:rPr>
        <w:t>through the expenditure approach</w:t>
      </w:r>
      <w:r w:rsidR="002B35D9" w:rsidRPr="0001372C">
        <w:rPr>
          <w:rFonts w:ascii="Times New Roman" w:hAnsi="Times New Roman" w:cs="Times New Roman"/>
          <w:sz w:val="28"/>
          <w:szCs w:val="28"/>
        </w:rPr>
        <w:t xml:space="preserve"> (</w:t>
      </w:r>
      <w:r w:rsidRPr="0001372C">
        <w:rPr>
          <w:rFonts w:ascii="Times New Roman" w:hAnsi="Times New Roman" w:cs="Times New Roman"/>
          <w:sz w:val="28"/>
          <w:szCs w:val="28"/>
        </w:rPr>
        <w:t>i.e., the monetary value of the food</w:t>
      </w:r>
      <w:r w:rsidR="002B35D9" w:rsidRPr="0001372C">
        <w:rPr>
          <w:rFonts w:ascii="Times New Roman" w:hAnsi="Times New Roman" w:cs="Times New Roman"/>
          <w:sz w:val="28"/>
          <w:szCs w:val="28"/>
        </w:rPr>
        <w:t>)</w:t>
      </w:r>
      <w:r w:rsidR="00DA2481">
        <w:rPr>
          <w:rFonts w:ascii="Times New Roman" w:hAnsi="Times New Roman" w:cs="Times New Roman"/>
          <w:sz w:val="28"/>
          <w:szCs w:val="28"/>
        </w:rPr>
        <w:t xml:space="preserve">. </w:t>
      </w:r>
      <w:r w:rsidR="006D21BC">
        <w:rPr>
          <w:rFonts w:ascii="Times New Roman" w:hAnsi="Times New Roman" w:cs="Times New Roman"/>
          <w:sz w:val="28"/>
          <w:szCs w:val="28"/>
        </w:rPr>
        <w:t>Over</w:t>
      </w:r>
      <w:r w:rsidR="00DA2481">
        <w:rPr>
          <w:rFonts w:ascii="Times New Roman" w:hAnsi="Times New Roman" w:cs="Times New Roman"/>
          <w:sz w:val="28"/>
          <w:szCs w:val="28"/>
        </w:rPr>
        <w:t xml:space="preserve"> time</w:t>
      </w:r>
      <w:r w:rsidR="006D21BC">
        <w:rPr>
          <w:rFonts w:ascii="Times New Roman" w:hAnsi="Times New Roman" w:cs="Times New Roman"/>
          <w:sz w:val="28"/>
          <w:szCs w:val="28"/>
        </w:rPr>
        <w:t>,</w:t>
      </w:r>
      <w:r w:rsidR="00DA2481">
        <w:rPr>
          <w:rFonts w:ascii="Times New Roman" w:hAnsi="Times New Roman" w:cs="Times New Roman"/>
          <w:sz w:val="28"/>
          <w:szCs w:val="28"/>
        </w:rPr>
        <w:t xml:space="preserve"> quantities of foods and beverages have also </w:t>
      </w:r>
      <w:r w:rsidR="006D21BC">
        <w:rPr>
          <w:rFonts w:ascii="Times New Roman" w:hAnsi="Times New Roman" w:cs="Times New Roman"/>
          <w:sz w:val="28"/>
          <w:szCs w:val="28"/>
        </w:rPr>
        <w:t xml:space="preserve">been </w:t>
      </w:r>
      <w:r w:rsidR="00DA2481">
        <w:rPr>
          <w:rFonts w:ascii="Times New Roman" w:hAnsi="Times New Roman" w:cs="Times New Roman"/>
          <w:sz w:val="28"/>
          <w:szCs w:val="28"/>
        </w:rPr>
        <w:t xml:space="preserve">collected and </w:t>
      </w:r>
      <w:r w:rsidR="00D94257" w:rsidRPr="0001372C">
        <w:rPr>
          <w:rFonts w:ascii="Times New Roman" w:hAnsi="Times New Roman" w:cs="Times New Roman"/>
          <w:sz w:val="28"/>
          <w:szCs w:val="28"/>
        </w:rPr>
        <w:t>these surveys have been repurposed to serve other needs such as monitoring food security</w:t>
      </w:r>
      <w:r w:rsidR="00601C9C">
        <w:rPr>
          <w:rFonts w:ascii="Times New Roman" w:hAnsi="Times New Roman" w:cs="Times New Roman"/>
          <w:sz w:val="28"/>
          <w:szCs w:val="28"/>
        </w:rPr>
        <w:t xml:space="preserve"> </w:t>
      </w:r>
      <w:r w:rsidR="00D94257" w:rsidRPr="0001372C">
        <w:rPr>
          <w:rFonts w:ascii="Times New Roman" w:hAnsi="Times New Roman" w:cs="Times New Roman"/>
          <w:sz w:val="28"/>
          <w:szCs w:val="28"/>
        </w:rPr>
        <w:t xml:space="preserve">leading to improvement in survey design to capture food data of higher quality.   </w:t>
      </w:r>
      <w:r w:rsidR="00BE1E9F" w:rsidRPr="0001372C">
        <w:rPr>
          <w:rFonts w:ascii="Times New Roman" w:hAnsi="Times New Roman" w:cs="Times New Roman"/>
          <w:sz w:val="28"/>
          <w:szCs w:val="28"/>
        </w:rPr>
        <w:t xml:space="preserve"> </w:t>
      </w:r>
    </w:p>
    <w:p w14:paraId="4CBE0918" w14:textId="77777777" w:rsidR="00A12802" w:rsidRPr="0001372C" w:rsidRDefault="00A12802" w:rsidP="00450212">
      <w:pPr>
        <w:pStyle w:val="PlainText"/>
        <w:jc w:val="both"/>
        <w:rPr>
          <w:rFonts w:ascii="Times New Roman" w:hAnsi="Times New Roman" w:cs="Times New Roman"/>
          <w:sz w:val="28"/>
          <w:szCs w:val="28"/>
        </w:rPr>
      </w:pPr>
    </w:p>
    <w:p w14:paraId="62AC1DFB" w14:textId="7E9CEFF0" w:rsidR="00C41A58" w:rsidRPr="0001372C" w:rsidRDefault="00C41A58" w:rsidP="00450212">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Food consumption estimates generated from acquisition data or a combination of both acquisition and consumption data are usually referred to as 'apparent consumption' </w:t>
      </w:r>
      <w:r w:rsidR="00D06771">
        <w:rPr>
          <w:rFonts w:ascii="Times New Roman" w:hAnsi="Times New Roman" w:cs="Times New Roman"/>
          <w:sz w:val="28"/>
          <w:szCs w:val="28"/>
        </w:rPr>
        <w:t xml:space="preserve">or “food available for consumption” </w:t>
      </w:r>
      <w:r w:rsidRPr="0001372C">
        <w:rPr>
          <w:rFonts w:ascii="Times New Roman" w:hAnsi="Times New Roman" w:cs="Times New Roman"/>
          <w:sz w:val="28"/>
          <w:szCs w:val="28"/>
        </w:rPr>
        <w:t xml:space="preserve">to distinguish them from actual consumption (Fiedler &amp; Mwangi, 2016). Data collected in HCES on food available for consumption are </w:t>
      </w:r>
      <w:r w:rsidR="00A903C1" w:rsidRPr="0001372C">
        <w:rPr>
          <w:rFonts w:ascii="Times New Roman" w:hAnsi="Times New Roman" w:cs="Times New Roman"/>
          <w:sz w:val="28"/>
          <w:szCs w:val="28"/>
        </w:rPr>
        <w:t xml:space="preserve">quite often </w:t>
      </w:r>
      <w:r w:rsidRPr="0001372C">
        <w:rPr>
          <w:rFonts w:ascii="Times New Roman" w:hAnsi="Times New Roman" w:cs="Times New Roman"/>
          <w:sz w:val="28"/>
          <w:szCs w:val="28"/>
        </w:rPr>
        <w:t>used as a proxy for the quantities eaten.</w:t>
      </w:r>
    </w:p>
    <w:p w14:paraId="49DA7C6B" w14:textId="77777777" w:rsidR="00940EFB" w:rsidRPr="0001372C" w:rsidRDefault="00940EFB" w:rsidP="00450212">
      <w:pPr>
        <w:pStyle w:val="PlainText"/>
        <w:jc w:val="both"/>
        <w:rPr>
          <w:rFonts w:ascii="Times New Roman" w:hAnsi="Times New Roman" w:cs="Times New Roman"/>
          <w:sz w:val="28"/>
          <w:szCs w:val="28"/>
        </w:rPr>
      </w:pPr>
    </w:p>
    <w:p w14:paraId="09075116" w14:textId="77777777" w:rsidR="00B71927" w:rsidRPr="0001372C" w:rsidRDefault="00B71927" w:rsidP="00450212">
      <w:pPr>
        <w:pStyle w:val="PlainText"/>
        <w:jc w:val="both"/>
      </w:pPr>
    </w:p>
    <w:p w14:paraId="4A8C0FF1" w14:textId="36BA5BE0" w:rsidR="00B71927" w:rsidRPr="0001372C" w:rsidRDefault="00930F87" w:rsidP="00B71927">
      <w:pPr>
        <w:pStyle w:val="PlainText"/>
        <w:jc w:val="both"/>
        <w:rPr>
          <w:rFonts w:ascii="Times New Roman" w:hAnsi="Times New Roman" w:cs="Times New Roman"/>
          <w:sz w:val="28"/>
          <w:szCs w:val="28"/>
        </w:rPr>
      </w:pPr>
      <w:r w:rsidRPr="0001372C">
        <w:rPr>
          <w:rFonts w:ascii="Times New Roman" w:hAnsi="Times New Roman" w:cs="Times New Roman"/>
          <w:sz w:val="28"/>
          <w:szCs w:val="28"/>
        </w:rPr>
        <w:t>HCES</w:t>
      </w:r>
      <w:r w:rsidR="00541F86" w:rsidRPr="0001372C">
        <w:rPr>
          <w:rFonts w:ascii="Times New Roman" w:hAnsi="Times New Roman" w:cs="Times New Roman"/>
          <w:sz w:val="28"/>
          <w:szCs w:val="28"/>
        </w:rPr>
        <w:t xml:space="preserve"> vary in their complexity and respondent burden. </w:t>
      </w:r>
      <w:r w:rsidR="00601C9C" w:rsidRPr="0001372C">
        <w:rPr>
          <w:rFonts w:ascii="Times New Roman" w:hAnsi="Times New Roman" w:cs="Times New Roman"/>
          <w:sz w:val="28"/>
          <w:szCs w:val="28"/>
        </w:rPr>
        <w:t>Data are collected through a diary or recall with reference period ranging usually from seven days to one month.</w:t>
      </w:r>
      <w:r w:rsidR="00601C9C">
        <w:rPr>
          <w:rFonts w:ascii="Times New Roman" w:hAnsi="Times New Roman" w:cs="Times New Roman"/>
          <w:sz w:val="28"/>
          <w:szCs w:val="28"/>
        </w:rPr>
        <w:t xml:space="preserve"> </w:t>
      </w:r>
      <w:r w:rsidR="00FA5A70" w:rsidRPr="0001372C">
        <w:rPr>
          <w:rFonts w:ascii="Times New Roman" w:hAnsi="Times New Roman" w:cs="Times New Roman"/>
          <w:sz w:val="28"/>
          <w:szCs w:val="28"/>
        </w:rPr>
        <w:t>Food and beverages, wasted, spoiled, or fed to pets or livestock are frequently not accounted for</w:t>
      </w:r>
      <w:r w:rsidRPr="0001372C">
        <w:rPr>
          <w:rFonts w:ascii="Times New Roman" w:hAnsi="Times New Roman" w:cs="Times New Roman"/>
          <w:sz w:val="28"/>
          <w:szCs w:val="28"/>
        </w:rPr>
        <w:t xml:space="preserve"> but</w:t>
      </w:r>
      <w:r w:rsidR="00C06D4C" w:rsidRPr="0001372C">
        <w:rPr>
          <w:rFonts w:ascii="Times New Roman" w:hAnsi="Times New Roman" w:cs="Times New Roman"/>
          <w:sz w:val="28"/>
          <w:szCs w:val="28"/>
        </w:rPr>
        <w:t>,</w:t>
      </w:r>
      <w:r w:rsidRPr="0001372C">
        <w:rPr>
          <w:rFonts w:ascii="Times New Roman" w:hAnsi="Times New Roman" w:cs="Times New Roman"/>
          <w:sz w:val="28"/>
          <w:szCs w:val="28"/>
        </w:rPr>
        <w:t xml:space="preserve"> i</w:t>
      </w:r>
      <w:r w:rsidR="00541F86" w:rsidRPr="0001372C">
        <w:rPr>
          <w:rFonts w:ascii="Times New Roman" w:hAnsi="Times New Roman" w:cs="Times New Roman"/>
          <w:sz w:val="28"/>
          <w:szCs w:val="28"/>
        </w:rPr>
        <w:t xml:space="preserve">n some </w:t>
      </w:r>
      <w:r w:rsidRPr="0001372C">
        <w:rPr>
          <w:rFonts w:ascii="Times New Roman" w:hAnsi="Times New Roman" w:cs="Times New Roman"/>
          <w:sz w:val="28"/>
          <w:szCs w:val="28"/>
        </w:rPr>
        <w:t>cases</w:t>
      </w:r>
      <w:r w:rsidR="00C06D4C"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r w:rsidR="00541F86" w:rsidRPr="0001372C">
        <w:rPr>
          <w:rFonts w:ascii="Times New Roman" w:hAnsi="Times New Roman" w:cs="Times New Roman"/>
          <w:sz w:val="28"/>
          <w:szCs w:val="28"/>
        </w:rPr>
        <w:t>wastes can be weighed</w:t>
      </w:r>
      <w:r w:rsidR="00CE5608">
        <w:rPr>
          <w:rFonts w:ascii="Times New Roman" w:hAnsi="Times New Roman" w:cs="Times New Roman"/>
          <w:sz w:val="28"/>
          <w:szCs w:val="28"/>
        </w:rPr>
        <w:t>,</w:t>
      </w:r>
      <w:r w:rsidR="00541F86" w:rsidRPr="0001372C">
        <w:rPr>
          <w:rFonts w:ascii="Times New Roman" w:hAnsi="Times New Roman" w:cs="Times New Roman"/>
          <w:sz w:val="28"/>
          <w:szCs w:val="28"/>
        </w:rPr>
        <w:t xml:space="preserve"> or a wastage factor can be applied. </w:t>
      </w:r>
      <w:r w:rsidR="00C92E54" w:rsidRPr="0001372C">
        <w:rPr>
          <w:rFonts w:ascii="Times New Roman" w:hAnsi="Times New Roman" w:cs="Times New Roman"/>
          <w:sz w:val="28"/>
          <w:szCs w:val="28"/>
        </w:rPr>
        <w:t xml:space="preserve">Food and beverages </w:t>
      </w:r>
      <w:r w:rsidR="00D94257" w:rsidRPr="0001372C">
        <w:rPr>
          <w:rFonts w:ascii="Times New Roman" w:hAnsi="Times New Roman" w:cs="Times New Roman"/>
          <w:sz w:val="28"/>
          <w:szCs w:val="28"/>
        </w:rPr>
        <w:t xml:space="preserve">prepared and </w:t>
      </w:r>
      <w:r w:rsidR="00C92E54" w:rsidRPr="0001372C">
        <w:rPr>
          <w:rFonts w:ascii="Times New Roman" w:hAnsi="Times New Roman" w:cs="Times New Roman"/>
          <w:sz w:val="28"/>
          <w:szCs w:val="28"/>
        </w:rPr>
        <w:t>consumed outside of the house ha</w:t>
      </w:r>
      <w:r w:rsidR="004F2709">
        <w:rPr>
          <w:rFonts w:ascii="Times New Roman" w:hAnsi="Times New Roman" w:cs="Times New Roman"/>
          <w:sz w:val="28"/>
          <w:szCs w:val="28"/>
        </w:rPr>
        <w:t>ve</w:t>
      </w:r>
      <w:r w:rsidR="00C92E54" w:rsidRPr="0001372C">
        <w:rPr>
          <w:rFonts w:ascii="Times New Roman" w:hAnsi="Times New Roman" w:cs="Times New Roman"/>
          <w:sz w:val="28"/>
          <w:szCs w:val="28"/>
        </w:rPr>
        <w:t xml:space="preserve"> always been poorly captured in most HCES but there is a trend to improve the collection of this consumption </w:t>
      </w:r>
      <w:r w:rsidR="00D94257" w:rsidRPr="0001372C">
        <w:rPr>
          <w:rFonts w:ascii="Times New Roman" w:hAnsi="Times New Roman" w:cs="Times New Roman"/>
          <w:sz w:val="28"/>
          <w:szCs w:val="28"/>
        </w:rPr>
        <w:t xml:space="preserve">and </w:t>
      </w:r>
      <w:r w:rsidR="00C92E54" w:rsidRPr="0001372C">
        <w:rPr>
          <w:rFonts w:ascii="Times New Roman" w:hAnsi="Times New Roman" w:cs="Times New Roman"/>
          <w:sz w:val="28"/>
          <w:szCs w:val="28"/>
        </w:rPr>
        <w:t xml:space="preserve">in recent HCES a special module has been added to collect </w:t>
      </w:r>
      <w:r w:rsidR="00541F86" w:rsidRPr="0001372C">
        <w:rPr>
          <w:rFonts w:ascii="Times New Roman" w:hAnsi="Times New Roman" w:cs="Times New Roman"/>
          <w:sz w:val="28"/>
          <w:szCs w:val="28"/>
        </w:rPr>
        <w:t xml:space="preserve">personal expenditure </w:t>
      </w:r>
      <w:r w:rsidR="00C92E54" w:rsidRPr="0001372C">
        <w:rPr>
          <w:rFonts w:ascii="Times New Roman" w:hAnsi="Times New Roman" w:cs="Times New Roman"/>
          <w:sz w:val="28"/>
          <w:szCs w:val="28"/>
        </w:rPr>
        <w:t xml:space="preserve">on </w:t>
      </w:r>
      <w:r w:rsidR="00541F86" w:rsidRPr="0001372C">
        <w:rPr>
          <w:rFonts w:ascii="Times New Roman" w:hAnsi="Times New Roman" w:cs="Times New Roman"/>
          <w:sz w:val="28"/>
          <w:szCs w:val="28"/>
        </w:rPr>
        <w:t>snacks, meals, sweets, and drinks consumed outside the home</w:t>
      </w:r>
      <w:r w:rsidR="00C92E54" w:rsidRPr="0001372C">
        <w:rPr>
          <w:rFonts w:ascii="Times New Roman" w:hAnsi="Times New Roman" w:cs="Times New Roman"/>
          <w:sz w:val="28"/>
          <w:szCs w:val="28"/>
        </w:rPr>
        <w:t>.</w:t>
      </w:r>
      <w:r w:rsidR="00541F86" w:rsidRPr="0001372C">
        <w:rPr>
          <w:rFonts w:ascii="Times New Roman" w:hAnsi="Times New Roman" w:cs="Times New Roman"/>
          <w:sz w:val="28"/>
          <w:szCs w:val="28"/>
        </w:rPr>
        <w:t xml:space="preserve"> Adjustments can also be made for the presence of non-household members during the survey period.</w:t>
      </w:r>
      <w:r w:rsidR="00B71927" w:rsidRPr="0001372C">
        <w:rPr>
          <w:rFonts w:ascii="Times New Roman" w:hAnsi="Times New Roman" w:cs="Times New Roman"/>
          <w:sz w:val="28"/>
          <w:szCs w:val="28"/>
        </w:rPr>
        <w:t xml:space="preserve"> Ideally HCES should </w:t>
      </w:r>
      <w:r w:rsidR="007835B3" w:rsidRPr="0001372C">
        <w:rPr>
          <w:rFonts w:ascii="Times New Roman" w:hAnsi="Times New Roman" w:cs="Times New Roman"/>
          <w:sz w:val="28"/>
          <w:szCs w:val="28"/>
        </w:rPr>
        <w:t>report all the sources of consumption</w:t>
      </w:r>
      <w:r w:rsidR="00B71927" w:rsidRPr="0001372C">
        <w:rPr>
          <w:rFonts w:ascii="Times New Roman" w:hAnsi="Times New Roman" w:cs="Times New Roman"/>
          <w:sz w:val="28"/>
          <w:szCs w:val="28"/>
        </w:rPr>
        <w:t>, either purchased, received as gifts, or produced for household use.</w:t>
      </w:r>
    </w:p>
    <w:p w14:paraId="08C3B874" w14:textId="77777777" w:rsidR="007B0BCF" w:rsidRDefault="007B0BCF" w:rsidP="00B71927">
      <w:pPr>
        <w:pStyle w:val="PlainText"/>
        <w:jc w:val="both"/>
        <w:rPr>
          <w:rFonts w:ascii="Times New Roman" w:hAnsi="Times New Roman" w:cs="Times New Roman"/>
          <w:sz w:val="28"/>
          <w:szCs w:val="28"/>
        </w:rPr>
      </w:pPr>
    </w:p>
    <w:p w14:paraId="52921006" w14:textId="7B3B23CA" w:rsidR="00B71927" w:rsidRPr="0001372C" w:rsidRDefault="00EB5A8A" w:rsidP="00B71927">
      <w:pPr>
        <w:pStyle w:val="PlainText"/>
        <w:jc w:val="both"/>
        <w:rPr>
          <w:rFonts w:ascii="Times New Roman" w:hAnsi="Times New Roman" w:cs="Times New Roman"/>
          <w:sz w:val="28"/>
          <w:szCs w:val="28"/>
        </w:rPr>
      </w:pPr>
      <w:r>
        <w:rPr>
          <w:rFonts w:ascii="Times New Roman" w:hAnsi="Times New Roman" w:cs="Times New Roman"/>
          <w:sz w:val="28"/>
          <w:szCs w:val="28"/>
        </w:rPr>
        <w:t xml:space="preserve">Some </w:t>
      </w:r>
      <w:r w:rsidR="00B71927" w:rsidRPr="0001372C">
        <w:rPr>
          <w:rFonts w:ascii="Times New Roman" w:hAnsi="Times New Roman" w:cs="Times New Roman"/>
          <w:sz w:val="28"/>
          <w:szCs w:val="28"/>
        </w:rPr>
        <w:t xml:space="preserve">HCES </w:t>
      </w:r>
      <w:r w:rsidR="00C92E54" w:rsidRPr="0001372C">
        <w:rPr>
          <w:rFonts w:ascii="Times New Roman" w:hAnsi="Times New Roman" w:cs="Times New Roman"/>
          <w:sz w:val="28"/>
          <w:szCs w:val="28"/>
        </w:rPr>
        <w:t>collect</w:t>
      </w:r>
      <w:r w:rsidR="005E3589">
        <w:rPr>
          <w:rFonts w:ascii="Times New Roman" w:hAnsi="Times New Roman" w:cs="Times New Roman"/>
          <w:sz w:val="28"/>
          <w:szCs w:val="28"/>
        </w:rPr>
        <w:t>ing</w:t>
      </w:r>
      <w:r w:rsidR="00C92E54" w:rsidRPr="0001372C">
        <w:rPr>
          <w:rFonts w:ascii="Times New Roman" w:hAnsi="Times New Roman" w:cs="Times New Roman"/>
          <w:sz w:val="28"/>
          <w:szCs w:val="28"/>
        </w:rPr>
        <w:t xml:space="preserve"> only </w:t>
      </w:r>
      <w:r w:rsidR="007835B3" w:rsidRPr="0001372C">
        <w:rPr>
          <w:rFonts w:ascii="Times New Roman" w:hAnsi="Times New Roman" w:cs="Times New Roman"/>
          <w:sz w:val="28"/>
          <w:szCs w:val="28"/>
        </w:rPr>
        <w:t xml:space="preserve">food entering the households </w:t>
      </w:r>
      <w:r w:rsidR="003D0185" w:rsidRPr="0001372C">
        <w:rPr>
          <w:rFonts w:ascii="Times New Roman" w:hAnsi="Times New Roman" w:cs="Times New Roman"/>
          <w:sz w:val="28"/>
          <w:szCs w:val="28"/>
        </w:rPr>
        <w:t xml:space="preserve">(based on concept of acquisition) </w:t>
      </w:r>
      <w:r w:rsidR="00B71927" w:rsidRPr="0001372C">
        <w:rPr>
          <w:rFonts w:ascii="Times New Roman" w:hAnsi="Times New Roman" w:cs="Times New Roman"/>
          <w:sz w:val="28"/>
          <w:szCs w:val="28"/>
        </w:rPr>
        <w:t xml:space="preserve">assume that there are no major changes in household stocks during the survey period. </w:t>
      </w:r>
      <w:r>
        <w:rPr>
          <w:rFonts w:ascii="Times New Roman" w:hAnsi="Times New Roman" w:cs="Times New Roman"/>
          <w:sz w:val="28"/>
          <w:szCs w:val="28"/>
        </w:rPr>
        <w:t>A</w:t>
      </w:r>
      <w:r w:rsidR="00B71927" w:rsidRPr="0001372C">
        <w:rPr>
          <w:rFonts w:ascii="Times New Roman" w:hAnsi="Times New Roman" w:cs="Times New Roman"/>
          <w:sz w:val="28"/>
          <w:szCs w:val="28"/>
        </w:rPr>
        <w:t xml:space="preserve">n important limitation of </w:t>
      </w:r>
      <w:r w:rsidR="00D06771">
        <w:rPr>
          <w:rFonts w:ascii="Times New Roman" w:hAnsi="Times New Roman" w:cs="Times New Roman"/>
          <w:sz w:val="28"/>
          <w:szCs w:val="28"/>
        </w:rPr>
        <w:t>th</w:t>
      </w:r>
      <w:r>
        <w:rPr>
          <w:rFonts w:ascii="Times New Roman" w:hAnsi="Times New Roman" w:cs="Times New Roman"/>
          <w:sz w:val="28"/>
          <w:szCs w:val="28"/>
        </w:rPr>
        <w:t xml:space="preserve">is simplified methodology </w:t>
      </w:r>
      <w:r w:rsidR="00B71927" w:rsidRPr="0001372C">
        <w:rPr>
          <w:rFonts w:ascii="Times New Roman" w:hAnsi="Times New Roman" w:cs="Times New Roman"/>
          <w:sz w:val="28"/>
          <w:szCs w:val="28"/>
        </w:rPr>
        <w:t xml:space="preserve"> </w:t>
      </w:r>
      <w:r>
        <w:rPr>
          <w:rFonts w:ascii="Times New Roman" w:hAnsi="Times New Roman" w:cs="Times New Roman"/>
          <w:sz w:val="28"/>
          <w:szCs w:val="28"/>
        </w:rPr>
        <w:t xml:space="preserve">is related to the fact that </w:t>
      </w:r>
      <w:r w:rsidR="00B71927" w:rsidRPr="0001372C">
        <w:rPr>
          <w:rFonts w:ascii="Times New Roman" w:hAnsi="Times New Roman" w:cs="Times New Roman"/>
          <w:sz w:val="28"/>
          <w:szCs w:val="28"/>
        </w:rPr>
        <w:t xml:space="preserve">some foods (e.g. grains) are not perishable and can be stored. </w:t>
      </w:r>
      <w:r>
        <w:rPr>
          <w:rFonts w:ascii="Times New Roman" w:hAnsi="Times New Roman" w:cs="Times New Roman"/>
          <w:sz w:val="28"/>
          <w:szCs w:val="28"/>
        </w:rPr>
        <w:t>As a consequence,  i</w:t>
      </w:r>
      <w:r w:rsidR="00B71927" w:rsidRPr="0001372C">
        <w:rPr>
          <w:rFonts w:ascii="Times New Roman" w:hAnsi="Times New Roman" w:cs="Times New Roman"/>
          <w:sz w:val="28"/>
          <w:szCs w:val="28"/>
        </w:rPr>
        <w:t xml:space="preserve">f the survey is conducted in a period of drawing-down stocks to meet current consumption, household consumption </w:t>
      </w:r>
      <w:r w:rsidR="00D06771">
        <w:rPr>
          <w:rFonts w:ascii="Times New Roman" w:hAnsi="Times New Roman" w:cs="Times New Roman"/>
          <w:sz w:val="28"/>
          <w:szCs w:val="28"/>
        </w:rPr>
        <w:t>is</w:t>
      </w:r>
      <w:r w:rsidR="00B71927" w:rsidRPr="0001372C">
        <w:rPr>
          <w:rFonts w:ascii="Times New Roman" w:hAnsi="Times New Roman" w:cs="Times New Roman"/>
          <w:sz w:val="28"/>
          <w:szCs w:val="28"/>
        </w:rPr>
        <w:t xml:space="preserve"> underestimated. On the contrary, if the survey is conducted in a period of stocks accumulation for later consumption, household consumption will be overestimated (</w:t>
      </w:r>
      <w:hyperlink r:id="rId14" w:history="1">
        <w:r w:rsidR="00B71927" w:rsidRPr="0001372C">
          <w:rPr>
            <w:rFonts w:ascii="Times New Roman" w:hAnsi="Times New Roman" w:cs="Times New Roman"/>
            <w:sz w:val="28"/>
            <w:szCs w:val="28"/>
          </w:rPr>
          <w:t>Smith et al., 2014</w:t>
        </w:r>
      </w:hyperlink>
      <w:r w:rsidR="00B71927" w:rsidRPr="0001372C">
        <w:rPr>
          <w:rFonts w:ascii="Times New Roman" w:hAnsi="Times New Roman" w:cs="Times New Roman"/>
          <w:sz w:val="28"/>
          <w:szCs w:val="28"/>
        </w:rPr>
        <w:t xml:space="preserve">). </w:t>
      </w:r>
      <w:r>
        <w:rPr>
          <w:rFonts w:ascii="Times New Roman" w:hAnsi="Times New Roman" w:cs="Times New Roman"/>
          <w:sz w:val="28"/>
          <w:szCs w:val="28"/>
        </w:rPr>
        <w:t>It is therefore recommended that these simplified HCES are no longer used.</w:t>
      </w:r>
      <w:r w:rsidR="00B71927" w:rsidRPr="0001372C">
        <w:rPr>
          <w:rFonts w:ascii="Times New Roman" w:hAnsi="Times New Roman" w:cs="Times New Roman"/>
          <w:sz w:val="28"/>
          <w:szCs w:val="28"/>
        </w:rPr>
        <w:t xml:space="preserve"> </w:t>
      </w:r>
    </w:p>
    <w:p w14:paraId="2BD5AC00" w14:textId="77777777" w:rsidR="00B71927" w:rsidRPr="0001372C" w:rsidRDefault="00B71927" w:rsidP="00B71927">
      <w:pPr>
        <w:pStyle w:val="PlainText"/>
        <w:jc w:val="both"/>
        <w:rPr>
          <w:rFonts w:ascii="Times New Roman" w:hAnsi="Times New Roman" w:cs="Times New Roman"/>
          <w:sz w:val="28"/>
          <w:szCs w:val="28"/>
        </w:rPr>
      </w:pPr>
    </w:p>
    <w:p w14:paraId="75D3262C" w14:textId="292E2412" w:rsidR="007F437D" w:rsidRPr="0001372C" w:rsidRDefault="007F437D" w:rsidP="00843FD0">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A study conducted in Tanzania in 2007 and 2008 with the use of eight different survey designs </w:t>
      </w:r>
      <w:r w:rsidR="00D06771">
        <w:rPr>
          <w:rFonts w:ascii="Times New Roman" w:hAnsi="Times New Roman" w:cs="Times New Roman"/>
          <w:sz w:val="28"/>
          <w:szCs w:val="28"/>
        </w:rPr>
        <w:t xml:space="preserve">of HCES </w:t>
      </w:r>
      <w:r w:rsidRPr="0001372C">
        <w:rPr>
          <w:rFonts w:ascii="Times New Roman" w:hAnsi="Times New Roman" w:cs="Times New Roman"/>
          <w:sz w:val="28"/>
          <w:szCs w:val="28"/>
        </w:rPr>
        <w:t xml:space="preserve">assessed the effect on over and under reporting of survey length, level of detail of food list and diary versus record methodology (Beegle et al., 2010). Over and under reporting appeared to depend on the specific setting in terms of share of consumption from home production, dietary diversity, and fraction of meals eaten in the household. </w:t>
      </w:r>
    </w:p>
    <w:p w14:paraId="5B214EF1" w14:textId="77777777" w:rsidR="00C06D4C" w:rsidRPr="0001372C" w:rsidRDefault="00C06D4C" w:rsidP="00541F86">
      <w:pPr>
        <w:pStyle w:val="PlainText"/>
        <w:jc w:val="both"/>
        <w:rPr>
          <w:rFonts w:ascii="Times New Roman" w:hAnsi="Times New Roman" w:cs="Times New Roman"/>
          <w:sz w:val="28"/>
          <w:szCs w:val="28"/>
        </w:rPr>
      </w:pPr>
    </w:p>
    <w:p w14:paraId="0771CF2A" w14:textId="19556BA4" w:rsidR="00C41C17" w:rsidRPr="0001372C" w:rsidRDefault="00D06771" w:rsidP="00450212">
      <w:pPr>
        <w:pStyle w:val="PlainText"/>
        <w:jc w:val="both"/>
        <w:rPr>
          <w:rFonts w:ascii="Times New Roman" w:hAnsi="Times New Roman" w:cs="Times New Roman"/>
          <w:sz w:val="28"/>
          <w:szCs w:val="28"/>
        </w:rPr>
      </w:pPr>
      <w:r>
        <w:rPr>
          <w:rFonts w:ascii="Times New Roman" w:hAnsi="Times New Roman" w:cs="Times New Roman"/>
          <w:sz w:val="28"/>
          <w:szCs w:val="28"/>
        </w:rPr>
        <w:t>The experiment by Beegle et al.</w:t>
      </w:r>
      <w:r w:rsidR="00601C9C">
        <w:rPr>
          <w:rFonts w:ascii="Times New Roman" w:hAnsi="Times New Roman" w:cs="Times New Roman"/>
          <w:sz w:val="28"/>
          <w:szCs w:val="28"/>
        </w:rPr>
        <w:t xml:space="preserve"> (</w:t>
      </w:r>
      <w:r>
        <w:rPr>
          <w:rFonts w:ascii="Times New Roman" w:hAnsi="Times New Roman" w:cs="Times New Roman"/>
          <w:sz w:val="28"/>
          <w:szCs w:val="28"/>
        </w:rPr>
        <w:t xml:space="preserve">2010) was combined with </w:t>
      </w:r>
      <w:r w:rsidR="00EC529A">
        <w:rPr>
          <w:rFonts w:ascii="Times New Roman" w:hAnsi="Times New Roman" w:cs="Times New Roman"/>
          <w:sz w:val="28"/>
          <w:szCs w:val="28"/>
        </w:rPr>
        <w:t xml:space="preserve">extensive research on </w:t>
      </w:r>
      <w:r>
        <w:rPr>
          <w:rFonts w:ascii="Times New Roman" w:hAnsi="Times New Roman" w:cs="Times New Roman"/>
          <w:sz w:val="28"/>
          <w:szCs w:val="28"/>
        </w:rPr>
        <w:t xml:space="preserve">100 available </w:t>
      </w:r>
      <w:r w:rsidR="00BC7925">
        <w:rPr>
          <w:rFonts w:ascii="Times New Roman" w:hAnsi="Times New Roman" w:cs="Times New Roman"/>
          <w:sz w:val="28"/>
          <w:szCs w:val="28"/>
        </w:rPr>
        <w:t xml:space="preserve">HCES surveys </w:t>
      </w:r>
      <w:r w:rsidR="00EC529A">
        <w:rPr>
          <w:rFonts w:ascii="Times New Roman" w:hAnsi="Times New Roman" w:cs="Times New Roman"/>
          <w:sz w:val="28"/>
          <w:szCs w:val="28"/>
        </w:rPr>
        <w:t xml:space="preserve">to identify </w:t>
      </w:r>
      <w:r w:rsidR="00BC7925">
        <w:rPr>
          <w:rFonts w:ascii="Times New Roman" w:hAnsi="Times New Roman" w:cs="Times New Roman"/>
          <w:sz w:val="28"/>
          <w:szCs w:val="28"/>
        </w:rPr>
        <w:t xml:space="preserve">possible strategies towards </w:t>
      </w:r>
      <w:r w:rsidR="00DA2481">
        <w:rPr>
          <w:rFonts w:ascii="Times New Roman" w:hAnsi="Times New Roman" w:cs="Times New Roman"/>
          <w:sz w:val="28"/>
          <w:szCs w:val="28"/>
        </w:rPr>
        <w:t>improvement and harmonization of</w:t>
      </w:r>
      <w:r w:rsidR="00601C9C">
        <w:rPr>
          <w:rFonts w:ascii="Times New Roman" w:hAnsi="Times New Roman" w:cs="Times New Roman"/>
          <w:sz w:val="28"/>
          <w:szCs w:val="28"/>
        </w:rPr>
        <w:t xml:space="preserve"> </w:t>
      </w:r>
      <w:r w:rsidR="00BC7925">
        <w:rPr>
          <w:rFonts w:ascii="Times New Roman" w:hAnsi="Times New Roman" w:cs="Times New Roman"/>
          <w:sz w:val="28"/>
          <w:szCs w:val="28"/>
        </w:rPr>
        <w:t xml:space="preserve">survey methodologies </w:t>
      </w:r>
      <w:r w:rsidR="00DA2481">
        <w:rPr>
          <w:rFonts w:ascii="Times New Roman" w:hAnsi="Times New Roman" w:cs="Times New Roman"/>
          <w:sz w:val="28"/>
          <w:szCs w:val="28"/>
        </w:rPr>
        <w:t xml:space="preserve">to collect </w:t>
      </w:r>
      <w:r w:rsidR="005E3589">
        <w:rPr>
          <w:rFonts w:ascii="Times New Roman" w:hAnsi="Times New Roman" w:cs="Times New Roman"/>
          <w:sz w:val="28"/>
          <w:szCs w:val="28"/>
        </w:rPr>
        <w:t>more rel</w:t>
      </w:r>
      <w:r w:rsidR="00DA2481">
        <w:rPr>
          <w:rFonts w:ascii="Times New Roman" w:hAnsi="Times New Roman" w:cs="Times New Roman"/>
          <w:sz w:val="28"/>
          <w:szCs w:val="28"/>
        </w:rPr>
        <w:t>iable</w:t>
      </w:r>
      <w:r w:rsidR="005E3589">
        <w:rPr>
          <w:rFonts w:ascii="Times New Roman" w:hAnsi="Times New Roman" w:cs="Times New Roman"/>
          <w:sz w:val="28"/>
          <w:szCs w:val="28"/>
        </w:rPr>
        <w:t xml:space="preserve"> food data for poverty o</w:t>
      </w:r>
      <w:r w:rsidR="00DA2481">
        <w:rPr>
          <w:rFonts w:ascii="Times New Roman" w:hAnsi="Times New Roman" w:cs="Times New Roman"/>
          <w:sz w:val="28"/>
          <w:szCs w:val="28"/>
        </w:rPr>
        <w:t>r</w:t>
      </w:r>
      <w:r w:rsidR="005E3589">
        <w:rPr>
          <w:rFonts w:ascii="Times New Roman" w:hAnsi="Times New Roman" w:cs="Times New Roman"/>
          <w:sz w:val="28"/>
          <w:szCs w:val="28"/>
        </w:rPr>
        <w:t xml:space="preserve"> food security </w:t>
      </w:r>
      <w:r w:rsidR="00DA2481">
        <w:rPr>
          <w:rFonts w:ascii="Times New Roman" w:hAnsi="Times New Roman" w:cs="Times New Roman"/>
          <w:sz w:val="28"/>
          <w:szCs w:val="28"/>
        </w:rPr>
        <w:t>analysis</w:t>
      </w:r>
      <w:r w:rsidR="00BC7925">
        <w:rPr>
          <w:rFonts w:ascii="Times New Roman" w:hAnsi="Times New Roman" w:cs="Times New Roman"/>
          <w:sz w:val="28"/>
          <w:szCs w:val="28"/>
        </w:rPr>
        <w:t xml:space="preserve"> </w:t>
      </w:r>
      <w:r w:rsidR="00BC7925" w:rsidRPr="0001372C">
        <w:rPr>
          <w:rFonts w:ascii="Times New Roman" w:hAnsi="Times New Roman" w:cs="Times New Roman"/>
          <w:sz w:val="28"/>
          <w:szCs w:val="28"/>
        </w:rPr>
        <w:t>(</w:t>
      </w:r>
      <w:proofErr w:type="spellStart"/>
      <w:r w:rsidR="00BC7925" w:rsidRPr="0001372C">
        <w:rPr>
          <w:rFonts w:ascii="Times New Roman" w:hAnsi="Times New Roman" w:cs="Times New Roman"/>
          <w:sz w:val="28"/>
          <w:szCs w:val="28"/>
        </w:rPr>
        <w:t>Carletto</w:t>
      </w:r>
      <w:proofErr w:type="spellEnd"/>
      <w:r w:rsidR="00041155">
        <w:rPr>
          <w:rFonts w:ascii="Times New Roman" w:hAnsi="Times New Roman" w:cs="Times New Roman"/>
          <w:sz w:val="28"/>
          <w:szCs w:val="28"/>
        </w:rPr>
        <w:t>,</w:t>
      </w:r>
      <w:r w:rsidR="0055342B">
        <w:rPr>
          <w:rFonts w:ascii="Times New Roman" w:hAnsi="Times New Roman" w:cs="Times New Roman"/>
          <w:sz w:val="28"/>
          <w:szCs w:val="28"/>
        </w:rPr>
        <w:t xml:space="preserve"> </w:t>
      </w:r>
      <w:proofErr w:type="spellStart"/>
      <w:r w:rsidR="00EB5A8A">
        <w:rPr>
          <w:rFonts w:ascii="Times New Roman" w:hAnsi="Times New Roman" w:cs="Times New Roman"/>
          <w:sz w:val="28"/>
          <w:szCs w:val="28"/>
        </w:rPr>
        <w:t>Zezza</w:t>
      </w:r>
      <w:proofErr w:type="spellEnd"/>
      <w:r w:rsidR="00041155">
        <w:rPr>
          <w:rFonts w:ascii="Times New Roman" w:hAnsi="Times New Roman" w:cs="Times New Roman"/>
          <w:sz w:val="28"/>
          <w:szCs w:val="28"/>
        </w:rPr>
        <w:t xml:space="preserve"> </w:t>
      </w:r>
      <w:r w:rsidR="0055342B">
        <w:rPr>
          <w:rFonts w:ascii="Times New Roman" w:hAnsi="Times New Roman" w:cs="Times New Roman"/>
          <w:sz w:val="28"/>
          <w:szCs w:val="28"/>
        </w:rPr>
        <w:t>&amp;</w:t>
      </w:r>
      <w:r w:rsidR="00041155">
        <w:rPr>
          <w:rFonts w:ascii="Times New Roman" w:hAnsi="Times New Roman" w:cs="Times New Roman"/>
          <w:sz w:val="28"/>
          <w:szCs w:val="28"/>
        </w:rPr>
        <w:t xml:space="preserve"> </w:t>
      </w:r>
      <w:r w:rsidR="00041155" w:rsidRPr="00041155">
        <w:rPr>
          <w:rFonts w:ascii="Times New Roman" w:hAnsi="Times New Roman" w:cs="Times New Roman"/>
          <w:sz w:val="28"/>
          <w:szCs w:val="28"/>
        </w:rPr>
        <w:t>Banerjee</w:t>
      </w:r>
      <w:r w:rsidR="00CE5608">
        <w:rPr>
          <w:rFonts w:ascii="Times New Roman" w:hAnsi="Times New Roman" w:cs="Times New Roman"/>
          <w:sz w:val="28"/>
          <w:szCs w:val="28"/>
        </w:rPr>
        <w:t xml:space="preserve">, </w:t>
      </w:r>
      <w:r w:rsidR="00BC7925" w:rsidRPr="0001372C">
        <w:rPr>
          <w:rFonts w:ascii="Times New Roman" w:hAnsi="Times New Roman" w:cs="Times New Roman"/>
          <w:sz w:val="28"/>
          <w:szCs w:val="28"/>
        </w:rPr>
        <w:t>201</w:t>
      </w:r>
      <w:r w:rsidR="00BC7925">
        <w:rPr>
          <w:rFonts w:ascii="Times New Roman" w:hAnsi="Times New Roman" w:cs="Times New Roman"/>
          <w:sz w:val="28"/>
          <w:szCs w:val="28"/>
        </w:rPr>
        <w:t xml:space="preserve">3, </w:t>
      </w:r>
      <w:r w:rsidR="00BC7925" w:rsidRPr="0001372C">
        <w:rPr>
          <w:rFonts w:ascii="Times New Roman" w:hAnsi="Times New Roman" w:cs="Times New Roman"/>
          <w:sz w:val="28"/>
          <w:szCs w:val="28"/>
        </w:rPr>
        <w:t>Smith et al.</w:t>
      </w:r>
      <w:r w:rsidR="00CE5608">
        <w:rPr>
          <w:rFonts w:ascii="Times New Roman" w:hAnsi="Times New Roman" w:cs="Times New Roman"/>
          <w:sz w:val="28"/>
          <w:szCs w:val="28"/>
        </w:rPr>
        <w:t>,</w:t>
      </w:r>
      <w:r w:rsidR="00BC7925" w:rsidRPr="0001372C">
        <w:rPr>
          <w:rFonts w:ascii="Times New Roman" w:hAnsi="Times New Roman" w:cs="Times New Roman"/>
          <w:sz w:val="28"/>
          <w:szCs w:val="28"/>
        </w:rPr>
        <w:t xml:space="preserve"> 2014,</w:t>
      </w:r>
      <w:r w:rsidR="00EC529A">
        <w:rPr>
          <w:rFonts w:ascii="Times New Roman" w:hAnsi="Times New Roman" w:cs="Times New Roman"/>
          <w:sz w:val="28"/>
          <w:szCs w:val="28"/>
        </w:rPr>
        <w:t xml:space="preserve"> Zezza</w:t>
      </w:r>
      <w:r w:rsidR="00BC7925">
        <w:rPr>
          <w:rFonts w:ascii="Times New Roman" w:hAnsi="Times New Roman" w:cs="Times New Roman"/>
          <w:sz w:val="28"/>
          <w:szCs w:val="28"/>
        </w:rPr>
        <w:t xml:space="preserve"> et al</w:t>
      </w:r>
      <w:r w:rsidR="00EC529A">
        <w:rPr>
          <w:rFonts w:ascii="Times New Roman" w:hAnsi="Times New Roman" w:cs="Times New Roman"/>
          <w:sz w:val="28"/>
          <w:szCs w:val="28"/>
        </w:rPr>
        <w:t>, 2017</w:t>
      </w:r>
      <w:r w:rsidRPr="0001372C">
        <w:rPr>
          <w:rFonts w:ascii="Times New Roman" w:hAnsi="Times New Roman" w:cs="Times New Roman"/>
          <w:sz w:val="28"/>
          <w:szCs w:val="28"/>
        </w:rPr>
        <w:t>)</w:t>
      </w:r>
      <w:r w:rsidR="00BC7925">
        <w:rPr>
          <w:rFonts w:ascii="Times New Roman" w:hAnsi="Times New Roman" w:cs="Times New Roman"/>
          <w:sz w:val="28"/>
          <w:szCs w:val="28"/>
        </w:rPr>
        <w:t>.</w:t>
      </w:r>
      <w:r w:rsidR="00BC7925" w:rsidRPr="0001372C" w:rsidDel="00BC7925">
        <w:rPr>
          <w:rFonts w:ascii="Times New Roman" w:hAnsi="Times New Roman" w:cs="Times New Roman"/>
          <w:sz w:val="28"/>
          <w:szCs w:val="28"/>
        </w:rPr>
        <w:t xml:space="preserve"> </w:t>
      </w:r>
      <w:r w:rsidR="00BC7925">
        <w:rPr>
          <w:rFonts w:ascii="Times New Roman" w:hAnsi="Times New Roman" w:cs="Times New Roman"/>
          <w:sz w:val="28"/>
          <w:szCs w:val="28"/>
        </w:rPr>
        <w:t xml:space="preserve">Based on this research </w:t>
      </w:r>
      <w:r w:rsidR="007835B3" w:rsidRPr="0001372C">
        <w:rPr>
          <w:rFonts w:ascii="Times New Roman" w:hAnsi="Times New Roman" w:cs="Times New Roman"/>
          <w:sz w:val="28"/>
          <w:szCs w:val="28"/>
        </w:rPr>
        <w:t>FAO and WB</w:t>
      </w:r>
      <w:r w:rsidR="00BC7925">
        <w:rPr>
          <w:rFonts w:ascii="Times New Roman" w:hAnsi="Times New Roman" w:cs="Times New Roman"/>
          <w:sz w:val="28"/>
          <w:szCs w:val="28"/>
        </w:rPr>
        <w:t xml:space="preserve"> (</w:t>
      </w:r>
      <w:r w:rsidR="007835B3" w:rsidRPr="0001372C">
        <w:rPr>
          <w:rFonts w:ascii="Times New Roman" w:hAnsi="Times New Roman" w:cs="Times New Roman"/>
          <w:sz w:val="28"/>
          <w:szCs w:val="28"/>
        </w:rPr>
        <w:t>2018</w:t>
      </w:r>
      <w:r w:rsidR="00601C9C">
        <w:rPr>
          <w:rFonts w:ascii="Times New Roman" w:hAnsi="Times New Roman" w:cs="Times New Roman"/>
          <w:sz w:val="28"/>
          <w:szCs w:val="28"/>
        </w:rPr>
        <w:t>)</w:t>
      </w:r>
      <w:r w:rsidR="007835B3" w:rsidRPr="0001372C">
        <w:rPr>
          <w:rFonts w:ascii="Times New Roman" w:hAnsi="Times New Roman" w:cs="Times New Roman"/>
          <w:sz w:val="28"/>
          <w:szCs w:val="28"/>
        </w:rPr>
        <w:t xml:space="preserve"> developed </w:t>
      </w:r>
      <w:r w:rsidR="00D94257" w:rsidRPr="0001372C">
        <w:rPr>
          <w:rFonts w:ascii="Times New Roman" w:hAnsi="Times New Roman" w:cs="Times New Roman"/>
          <w:sz w:val="28"/>
          <w:szCs w:val="28"/>
        </w:rPr>
        <w:t>g</w:t>
      </w:r>
      <w:r w:rsidR="007835B3" w:rsidRPr="0001372C">
        <w:rPr>
          <w:rFonts w:ascii="Times New Roman" w:hAnsi="Times New Roman" w:cs="Times New Roman"/>
          <w:sz w:val="28"/>
          <w:szCs w:val="28"/>
        </w:rPr>
        <w:t>uidelines for the collection of food data in HCES</w:t>
      </w:r>
      <w:r w:rsidR="00BC7925">
        <w:rPr>
          <w:rFonts w:ascii="Times New Roman" w:hAnsi="Times New Roman" w:cs="Times New Roman"/>
          <w:sz w:val="28"/>
          <w:szCs w:val="28"/>
        </w:rPr>
        <w:t>. L</w:t>
      </w:r>
      <w:r w:rsidR="00AF54B1" w:rsidRPr="0001372C">
        <w:rPr>
          <w:rFonts w:ascii="Times New Roman" w:hAnsi="Times New Roman" w:cs="Times New Roman"/>
          <w:sz w:val="28"/>
          <w:szCs w:val="28"/>
        </w:rPr>
        <w:t>ow and middle-income countries</w:t>
      </w:r>
      <w:r w:rsidR="00F50DC5" w:rsidRPr="0001372C">
        <w:rPr>
          <w:rFonts w:ascii="Times New Roman" w:hAnsi="Times New Roman" w:cs="Times New Roman"/>
          <w:sz w:val="28"/>
          <w:szCs w:val="28"/>
        </w:rPr>
        <w:t xml:space="preserve"> are recommended to adopt </w:t>
      </w:r>
      <w:r w:rsidR="00BC7925">
        <w:rPr>
          <w:rFonts w:ascii="Times New Roman" w:hAnsi="Times New Roman" w:cs="Times New Roman"/>
          <w:sz w:val="28"/>
          <w:szCs w:val="28"/>
        </w:rPr>
        <w:t xml:space="preserve">these guidelines </w:t>
      </w:r>
      <w:r w:rsidR="00AF54B1" w:rsidRPr="0001372C">
        <w:rPr>
          <w:rFonts w:ascii="Times New Roman" w:hAnsi="Times New Roman" w:cs="Times New Roman"/>
          <w:sz w:val="28"/>
          <w:szCs w:val="28"/>
        </w:rPr>
        <w:t xml:space="preserve">so that </w:t>
      </w:r>
      <w:r w:rsidR="00BC7925">
        <w:rPr>
          <w:rFonts w:ascii="Times New Roman" w:hAnsi="Times New Roman" w:cs="Times New Roman"/>
          <w:sz w:val="28"/>
          <w:szCs w:val="28"/>
        </w:rPr>
        <w:t xml:space="preserve">food </w:t>
      </w:r>
      <w:r w:rsidR="005E3589">
        <w:rPr>
          <w:rFonts w:ascii="Times New Roman" w:hAnsi="Times New Roman" w:cs="Times New Roman"/>
          <w:sz w:val="28"/>
          <w:szCs w:val="28"/>
        </w:rPr>
        <w:t>data collected in HCES are of be</w:t>
      </w:r>
      <w:r w:rsidR="00DA2481">
        <w:rPr>
          <w:rFonts w:ascii="Times New Roman" w:hAnsi="Times New Roman" w:cs="Times New Roman"/>
          <w:sz w:val="28"/>
          <w:szCs w:val="28"/>
        </w:rPr>
        <w:t>t</w:t>
      </w:r>
      <w:r w:rsidR="005E3589">
        <w:rPr>
          <w:rFonts w:ascii="Times New Roman" w:hAnsi="Times New Roman" w:cs="Times New Roman"/>
          <w:sz w:val="28"/>
          <w:szCs w:val="28"/>
        </w:rPr>
        <w:t xml:space="preserve">ter </w:t>
      </w:r>
      <w:r w:rsidR="00DA2481">
        <w:rPr>
          <w:rFonts w:ascii="Times New Roman" w:hAnsi="Times New Roman" w:cs="Times New Roman"/>
          <w:sz w:val="28"/>
          <w:szCs w:val="28"/>
        </w:rPr>
        <w:t xml:space="preserve">quality and </w:t>
      </w:r>
      <w:r w:rsidR="00AF54B1" w:rsidRPr="0001372C">
        <w:rPr>
          <w:rFonts w:ascii="Times New Roman" w:hAnsi="Times New Roman" w:cs="Times New Roman"/>
          <w:sz w:val="28"/>
          <w:szCs w:val="28"/>
        </w:rPr>
        <w:t xml:space="preserve"> standardized </w:t>
      </w:r>
      <w:r w:rsidR="001D7D3D" w:rsidRPr="0001372C">
        <w:rPr>
          <w:rFonts w:ascii="Times New Roman" w:hAnsi="Times New Roman" w:cs="Times New Roman"/>
          <w:sz w:val="28"/>
          <w:szCs w:val="28"/>
        </w:rPr>
        <w:t>between countries</w:t>
      </w:r>
      <w:r w:rsidR="00AF54B1" w:rsidRPr="0001372C">
        <w:rPr>
          <w:rFonts w:ascii="Times New Roman" w:hAnsi="Times New Roman" w:cs="Times New Roman"/>
          <w:sz w:val="28"/>
          <w:szCs w:val="28"/>
        </w:rPr>
        <w:t>.</w:t>
      </w:r>
    </w:p>
    <w:p w14:paraId="490D9910" w14:textId="402ED5E3" w:rsidR="00983702" w:rsidRPr="0001372C" w:rsidRDefault="00983702" w:rsidP="00AE4358">
      <w:pPr>
        <w:pStyle w:val="PlainText"/>
        <w:rPr>
          <w:rFonts w:ascii="Times New Roman" w:hAnsi="Times New Roman" w:cs="Times New Roman"/>
          <w:sz w:val="28"/>
          <w:szCs w:val="28"/>
        </w:rPr>
      </w:pPr>
    </w:p>
    <w:p w14:paraId="1A65CAF9" w14:textId="27086F9C" w:rsidR="00A12802" w:rsidRPr="0001372C" w:rsidRDefault="00892D93" w:rsidP="00AE4358">
      <w:pPr>
        <w:pStyle w:val="PlainText"/>
        <w:rPr>
          <w:rFonts w:ascii="Times New Roman" w:hAnsi="Times New Roman" w:cs="Times New Roman"/>
          <w:sz w:val="28"/>
          <w:szCs w:val="28"/>
        </w:rPr>
      </w:pPr>
      <w:r w:rsidRPr="0001372C">
        <w:rPr>
          <w:rFonts w:ascii="Times New Roman" w:hAnsi="Times New Roman" w:cs="Times New Roman"/>
          <w:b/>
          <w:bCs/>
          <w:sz w:val="28"/>
          <w:szCs w:val="28"/>
        </w:rPr>
        <w:t xml:space="preserve">2.3. </w:t>
      </w:r>
      <w:r w:rsidR="00A12802" w:rsidRPr="0001372C">
        <w:rPr>
          <w:rFonts w:ascii="Times New Roman" w:hAnsi="Times New Roman" w:cs="Times New Roman"/>
          <w:b/>
          <w:bCs/>
          <w:sz w:val="28"/>
          <w:szCs w:val="28"/>
        </w:rPr>
        <w:t>Main uses</w:t>
      </w:r>
      <w:r w:rsidRPr="0001372C">
        <w:rPr>
          <w:rFonts w:ascii="Times New Roman" w:hAnsi="Times New Roman" w:cs="Times New Roman"/>
          <w:b/>
          <w:bCs/>
          <w:sz w:val="28"/>
          <w:szCs w:val="28"/>
        </w:rPr>
        <w:t xml:space="preserve"> of </w:t>
      </w:r>
      <w:r w:rsidR="00A12802" w:rsidRPr="0001372C">
        <w:rPr>
          <w:rFonts w:ascii="Times New Roman" w:hAnsi="Times New Roman" w:cs="Times New Roman"/>
          <w:b/>
          <w:bCs/>
          <w:sz w:val="28"/>
          <w:szCs w:val="28"/>
        </w:rPr>
        <w:t>national or household surveys</w:t>
      </w:r>
      <w:r w:rsidR="00A12802" w:rsidRPr="0001372C">
        <w:rPr>
          <w:rFonts w:ascii="Times New Roman" w:hAnsi="Times New Roman" w:cs="Times New Roman"/>
          <w:sz w:val="28"/>
          <w:szCs w:val="28"/>
        </w:rPr>
        <w:t xml:space="preserve"> </w:t>
      </w:r>
    </w:p>
    <w:p w14:paraId="77B5A63E" w14:textId="77777777" w:rsidR="00A12802" w:rsidRPr="0001372C" w:rsidRDefault="00A12802" w:rsidP="00AE4358">
      <w:pPr>
        <w:pStyle w:val="PlainText"/>
        <w:rPr>
          <w:rFonts w:ascii="Times New Roman" w:hAnsi="Times New Roman" w:cs="Times New Roman"/>
          <w:sz w:val="28"/>
          <w:szCs w:val="28"/>
        </w:rPr>
      </w:pPr>
    </w:p>
    <w:p w14:paraId="62A08CB3" w14:textId="3E698877" w:rsidR="00892D93" w:rsidRPr="0001372C" w:rsidRDefault="00A12802" w:rsidP="00AE4358">
      <w:pPr>
        <w:pStyle w:val="PlainText"/>
        <w:rPr>
          <w:rFonts w:ascii="Times New Roman" w:hAnsi="Times New Roman" w:cs="Times New Roman"/>
          <w:sz w:val="28"/>
          <w:szCs w:val="28"/>
          <w:u w:val="single"/>
        </w:rPr>
      </w:pPr>
      <w:r w:rsidRPr="0001372C">
        <w:rPr>
          <w:rFonts w:ascii="Times New Roman" w:hAnsi="Times New Roman" w:cs="Times New Roman"/>
          <w:sz w:val="28"/>
          <w:szCs w:val="28"/>
        </w:rPr>
        <w:t>2.3.1.</w:t>
      </w:r>
      <w:r w:rsidRPr="0001372C">
        <w:rPr>
          <w:rFonts w:ascii="Times New Roman" w:hAnsi="Times New Roman" w:cs="Times New Roman"/>
          <w:sz w:val="28"/>
          <w:szCs w:val="28"/>
          <w:u w:val="single"/>
        </w:rPr>
        <w:t xml:space="preserve"> Uses of </w:t>
      </w:r>
      <w:r w:rsidR="00892D93" w:rsidRPr="0001372C">
        <w:rPr>
          <w:rFonts w:ascii="Times New Roman" w:hAnsi="Times New Roman" w:cs="Times New Roman"/>
          <w:sz w:val="28"/>
          <w:szCs w:val="28"/>
          <w:u w:val="single"/>
        </w:rPr>
        <w:t>FBS</w:t>
      </w:r>
    </w:p>
    <w:p w14:paraId="1572484E" w14:textId="77777777" w:rsidR="004B2659" w:rsidRPr="0001372C" w:rsidRDefault="004B2659" w:rsidP="00AE4358">
      <w:pPr>
        <w:pStyle w:val="PlainText"/>
        <w:rPr>
          <w:rFonts w:ascii="Times New Roman" w:hAnsi="Times New Roman" w:cs="Times New Roman"/>
          <w:sz w:val="28"/>
          <w:szCs w:val="28"/>
        </w:rPr>
      </w:pPr>
    </w:p>
    <w:p w14:paraId="763E79FC" w14:textId="2B8DB043" w:rsidR="00892D93" w:rsidRDefault="00892D93" w:rsidP="00892D93">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Respect to other sources of data on food supply, FBSs data have the comparative advantage of being easily accessible and of providing a global coverage of countries food supplies with a rather consistent methodology. </w:t>
      </w:r>
    </w:p>
    <w:p w14:paraId="75AFD18E" w14:textId="2A7FD8B6" w:rsidR="00233D12" w:rsidRDefault="00233D12" w:rsidP="00892D93">
      <w:pPr>
        <w:pStyle w:val="PlainText"/>
        <w:jc w:val="both"/>
        <w:rPr>
          <w:rFonts w:ascii="Times New Roman" w:hAnsi="Times New Roman" w:cs="Times New Roman"/>
          <w:sz w:val="28"/>
          <w:szCs w:val="28"/>
        </w:rPr>
      </w:pPr>
    </w:p>
    <w:p w14:paraId="02A90024" w14:textId="14E3AF66" w:rsidR="00233D12" w:rsidRDefault="005C4A90" w:rsidP="00233D12">
      <w:pPr>
        <w:pStyle w:val="PlainText"/>
        <w:jc w:val="both"/>
        <w:rPr>
          <w:rFonts w:ascii="Times New Roman" w:hAnsi="Times New Roman" w:cs="Times New Roman"/>
          <w:sz w:val="28"/>
          <w:szCs w:val="28"/>
        </w:rPr>
      </w:pPr>
      <w:r>
        <w:rPr>
          <w:rFonts w:ascii="Times New Roman" w:hAnsi="Times New Roman" w:cs="Times New Roman"/>
          <w:sz w:val="28"/>
          <w:szCs w:val="28"/>
        </w:rPr>
        <w:t>Ac</w:t>
      </w:r>
      <w:r w:rsidR="00233D12">
        <w:rPr>
          <w:rFonts w:ascii="Times New Roman" w:hAnsi="Times New Roman" w:cs="Times New Roman"/>
          <w:sz w:val="28"/>
          <w:szCs w:val="28"/>
        </w:rPr>
        <w:t xml:space="preserve">cess </w:t>
      </w:r>
      <w:r>
        <w:rPr>
          <w:rFonts w:ascii="Times New Roman" w:hAnsi="Times New Roman" w:cs="Times New Roman"/>
          <w:sz w:val="28"/>
          <w:szCs w:val="28"/>
        </w:rPr>
        <w:t xml:space="preserve">of FBS data </w:t>
      </w:r>
      <w:r w:rsidR="00233D12">
        <w:rPr>
          <w:rFonts w:ascii="Times New Roman" w:hAnsi="Times New Roman" w:cs="Times New Roman"/>
          <w:sz w:val="28"/>
          <w:szCs w:val="28"/>
        </w:rPr>
        <w:t>make</w:t>
      </w:r>
      <w:r>
        <w:rPr>
          <w:rFonts w:ascii="Times New Roman" w:hAnsi="Times New Roman" w:cs="Times New Roman"/>
          <w:sz w:val="28"/>
          <w:szCs w:val="28"/>
        </w:rPr>
        <w:t>s</w:t>
      </w:r>
      <w:r w:rsidR="00233D12">
        <w:rPr>
          <w:rFonts w:ascii="Times New Roman" w:hAnsi="Times New Roman" w:cs="Times New Roman"/>
          <w:sz w:val="28"/>
          <w:szCs w:val="28"/>
        </w:rPr>
        <w:t xml:space="preserve"> it </w:t>
      </w:r>
      <w:r>
        <w:rPr>
          <w:rFonts w:ascii="Times New Roman" w:hAnsi="Times New Roman" w:cs="Times New Roman"/>
          <w:sz w:val="28"/>
          <w:szCs w:val="28"/>
        </w:rPr>
        <w:t xml:space="preserve">easy </w:t>
      </w:r>
      <w:r w:rsidR="00233D12">
        <w:rPr>
          <w:rFonts w:ascii="Times New Roman" w:hAnsi="Times New Roman" w:cs="Times New Roman"/>
          <w:sz w:val="28"/>
          <w:szCs w:val="28"/>
        </w:rPr>
        <w:t xml:space="preserve">to assess </w:t>
      </w:r>
      <w:r>
        <w:rPr>
          <w:rFonts w:ascii="Times New Roman" w:hAnsi="Times New Roman" w:cs="Times New Roman"/>
          <w:sz w:val="28"/>
          <w:szCs w:val="28"/>
        </w:rPr>
        <w:t>its correlation</w:t>
      </w:r>
      <w:r w:rsidR="00233D12">
        <w:rPr>
          <w:rFonts w:ascii="Times New Roman" w:hAnsi="Times New Roman" w:cs="Times New Roman"/>
          <w:sz w:val="28"/>
          <w:szCs w:val="28"/>
        </w:rPr>
        <w:t xml:space="preserve"> with </w:t>
      </w:r>
      <w:r w:rsidR="00DE2B01">
        <w:rPr>
          <w:rFonts w:ascii="Times New Roman" w:hAnsi="Times New Roman" w:cs="Times New Roman"/>
          <w:sz w:val="28"/>
          <w:szCs w:val="28"/>
        </w:rPr>
        <w:t xml:space="preserve">other </w:t>
      </w:r>
      <w:r>
        <w:rPr>
          <w:rFonts w:ascii="Times New Roman" w:hAnsi="Times New Roman" w:cs="Times New Roman"/>
          <w:sz w:val="28"/>
          <w:szCs w:val="28"/>
        </w:rPr>
        <w:t xml:space="preserve">data which have a global coverage.  </w:t>
      </w:r>
      <w:r w:rsidR="000B1018">
        <w:rPr>
          <w:rFonts w:ascii="Times New Roman" w:hAnsi="Times New Roman" w:cs="Times New Roman"/>
          <w:sz w:val="28"/>
          <w:szCs w:val="28"/>
        </w:rPr>
        <w:t>For instance, a</w:t>
      </w:r>
      <w:r w:rsidR="00233D12" w:rsidRPr="0001372C">
        <w:rPr>
          <w:rFonts w:ascii="Times New Roman" w:hAnsi="Times New Roman" w:cs="Times New Roman"/>
          <w:sz w:val="28"/>
          <w:szCs w:val="28"/>
        </w:rPr>
        <w:t xml:space="preserve">ssociations between </w:t>
      </w:r>
      <w:r w:rsidR="000B1018">
        <w:rPr>
          <w:rFonts w:ascii="Times New Roman" w:hAnsi="Times New Roman" w:cs="Times New Roman"/>
          <w:sz w:val="28"/>
          <w:szCs w:val="28"/>
        </w:rPr>
        <w:t xml:space="preserve">mortality at national level and </w:t>
      </w:r>
      <w:r w:rsidR="00233D12" w:rsidRPr="0001372C">
        <w:rPr>
          <w:rFonts w:ascii="Times New Roman" w:hAnsi="Times New Roman" w:cs="Times New Roman"/>
          <w:sz w:val="28"/>
          <w:szCs w:val="28"/>
        </w:rPr>
        <w:t xml:space="preserve">per capita food supply assessed through FBSs have sometimes been </w:t>
      </w:r>
      <w:r w:rsidR="000B1018">
        <w:rPr>
          <w:rFonts w:ascii="Times New Roman" w:hAnsi="Times New Roman" w:cs="Times New Roman"/>
          <w:sz w:val="28"/>
          <w:szCs w:val="28"/>
        </w:rPr>
        <w:t>studied.</w:t>
      </w:r>
      <w:r w:rsidR="00233D12" w:rsidRPr="0001372C">
        <w:rPr>
          <w:rFonts w:ascii="Times New Roman" w:hAnsi="Times New Roman" w:cs="Times New Roman"/>
          <w:sz w:val="28"/>
          <w:szCs w:val="28"/>
        </w:rPr>
        <w:t xml:space="preserve"> </w:t>
      </w:r>
      <w:r w:rsidR="000B1018">
        <w:rPr>
          <w:rFonts w:ascii="Times New Roman" w:hAnsi="Times New Roman" w:cs="Times New Roman"/>
          <w:sz w:val="28"/>
          <w:szCs w:val="28"/>
        </w:rPr>
        <w:t>However, a</w:t>
      </w:r>
      <w:r>
        <w:rPr>
          <w:rFonts w:ascii="Times New Roman" w:hAnsi="Times New Roman" w:cs="Times New Roman"/>
          <w:sz w:val="28"/>
          <w:szCs w:val="28"/>
        </w:rPr>
        <w:t xml:space="preserve">ny </w:t>
      </w:r>
      <w:r w:rsidR="00233D12" w:rsidRPr="0001372C">
        <w:rPr>
          <w:rFonts w:ascii="Times New Roman" w:hAnsi="Times New Roman" w:cs="Times New Roman"/>
          <w:sz w:val="28"/>
          <w:szCs w:val="28"/>
        </w:rPr>
        <w:t xml:space="preserve">interpretation in terms of causal/effect of </w:t>
      </w:r>
      <w:r>
        <w:rPr>
          <w:rFonts w:ascii="Times New Roman" w:hAnsi="Times New Roman" w:cs="Times New Roman"/>
          <w:sz w:val="28"/>
          <w:szCs w:val="28"/>
        </w:rPr>
        <w:t>such</w:t>
      </w:r>
      <w:r w:rsidR="00233D12" w:rsidRPr="0001372C">
        <w:rPr>
          <w:rFonts w:ascii="Times New Roman" w:hAnsi="Times New Roman" w:cs="Times New Roman"/>
          <w:sz w:val="28"/>
          <w:szCs w:val="28"/>
        </w:rPr>
        <w:t xml:space="preserve"> observed association is highly questionable and should be discouraged. </w:t>
      </w:r>
    </w:p>
    <w:p w14:paraId="7EC25F90" w14:textId="77777777" w:rsidR="007249C8" w:rsidRPr="0001372C" w:rsidRDefault="007249C8" w:rsidP="00233D12">
      <w:pPr>
        <w:pStyle w:val="PlainText"/>
        <w:jc w:val="both"/>
        <w:rPr>
          <w:rFonts w:ascii="Times New Roman" w:hAnsi="Times New Roman" w:cs="Times New Roman"/>
          <w:sz w:val="28"/>
          <w:szCs w:val="28"/>
        </w:rPr>
      </w:pPr>
    </w:p>
    <w:p w14:paraId="7A5B138D" w14:textId="2DC78DC4" w:rsidR="00892D93" w:rsidRPr="0001372C" w:rsidRDefault="005C4A90" w:rsidP="00892D93">
      <w:pPr>
        <w:pStyle w:val="PlainText"/>
        <w:jc w:val="both"/>
        <w:rPr>
          <w:rFonts w:ascii="Times New Roman" w:hAnsi="Times New Roman" w:cs="Times New Roman"/>
          <w:sz w:val="28"/>
          <w:szCs w:val="28"/>
        </w:rPr>
      </w:pPr>
      <w:r>
        <w:rPr>
          <w:rFonts w:ascii="Times New Roman" w:hAnsi="Times New Roman" w:cs="Times New Roman"/>
          <w:sz w:val="28"/>
          <w:szCs w:val="28"/>
        </w:rPr>
        <w:t>On the contrary, FBS is an appropriate and extremely rich source of data for observational studies</w:t>
      </w:r>
      <w:r w:rsidR="007249C8">
        <w:rPr>
          <w:rFonts w:ascii="Times New Roman" w:hAnsi="Times New Roman" w:cs="Times New Roman"/>
          <w:sz w:val="28"/>
          <w:szCs w:val="28"/>
        </w:rPr>
        <w:t>.</w:t>
      </w:r>
      <w:r w:rsidR="0085171D" w:rsidRPr="0001372C" w:rsidDel="0085171D">
        <w:rPr>
          <w:rFonts w:ascii="Times New Roman" w:hAnsi="Times New Roman" w:cs="Times New Roman"/>
          <w:sz w:val="28"/>
          <w:szCs w:val="28"/>
        </w:rPr>
        <w:t xml:space="preserve"> </w:t>
      </w:r>
      <w:r w:rsidR="0085171D" w:rsidRPr="0001372C">
        <w:rPr>
          <w:rFonts w:ascii="Times New Roman" w:hAnsi="Times New Roman" w:cs="Times New Roman"/>
          <w:sz w:val="28"/>
          <w:szCs w:val="28"/>
        </w:rPr>
        <w:t>Del Gobbo et al. (2015</w:t>
      </w:r>
      <w:r w:rsidR="0085171D">
        <w:rPr>
          <w:rFonts w:ascii="Times New Roman" w:hAnsi="Times New Roman" w:cs="Times New Roman"/>
          <w:sz w:val="28"/>
          <w:szCs w:val="28"/>
        </w:rPr>
        <w:t xml:space="preserve">) </w:t>
      </w:r>
      <w:r w:rsidR="0085171D" w:rsidRPr="0001372C">
        <w:rPr>
          <w:rFonts w:ascii="Times New Roman" w:hAnsi="Times New Roman" w:cs="Times New Roman"/>
          <w:sz w:val="28"/>
          <w:szCs w:val="28"/>
        </w:rPr>
        <w:t>have developed calibration models by matching FBSs per capita food supply data with estimated individual food intake by age and sex at country level. The authors suggest that these models could be used not only to improve per capita food intakes estimates but even to assess individual food intakes by age and sex, based on countries FBSs.</w:t>
      </w:r>
      <w:r w:rsidR="00A774BF">
        <w:rPr>
          <w:rFonts w:ascii="Times New Roman" w:hAnsi="Times New Roman" w:cs="Times New Roman"/>
          <w:sz w:val="28"/>
          <w:szCs w:val="28"/>
        </w:rPr>
        <w:t xml:space="preserve"> FBS are also quite frequently used </w:t>
      </w:r>
      <w:r w:rsidR="00892D93" w:rsidRPr="0001372C">
        <w:rPr>
          <w:rFonts w:ascii="Times New Roman" w:hAnsi="Times New Roman" w:cs="Times New Roman"/>
          <w:sz w:val="28"/>
          <w:szCs w:val="28"/>
        </w:rPr>
        <w:t xml:space="preserve">to compare per capita food supply between countries and regions and to assess time trends since 1961 at country, regional and global level. </w:t>
      </w:r>
      <w:r w:rsidR="00F50DC5" w:rsidRPr="0001372C">
        <w:rPr>
          <w:rFonts w:ascii="Times New Roman" w:hAnsi="Times New Roman" w:cs="Times New Roman"/>
          <w:sz w:val="28"/>
          <w:szCs w:val="28"/>
        </w:rPr>
        <w:t xml:space="preserve">They </w:t>
      </w:r>
      <w:r w:rsidR="00892D93" w:rsidRPr="0001372C">
        <w:rPr>
          <w:rFonts w:ascii="Times New Roman" w:hAnsi="Times New Roman" w:cs="Times New Roman"/>
          <w:sz w:val="28"/>
          <w:szCs w:val="28"/>
        </w:rPr>
        <w:t>can also be used to formulate agricultural policies concerned with the production, distribution and consumption of foods</w:t>
      </w:r>
      <w:r w:rsidR="007B41C6">
        <w:rPr>
          <w:rFonts w:ascii="Times New Roman" w:hAnsi="Times New Roman" w:cs="Times New Roman"/>
          <w:sz w:val="28"/>
          <w:szCs w:val="28"/>
        </w:rPr>
        <w:t>.</w:t>
      </w:r>
      <w:r w:rsidR="0085171D">
        <w:rPr>
          <w:rFonts w:ascii="Times New Roman" w:hAnsi="Times New Roman" w:cs="Times New Roman"/>
          <w:sz w:val="28"/>
          <w:szCs w:val="28"/>
        </w:rPr>
        <w:t xml:space="preserve"> </w:t>
      </w:r>
    </w:p>
    <w:p w14:paraId="130A0A9A" w14:textId="6E099F33" w:rsidR="00892D93" w:rsidRPr="0001372C" w:rsidRDefault="00892D93" w:rsidP="00892D93">
      <w:pPr>
        <w:pStyle w:val="PlainText"/>
        <w:jc w:val="both"/>
        <w:rPr>
          <w:rFonts w:ascii="Times New Roman" w:hAnsi="Times New Roman" w:cs="Times New Roman"/>
          <w:sz w:val="28"/>
          <w:szCs w:val="28"/>
        </w:rPr>
      </w:pPr>
    </w:p>
    <w:p w14:paraId="26ACF569" w14:textId="52B311E0" w:rsidR="007249C8" w:rsidRDefault="004B2659" w:rsidP="005F339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But </w:t>
      </w:r>
      <w:r w:rsidR="00F50DC5" w:rsidRPr="0001372C">
        <w:rPr>
          <w:rFonts w:ascii="Times New Roman" w:hAnsi="Times New Roman" w:cs="Times New Roman"/>
          <w:sz w:val="28"/>
          <w:szCs w:val="28"/>
        </w:rPr>
        <w:t xml:space="preserve">one of the </w:t>
      </w:r>
      <w:r w:rsidRPr="0001372C">
        <w:rPr>
          <w:rFonts w:ascii="Times New Roman" w:hAnsi="Times New Roman" w:cs="Times New Roman"/>
          <w:sz w:val="28"/>
          <w:szCs w:val="28"/>
        </w:rPr>
        <w:t>main use</w:t>
      </w:r>
      <w:r w:rsidR="00F50DC5" w:rsidRPr="0001372C">
        <w:rPr>
          <w:rFonts w:ascii="Times New Roman" w:hAnsi="Times New Roman" w:cs="Times New Roman"/>
          <w:sz w:val="28"/>
          <w:szCs w:val="28"/>
        </w:rPr>
        <w:t>s</w:t>
      </w:r>
      <w:r w:rsidRPr="0001372C">
        <w:rPr>
          <w:rFonts w:ascii="Times New Roman" w:hAnsi="Times New Roman" w:cs="Times New Roman"/>
          <w:sz w:val="28"/>
          <w:szCs w:val="28"/>
        </w:rPr>
        <w:t xml:space="preserve"> of FBS is to monitor global hunger and inform national diets or nutrient adequacy. </w:t>
      </w:r>
      <w:r w:rsidR="005F3399" w:rsidRPr="0001372C">
        <w:rPr>
          <w:rFonts w:ascii="Times New Roman" w:hAnsi="Times New Roman" w:cs="Times New Roman"/>
          <w:sz w:val="28"/>
          <w:szCs w:val="28"/>
        </w:rPr>
        <w:t xml:space="preserve">FBSs data can provide insights into the countries and regions that are most likely to be at greatest risk for low intakes of some nutrients. </w:t>
      </w:r>
    </w:p>
    <w:p w14:paraId="3A87F5B7" w14:textId="77777777" w:rsidR="007249C8" w:rsidRDefault="007249C8" w:rsidP="005F3399">
      <w:pPr>
        <w:pStyle w:val="PlainText"/>
        <w:jc w:val="both"/>
        <w:rPr>
          <w:rFonts w:ascii="Times New Roman" w:hAnsi="Times New Roman" w:cs="Times New Roman"/>
          <w:sz w:val="28"/>
          <w:szCs w:val="28"/>
        </w:rPr>
      </w:pPr>
    </w:p>
    <w:p w14:paraId="01C95220" w14:textId="487B3AB4" w:rsidR="005F3399" w:rsidRDefault="004B2659" w:rsidP="005F3399">
      <w:pPr>
        <w:pStyle w:val="PlainText"/>
        <w:jc w:val="both"/>
        <w:rPr>
          <w:rFonts w:ascii="Times New Roman" w:hAnsi="Times New Roman" w:cs="Times New Roman"/>
          <w:sz w:val="28"/>
          <w:szCs w:val="28"/>
        </w:rPr>
      </w:pPr>
      <w:r w:rsidRPr="0001372C">
        <w:rPr>
          <w:rFonts w:ascii="Times New Roman" w:hAnsi="Times New Roman" w:cs="Times New Roman"/>
          <w:sz w:val="28"/>
          <w:szCs w:val="28"/>
        </w:rPr>
        <w:t>However, given the importance of the decisions that may be taken based on this basis, users need to have a good understanding of FBSs data. Jacobs &amp; Sumner (2002) provide a thorough analysis of their appropriate uses and potential weaknesses.</w:t>
      </w:r>
      <w:r w:rsidR="005F3399" w:rsidRPr="0001372C">
        <w:rPr>
          <w:rFonts w:ascii="Times New Roman" w:hAnsi="Times New Roman" w:cs="Times New Roman"/>
          <w:sz w:val="28"/>
          <w:szCs w:val="28"/>
        </w:rPr>
        <w:t xml:space="preserve"> </w:t>
      </w:r>
    </w:p>
    <w:p w14:paraId="5EA4DDB9" w14:textId="77777777" w:rsidR="00233D12" w:rsidRPr="0001372C" w:rsidRDefault="00233D12" w:rsidP="005F3399">
      <w:pPr>
        <w:pStyle w:val="PlainText"/>
        <w:jc w:val="both"/>
        <w:rPr>
          <w:rFonts w:ascii="Times New Roman" w:hAnsi="Times New Roman" w:cs="Times New Roman"/>
          <w:sz w:val="28"/>
          <w:szCs w:val="28"/>
        </w:rPr>
      </w:pPr>
    </w:p>
    <w:p w14:paraId="07580B94" w14:textId="744CF1E1" w:rsidR="004B2659" w:rsidRPr="0001372C" w:rsidRDefault="004B2659" w:rsidP="00892D93">
      <w:pPr>
        <w:pStyle w:val="PlainText"/>
        <w:jc w:val="both"/>
        <w:rPr>
          <w:rFonts w:ascii="Times New Roman" w:hAnsi="Times New Roman" w:cs="Times New Roman"/>
          <w:sz w:val="28"/>
          <w:szCs w:val="28"/>
        </w:rPr>
      </w:pPr>
    </w:p>
    <w:p w14:paraId="78B00E4E" w14:textId="34AA8566"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i. </w:t>
      </w:r>
      <w:r w:rsidRPr="0001372C">
        <w:rPr>
          <w:rFonts w:ascii="Times New Roman" w:hAnsi="Times New Roman" w:cs="Times New Roman"/>
          <w:i/>
          <w:iCs/>
          <w:sz w:val="28"/>
          <w:szCs w:val="28"/>
        </w:rPr>
        <w:t xml:space="preserve">Inform </w:t>
      </w:r>
      <w:r w:rsidR="005F3399" w:rsidRPr="0001372C">
        <w:rPr>
          <w:rFonts w:ascii="Times New Roman" w:hAnsi="Times New Roman" w:cs="Times New Roman"/>
          <w:i/>
          <w:iCs/>
          <w:sz w:val="28"/>
          <w:szCs w:val="28"/>
        </w:rPr>
        <w:t xml:space="preserve">trends in </w:t>
      </w:r>
      <w:r w:rsidRPr="0001372C">
        <w:rPr>
          <w:rFonts w:ascii="Times New Roman" w:hAnsi="Times New Roman" w:cs="Times New Roman"/>
          <w:i/>
          <w:iCs/>
          <w:sz w:val="28"/>
          <w:szCs w:val="28"/>
        </w:rPr>
        <w:t xml:space="preserve">global </w:t>
      </w:r>
      <w:proofErr w:type="gramStart"/>
      <w:r w:rsidRPr="0001372C">
        <w:rPr>
          <w:rFonts w:ascii="Times New Roman" w:hAnsi="Times New Roman" w:cs="Times New Roman"/>
          <w:i/>
          <w:iCs/>
          <w:sz w:val="28"/>
          <w:szCs w:val="28"/>
        </w:rPr>
        <w:t>hunger</w:t>
      </w:r>
      <w:proofErr w:type="gramEnd"/>
    </w:p>
    <w:p w14:paraId="1521CCFC" w14:textId="77777777" w:rsidR="004B2659" w:rsidRPr="0001372C" w:rsidRDefault="004B2659" w:rsidP="004B2659">
      <w:pPr>
        <w:pStyle w:val="PlainText"/>
        <w:jc w:val="both"/>
        <w:rPr>
          <w:rFonts w:ascii="Times New Roman" w:hAnsi="Times New Roman" w:cs="Times New Roman"/>
          <w:sz w:val="28"/>
          <w:szCs w:val="28"/>
        </w:rPr>
      </w:pPr>
    </w:p>
    <w:p w14:paraId="6114570F" w14:textId="5B966A40" w:rsidR="00665B15"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Ideally, the assessment of food insecurity should be based on data from nationally representative individual or household surveys (see paragraph 2.2). However, only </w:t>
      </w:r>
      <w:r w:rsidR="00F50DC5" w:rsidRPr="0001372C">
        <w:rPr>
          <w:rFonts w:ascii="Times New Roman" w:hAnsi="Times New Roman" w:cs="Times New Roman"/>
          <w:sz w:val="28"/>
          <w:szCs w:val="28"/>
        </w:rPr>
        <w:t xml:space="preserve">a </w:t>
      </w:r>
      <w:r w:rsidRPr="0001372C">
        <w:rPr>
          <w:rFonts w:ascii="Times New Roman" w:hAnsi="Times New Roman" w:cs="Times New Roman"/>
          <w:sz w:val="28"/>
          <w:szCs w:val="28"/>
        </w:rPr>
        <w:t xml:space="preserve">few countries conduct such surveys on an annual basis. FBSs therefore have a key role in the assessment of global food insecurity, published yearly in the report “The State of Food Security and Nutrition in the World” by FAO, IFAD, UNICEF, WFP and WHO (2022). This global monitoring report identifies countries in which food insecurity is most prevalent, monitors food security trends over time and provides projections of future food insecurity. Thus, the per capita Dietary Energy Supply (DES) estimated from FBSs is used as proxy of the average </w:t>
      </w:r>
      <w:r w:rsidR="000803B6">
        <w:rPr>
          <w:rFonts w:ascii="Times New Roman" w:hAnsi="Times New Roman" w:cs="Times New Roman"/>
          <w:sz w:val="28"/>
          <w:szCs w:val="28"/>
        </w:rPr>
        <w:t xml:space="preserve">energy </w:t>
      </w:r>
      <w:r w:rsidRPr="0001372C">
        <w:rPr>
          <w:rFonts w:ascii="Times New Roman" w:hAnsi="Times New Roman" w:cs="Times New Roman"/>
          <w:sz w:val="28"/>
          <w:szCs w:val="28"/>
        </w:rPr>
        <w:t>intake of the population</w:t>
      </w:r>
      <w:r w:rsidR="000803B6">
        <w:rPr>
          <w:rFonts w:ascii="Times New Roman" w:hAnsi="Times New Roman" w:cs="Times New Roman"/>
          <w:sz w:val="28"/>
          <w:szCs w:val="28"/>
        </w:rPr>
        <w:t xml:space="preserve">. The DES is combined with </w:t>
      </w:r>
      <w:r w:rsidRPr="0001372C">
        <w:rPr>
          <w:rFonts w:ascii="Times New Roman" w:hAnsi="Times New Roman" w:cs="Times New Roman"/>
          <w:sz w:val="28"/>
          <w:szCs w:val="28"/>
        </w:rPr>
        <w:t xml:space="preserve">information on the inter-household variability in per capita “Dietary Energy Consumption” estimated from HCES </w:t>
      </w:r>
      <w:r w:rsidR="000803B6">
        <w:rPr>
          <w:rFonts w:ascii="Times New Roman" w:hAnsi="Times New Roman" w:cs="Times New Roman"/>
          <w:sz w:val="28"/>
          <w:szCs w:val="28"/>
        </w:rPr>
        <w:t xml:space="preserve">and the </w:t>
      </w:r>
      <w:r w:rsidR="00D041F9">
        <w:rPr>
          <w:rFonts w:ascii="Times New Roman" w:hAnsi="Times New Roman" w:cs="Times New Roman"/>
          <w:sz w:val="28"/>
          <w:szCs w:val="28"/>
        </w:rPr>
        <w:t xml:space="preserve">minimum </w:t>
      </w:r>
      <w:r w:rsidR="000803B6">
        <w:rPr>
          <w:rFonts w:ascii="Times New Roman" w:hAnsi="Times New Roman" w:cs="Times New Roman"/>
          <w:sz w:val="28"/>
          <w:szCs w:val="28"/>
        </w:rPr>
        <w:t xml:space="preserve">energy requirement at population level to </w:t>
      </w:r>
      <w:r w:rsidR="000803B6" w:rsidRPr="0001372C">
        <w:rPr>
          <w:rFonts w:ascii="Times New Roman" w:hAnsi="Times New Roman" w:cs="Times New Roman"/>
          <w:sz w:val="28"/>
          <w:szCs w:val="28"/>
        </w:rPr>
        <w:t>estimat</w:t>
      </w:r>
      <w:r w:rsidR="000803B6">
        <w:rPr>
          <w:rFonts w:ascii="Times New Roman" w:hAnsi="Times New Roman" w:cs="Times New Roman"/>
          <w:sz w:val="28"/>
          <w:szCs w:val="28"/>
        </w:rPr>
        <w:t>e</w:t>
      </w:r>
      <w:r w:rsidR="000803B6" w:rsidRPr="0001372C">
        <w:rPr>
          <w:rFonts w:ascii="Times New Roman" w:hAnsi="Times New Roman" w:cs="Times New Roman"/>
          <w:sz w:val="28"/>
          <w:szCs w:val="28"/>
        </w:rPr>
        <w:t xml:space="preserve"> the Prevalence of Undernourishment (</w:t>
      </w:r>
      <w:proofErr w:type="spellStart"/>
      <w:r w:rsidR="000803B6" w:rsidRPr="0001372C">
        <w:rPr>
          <w:rFonts w:ascii="Times New Roman" w:hAnsi="Times New Roman" w:cs="Times New Roman"/>
          <w:sz w:val="28"/>
          <w:szCs w:val="28"/>
        </w:rPr>
        <w:t>PoU</w:t>
      </w:r>
      <w:proofErr w:type="spellEnd"/>
      <w:r w:rsidR="000803B6" w:rsidRPr="0001372C">
        <w:rPr>
          <w:rFonts w:ascii="Times New Roman" w:hAnsi="Times New Roman" w:cs="Times New Roman"/>
          <w:sz w:val="28"/>
          <w:szCs w:val="28"/>
        </w:rPr>
        <w:t xml:space="preserve">) </w:t>
      </w:r>
      <w:r w:rsidRPr="0001372C">
        <w:rPr>
          <w:rFonts w:ascii="Times New Roman" w:hAnsi="Times New Roman" w:cs="Times New Roman"/>
          <w:sz w:val="28"/>
          <w:szCs w:val="28"/>
        </w:rPr>
        <w:t>(</w:t>
      </w:r>
      <w:proofErr w:type="spellStart"/>
      <w:r w:rsidRPr="0001372C">
        <w:rPr>
          <w:rFonts w:ascii="Times New Roman" w:hAnsi="Times New Roman" w:cs="Times New Roman"/>
          <w:sz w:val="28"/>
          <w:szCs w:val="28"/>
        </w:rPr>
        <w:t>Wanner</w:t>
      </w:r>
      <w:proofErr w:type="spellEnd"/>
      <w:r w:rsidRPr="0001372C">
        <w:rPr>
          <w:rFonts w:ascii="Times New Roman" w:hAnsi="Times New Roman" w:cs="Times New Roman"/>
          <w:sz w:val="28"/>
          <w:szCs w:val="28"/>
        </w:rPr>
        <w:t>, 2014). T</w:t>
      </w:r>
      <w:r w:rsidR="000803B6">
        <w:rPr>
          <w:rFonts w:ascii="Times New Roman" w:hAnsi="Times New Roman" w:cs="Times New Roman"/>
          <w:sz w:val="28"/>
          <w:szCs w:val="28"/>
        </w:rPr>
        <w:t>he use of data on inter-household variability in the</w:t>
      </w:r>
      <w:r w:rsidRPr="0001372C">
        <w:rPr>
          <w:rFonts w:ascii="Times New Roman" w:hAnsi="Times New Roman" w:cs="Times New Roman"/>
          <w:sz w:val="28"/>
          <w:szCs w:val="28"/>
        </w:rPr>
        <w:t xml:space="preserve"> PoU calculation </w:t>
      </w:r>
      <w:r w:rsidR="000803B6">
        <w:rPr>
          <w:rFonts w:ascii="Times New Roman" w:hAnsi="Times New Roman" w:cs="Times New Roman"/>
          <w:sz w:val="28"/>
          <w:szCs w:val="28"/>
        </w:rPr>
        <w:t xml:space="preserve">is </w:t>
      </w:r>
      <w:r w:rsidR="002643D1">
        <w:rPr>
          <w:rFonts w:ascii="Times New Roman" w:hAnsi="Times New Roman" w:cs="Times New Roman"/>
          <w:sz w:val="28"/>
          <w:szCs w:val="28"/>
        </w:rPr>
        <w:t>crucial</w:t>
      </w:r>
      <w:r w:rsidR="000803B6">
        <w:rPr>
          <w:rFonts w:ascii="Times New Roman" w:hAnsi="Times New Roman" w:cs="Times New Roman"/>
          <w:sz w:val="28"/>
          <w:szCs w:val="28"/>
        </w:rPr>
        <w:t>. Indeed</w:t>
      </w:r>
      <w:r w:rsidR="00665B15">
        <w:rPr>
          <w:rFonts w:ascii="Times New Roman" w:hAnsi="Times New Roman" w:cs="Times New Roman"/>
          <w:sz w:val="28"/>
          <w:szCs w:val="28"/>
        </w:rPr>
        <w:t>,</w:t>
      </w:r>
      <w:r w:rsidRPr="0001372C">
        <w:rPr>
          <w:rFonts w:ascii="Times New Roman" w:hAnsi="Times New Roman" w:cs="Times New Roman"/>
          <w:sz w:val="28"/>
          <w:szCs w:val="28"/>
        </w:rPr>
        <w:t xml:space="preserve"> food</w:t>
      </w:r>
      <w:r w:rsidR="000803B6">
        <w:rPr>
          <w:rFonts w:ascii="Times New Roman" w:hAnsi="Times New Roman" w:cs="Times New Roman"/>
          <w:sz w:val="28"/>
          <w:szCs w:val="28"/>
        </w:rPr>
        <w:t xml:space="preserve"> (and consequently energy)</w:t>
      </w:r>
      <w:r w:rsidRPr="0001372C">
        <w:rPr>
          <w:rFonts w:ascii="Times New Roman" w:hAnsi="Times New Roman" w:cs="Times New Roman"/>
          <w:sz w:val="28"/>
          <w:szCs w:val="28"/>
        </w:rPr>
        <w:t xml:space="preserve"> is not equally distributed among households within a country</w:t>
      </w:r>
      <w:r w:rsidR="000803B6">
        <w:rPr>
          <w:rFonts w:ascii="Times New Roman" w:hAnsi="Times New Roman" w:cs="Times New Roman"/>
          <w:sz w:val="28"/>
          <w:szCs w:val="28"/>
        </w:rPr>
        <w:t xml:space="preserve">. </w:t>
      </w:r>
      <w:r w:rsidR="002643D1">
        <w:rPr>
          <w:rFonts w:ascii="Times New Roman" w:hAnsi="Times New Roman" w:cs="Times New Roman"/>
          <w:sz w:val="28"/>
          <w:szCs w:val="28"/>
        </w:rPr>
        <w:t xml:space="preserve">A mere comparison between per capita DES with energy </w:t>
      </w:r>
      <w:r w:rsidR="00D041F9">
        <w:rPr>
          <w:rFonts w:ascii="Times New Roman" w:hAnsi="Times New Roman" w:cs="Times New Roman"/>
          <w:sz w:val="28"/>
          <w:szCs w:val="28"/>
        </w:rPr>
        <w:t>requirements</w:t>
      </w:r>
      <w:r w:rsidR="002643D1">
        <w:rPr>
          <w:rFonts w:ascii="Times New Roman" w:hAnsi="Times New Roman" w:cs="Times New Roman"/>
          <w:sz w:val="28"/>
          <w:szCs w:val="28"/>
        </w:rPr>
        <w:t xml:space="preserve"> at country level would largely </w:t>
      </w:r>
      <w:r w:rsidR="002643D1">
        <w:rPr>
          <w:rFonts w:ascii="Times New Roman" w:hAnsi="Times New Roman" w:cs="Times New Roman"/>
          <w:sz w:val="28"/>
          <w:szCs w:val="28"/>
        </w:rPr>
        <w:lastRenderedPageBreak/>
        <w:t>underestimate the prevalence of food insecurity at household level in many countries.</w:t>
      </w:r>
      <w:r w:rsidRPr="0001372C">
        <w:rPr>
          <w:rFonts w:ascii="Times New Roman" w:hAnsi="Times New Roman" w:cs="Times New Roman"/>
          <w:sz w:val="28"/>
          <w:szCs w:val="28"/>
        </w:rPr>
        <w:t xml:space="preserve"> </w:t>
      </w:r>
    </w:p>
    <w:p w14:paraId="4CC1A2C2" w14:textId="3379C200"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PoU is one of the indicators of Sustainable Development Goal 2 (FAO 2021e). </w:t>
      </w:r>
    </w:p>
    <w:p w14:paraId="46E827DE" w14:textId="77777777" w:rsidR="004B2659" w:rsidRPr="0001372C" w:rsidRDefault="004B2659" w:rsidP="00892D93">
      <w:pPr>
        <w:pStyle w:val="PlainText"/>
        <w:jc w:val="both"/>
        <w:rPr>
          <w:rFonts w:ascii="Times New Roman" w:hAnsi="Times New Roman" w:cs="Times New Roman"/>
          <w:sz w:val="28"/>
          <w:szCs w:val="28"/>
        </w:rPr>
      </w:pPr>
    </w:p>
    <w:p w14:paraId="4FDACAAC" w14:textId="77777777" w:rsidR="005F3399" w:rsidRPr="0001372C" w:rsidRDefault="005F3399" w:rsidP="00892D93">
      <w:pPr>
        <w:pStyle w:val="PlainText"/>
        <w:jc w:val="both"/>
        <w:rPr>
          <w:rFonts w:ascii="Times New Roman" w:hAnsi="Times New Roman" w:cs="Times New Roman"/>
          <w:i/>
          <w:iCs/>
          <w:sz w:val="28"/>
          <w:szCs w:val="28"/>
        </w:rPr>
      </w:pPr>
    </w:p>
    <w:p w14:paraId="1C723F15" w14:textId="30BDD99E" w:rsidR="004B2659" w:rsidRPr="0001372C" w:rsidRDefault="005F3399" w:rsidP="00892D93">
      <w:pPr>
        <w:pStyle w:val="PlainText"/>
        <w:jc w:val="both"/>
        <w:rPr>
          <w:rFonts w:ascii="Times New Roman" w:hAnsi="Times New Roman" w:cs="Times New Roman"/>
          <w:sz w:val="28"/>
          <w:szCs w:val="28"/>
        </w:rPr>
      </w:pPr>
      <w:r w:rsidRPr="0001372C">
        <w:rPr>
          <w:rFonts w:ascii="Times New Roman" w:hAnsi="Times New Roman" w:cs="Times New Roman"/>
          <w:i/>
          <w:iCs/>
          <w:sz w:val="28"/>
          <w:szCs w:val="28"/>
        </w:rPr>
        <w:t>ii</w:t>
      </w:r>
      <w:r w:rsidR="004B2659" w:rsidRPr="0001372C">
        <w:rPr>
          <w:rFonts w:ascii="Times New Roman" w:hAnsi="Times New Roman" w:cs="Times New Roman"/>
          <w:i/>
          <w:iCs/>
          <w:sz w:val="28"/>
          <w:szCs w:val="28"/>
        </w:rPr>
        <w:t xml:space="preserve">. Inform on </w:t>
      </w:r>
      <w:r w:rsidR="00342E38">
        <w:rPr>
          <w:rFonts w:ascii="Times New Roman" w:hAnsi="Times New Roman" w:cs="Times New Roman"/>
          <w:i/>
          <w:iCs/>
          <w:sz w:val="28"/>
          <w:szCs w:val="28"/>
        </w:rPr>
        <w:t>macro</w:t>
      </w:r>
      <w:r w:rsidR="00117A2B" w:rsidRPr="0001372C">
        <w:rPr>
          <w:rFonts w:ascii="Times New Roman" w:hAnsi="Times New Roman" w:cs="Times New Roman"/>
          <w:i/>
          <w:iCs/>
          <w:sz w:val="28"/>
          <w:szCs w:val="28"/>
        </w:rPr>
        <w:t xml:space="preserve">nutrient availability at national </w:t>
      </w:r>
      <w:proofErr w:type="gramStart"/>
      <w:r w:rsidR="00117A2B" w:rsidRPr="0001372C">
        <w:rPr>
          <w:rFonts w:ascii="Times New Roman" w:hAnsi="Times New Roman" w:cs="Times New Roman"/>
          <w:i/>
          <w:iCs/>
          <w:sz w:val="28"/>
          <w:szCs w:val="28"/>
        </w:rPr>
        <w:t>level</w:t>
      </w:r>
      <w:proofErr w:type="gramEnd"/>
      <w:r w:rsidR="00117A2B" w:rsidRPr="0001372C">
        <w:rPr>
          <w:rFonts w:ascii="Times New Roman" w:hAnsi="Times New Roman" w:cs="Times New Roman"/>
          <w:i/>
          <w:iCs/>
          <w:sz w:val="28"/>
          <w:szCs w:val="28"/>
        </w:rPr>
        <w:t xml:space="preserve"> </w:t>
      </w:r>
    </w:p>
    <w:p w14:paraId="47C2DA64" w14:textId="77777777" w:rsidR="004B2659" w:rsidRPr="0001372C" w:rsidRDefault="004B2659" w:rsidP="00892D93">
      <w:pPr>
        <w:pStyle w:val="PlainText"/>
        <w:jc w:val="both"/>
        <w:rPr>
          <w:rFonts w:ascii="Times New Roman" w:hAnsi="Times New Roman" w:cs="Times New Roman"/>
          <w:sz w:val="28"/>
          <w:szCs w:val="28"/>
        </w:rPr>
      </w:pPr>
    </w:p>
    <w:p w14:paraId="77350F20" w14:textId="00F44781" w:rsidR="007249C8" w:rsidRDefault="00892D93" w:rsidP="00892D93">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Nutrient supply per capita can be estimated by combining supply data from FBSs expressed in g/capita/day with a food composition database for all primary and processed items. Energy (kcal/capita/day), protein (g/capita/day), and fat (g/capita/day) supplies are freely available by year and country on FAO website </w:t>
      </w:r>
      <w:r w:rsidR="007249C8" w:rsidRPr="0001372C">
        <w:rPr>
          <w:rFonts w:ascii="Times New Roman" w:hAnsi="Times New Roman" w:cs="Times New Roman"/>
          <w:sz w:val="28"/>
          <w:szCs w:val="28"/>
        </w:rPr>
        <w:t>(</w:t>
      </w:r>
      <w:hyperlink r:id="rId15" w:anchor="data/FBSH" w:history="1">
        <w:r w:rsidR="007249C8" w:rsidRPr="0001372C">
          <w:rPr>
            <w:rStyle w:val="Hyperlink"/>
            <w:rFonts w:ascii="Times New Roman" w:hAnsi="Times New Roman" w:cs="Times New Roman"/>
            <w:sz w:val="28"/>
            <w:szCs w:val="28"/>
          </w:rPr>
          <w:t>https://www.fao.org/faostat/en/#data/FBSH</w:t>
        </w:r>
      </w:hyperlink>
      <w:r w:rsidR="007249C8" w:rsidRPr="0001372C">
        <w:rPr>
          <w:rFonts w:ascii="Times New Roman" w:hAnsi="Times New Roman" w:cs="Times New Roman"/>
          <w:sz w:val="28"/>
          <w:szCs w:val="28"/>
        </w:rPr>
        <w:t>)</w:t>
      </w:r>
      <w:r w:rsidR="007249C8">
        <w:rPr>
          <w:rFonts w:ascii="Times New Roman" w:hAnsi="Times New Roman" w:cs="Times New Roman"/>
          <w:sz w:val="28"/>
          <w:szCs w:val="28"/>
        </w:rPr>
        <w:t xml:space="preserve"> </w:t>
      </w:r>
      <w:r w:rsidRPr="0001372C">
        <w:rPr>
          <w:rFonts w:ascii="Times New Roman" w:hAnsi="Times New Roman" w:cs="Times New Roman"/>
          <w:sz w:val="28"/>
          <w:szCs w:val="28"/>
        </w:rPr>
        <w:t>where they can be viewed and downloaded.</w:t>
      </w:r>
    </w:p>
    <w:p w14:paraId="0910DAAF" w14:textId="13C13C5A" w:rsidR="004B2659" w:rsidRPr="0001372C" w:rsidRDefault="00892D93" w:rsidP="00892D93">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 </w:t>
      </w:r>
    </w:p>
    <w:p w14:paraId="03456B86" w14:textId="61B21D09" w:rsidR="00892D93" w:rsidRPr="0001372C" w:rsidRDefault="00892D93" w:rsidP="00892D93">
      <w:pPr>
        <w:pStyle w:val="PlainText"/>
        <w:jc w:val="both"/>
        <w:rPr>
          <w:rFonts w:ascii="Times New Roman" w:hAnsi="Times New Roman" w:cs="Times New Roman"/>
          <w:sz w:val="28"/>
          <w:szCs w:val="28"/>
        </w:rPr>
      </w:pPr>
      <w:r w:rsidRPr="0001372C">
        <w:rPr>
          <w:rFonts w:ascii="Times New Roman" w:hAnsi="Times New Roman" w:cs="Times New Roman"/>
          <w:sz w:val="28"/>
          <w:szCs w:val="28"/>
        </w:rPr>
        <w:t>It is noteworthy that FAO nutrient supply data are obtained through a common global food composition database, not considering the differences in composition of foods items between countries. The food composition database is available in FAO (2001a</w:t>
      </w:r>
      <w:proofErr w:type="gramStart"/>
      <w:r w:rsidRPr="0001372C">
        <w:rPr>
          <w:rFonts w:ascii="Times New Roman" w:hAnsi="Times New Roman" w:cs="Times New Roman"/>
          <w:sz w:val="28"/>
          <w:szCs w:val="28"/>
        </w:rPr>
        <w:t>)</w:t>
      </w:r>
      <w:proofErr w:type="gramEnd"/>
      <w:r w:rsidRPr="0001372C">
        <w:rPr>
          <w:rFonts w:ascii="Times New Roman" w:hAnsi="Times New Roman" w:cs="Times New Roman"/>
          <w:sz w:val="28"/>
          <w:szCs w:val="28"/>
        </w:rPr>
        <w:t xml:space="preserve"> but no reference is provided in terms of data source.</w:t>
      </w:r>
    </w:p>
    <w:p w14:paraId="193AA24A" w14:textId="77777777" w:rsidR="00892D93" w:rsidRPr="0001372C" w:rsidRDefault="00892D93" w:rsidP="00892D93">
      <w:pPr>
        <w:pStyle w:val="PlainText"/>
        <w:jc w:val="both"/>
        <w:rPr>
          <w:rFonts w:ascii="Times New Roman" w:hAnsi="Times New Roman" w:cs="Times New Roman"/>
          <w:sz w:val="28"/>
          <w:szCs w:val="28"/>
        </w:rPr>
      </w:pPr>
    </w:p>
    <w:p w14:paraId="15E27300" w14:textId="77777777" w:rsidR="00AF5A2A" w:rsidRPr="0001372C" w:rsidRDefault="00892D93" w:rsidP="00892D93">
      <w:pPr>
        <w:pStyle w:val="PlainText"/>
        <w:jc w:val="both"/>
        <w:rPr>
          <w:rFonts w:ascii="Times New Roman" w:hAnsi="Times New Roman" w:cs="Times New Roman"/>
          <w:sz w:val="28"/>
          <w:szCs w:val="28"/>
        </w:rPr>
      </w:pPr>
      <w:r w:rsidRPr="0001372C">
        <w:rPr>
          <w:rFonts w:ascii="Times New Roman" w:hAnsi="Times New Roman" w:cs="Times New Roman"/>
          <w:sz w:val="28"/>
          <w:szCs w:val="28"/>
        </w:rPr>
        <w:t>Due to uncertainties in the data and process used to develop FBSs, macronutrients are often expressed as percentage of energy (</w:t>
      </w:r>
      <w:proofErr w:type="gramStart"/>
      <w:r w:rsidRPr="0001372C">
        <w:rPr>
          <w:rFonts w:ascii="Times New Roman" w:hAnsi="Times New Roman" w:cs="Times New Roman"/>
          <w:sz w:val="28"/>
          <w:szCs w:val="28"/>
        </w:rPr>
        <w:t>e.g.</w:t>
      </w:r>
      <w:proofErr w:type="gramEnd"/>
      <w:r w:rsidRPr="0001372C">
        <w:rPr>
          <w:rFonts w:ascii="Times New Roman" w:hAnsi="Times New Roman" w:cs="Times New Roman"/>
          <w:sz w:val="28"/>
          <w:szCs w:val="28"/>
        </w:rPr>
        <w:t xml:space="preserve"> percentage of calories from proteins) or as ratios between nutrients (e.g. ratio of unsaturated fatty acids to saturated fatty acids) (Sasaki &amp; Kesteloot, 1992) rather than through per capita nutrient supply.</w:t>
      </w:r>
    </w:p>
    <w:p w14:paraId="038A1FA6" w14:textId="77777777" w:rsidR="00AF5A2A" w:rsidRPr="0001372C" w:rsidRDefault="00AF5A2A" w:rsidP="00892D93">
      <w:pPr>
        <w:pStyle w:val="PlainText"/>
        <w:jc w:val="both"/>
        <w:rPr>
          <w:rFonts w:ascii="Times New Roman" w:hAnsi="Times New Roman" w:cs="Times New Roman"/>
          <w:sz w:val="28"/>
          <w:szCs w:val="28"/>
        </w:rPr>
      </w:pPr>
    </w:p>
    <w:p w14:paraId="7970A39C" w14:textId="67D8CF00" w:rsidR="00892D93" w:rsidRPr="0001372C" w:rsidRDefault="00892D93" w:rsidP="00892D93">
      <w:pPr>
        <w:pStyle w:val="PlainText"/>
        <w:jc w:val="both"/>
        <w:rPr>
          <w:rFonts w:ascii="Times New Roman" w:hAnsi="Times New Roman" w:cs="Times New Roman"/>
          <w:sz w:val="28"/>
          <w:szCs w:val="28"/>
        </w:rPr>
      </w:pPr>
      <w:r w:rsidRPr="0001372C">
        <w:rPr>
          <w:rFonts w:ascii="Times New Roman" w:hAnsi="Times New Roman" w:cs="Times New Roman"/>
          <w:sz w:val="28"/>
          <w:szCs w:val="28"/>
        </w:rPr>
        <w:t>The assessment of nutrient density indeed allows to compare diet quality between countries which have differing levels of accuracy of the food supply data and thus differing level of under/over estimation of total nutrient per capita supply. However, the assessment of the percentage of energy, protein fat and nutrients derived from each food group and the comparison of such data by countries can be jeopardized by a differing level of under/over estimation between food groups.</w:t>
      </w:r>
    </w:p>
    <w:p w14:paraId="71418763" w14:textId="4C1F187C" w:rsidR="00892D93" w:rsidRPr="0001372C" w:rsidRDefault="00892D93" w:rsidP="00892D93">
      <w:pPr>
        <w:pStyle w:val="PlainText"/>
        <w:jc w:val="both"/>
        <w:rPr>
          <w:rFonts w:ascii="Times New Roman" w:hAnsi="Times New Roman" w:cs="Times New Roman"/>
          <w:sz w:val="28"/>
          <w:szCs w:val="28"/>
        </w:rPr>
      </w:pPr>
    </w:p>
    <w:p w14:paraId="59A4B822" w14:textId="007D87E8" w:rsidR="001E7029" w:rsidRPr="0001372C" w:rsidRDefault="001E7029" w:rsidP="001E7029">
      <w:pPr>
        <w:pStyle w:val="PlainText"/>
        <w:rPr>
          <w:rFonts w:ascii="Times New Roman" w:hAnsi="Times New Roman" w:cs="Times New Roman"/>
          <w:i/>
          <w:iCs/>
          <w:sz w:val="28"/>
          <w:szCs w:val="28"/>
        </w:rPr>
      </w:pPr>
      <w:r w:rsidRPr="0001372C">
        <w:rPr>
          <w:rFonts w:ascii="Times New Roman" w:hAnsi="Times New Roman" w:cs="Times New Roman"/>
          <w:i/>
          <w:iCs/>
          <w:sz w:val="28"/>
          <w:szCs w:val="28"/>
        </w:rPr>
        <w:t>i</w:t>
      </w:r>
      <w:r w:rsidR="0046549D">
        <w:rPr>
          <w:rFonts w:ascii="Times New Roman" w:hAnsi="Times New Roman" w:cs="Times New Roman"/>
          <w:i/>
          <w:iCs/>
          <w:sz w:val="28"/>
          <w:szCs w:val="28"/>
        </w:rPr>
        <w:t>i</w:t>
      </w:r>
      <w:r w:rsidRPr="0001372C">
        <w:rPr>
          <w:rFonts w:ascii="Times New Roman" w:hAnsi="Times New Roman" w:cs="Times New Roman"/>
          <w:i/>
          <w:iCs/>
          <w:sz w:val="28"/>
          <w:szCs w:val="28"/>
        </w:rPr>
        <w:t xml:space="preserve">i. inform </w:t>
      </w:r>
      <w:r>
        <w:rPr>
          <w:rFonts w:ascii="Times New Roman" w:hAnsi="Times New Roman" w:cs="Times New Roman"/>
          <w:i/>
          <w:iCs/>
          <w:sz w:val="28"/>
          <w:szCs w:val="28"/>
        </w:rPr>
        <w:t xml:space="preserve">food security indicators </w:t>
      </w:r>
      <w:r w:rsidR="00665B15">
        <w:rPr>
          <w:rFonts w:ascii="Times New Roman" w:hAnsi="Times New Roman" w:cs="Times New Roman"/>
          <w:i/>
          <w:iCs/>
          <w:sz w:val="28"/>
          <w:szCs w:val="28"/>
        </w:rPr>
        <w:t xml:space="preserve">at national </w:t>
      </w:r>
      <w:proofErr w:type="gramStart"/>
      <w:r w:rsidR="00665B15">
        <w:rPr>
          <w:rFonts w:ascii="Times New Roman" w:hAnsi="Times New Roman" w:cs="Times New Roman"/>
          <w:i/>
          <w:iCs/>
          <w:sz w:val="28"/>
          <w:szCs w:val="28"/>
        </w:rPr>
        <w:t>level</w:t>
      </w:r>
      <w:proofErr w:type="gramEnd"/>
    </w:p>
    <w:p w14:paraId="1F38D150" w14:textId="77777777" w:rsidR="001E7029" w:rsidRPr="0001372C" w:rsidRDefault="001E7029" w:rsidP="001E7029">
      <w:pPr>
        <w:pStyle w:val="PlainText"/>
        <w:rPr>
          <w:rFonts w:ascii="Times New Roman" w:hAnsi="Times New Roman" w:cs="Times New Roman"/>
          <w:sz w:val="28"/>
          <w:szCs w:val="28"/>
        </w:rPr>
      </w:pPr>
    </w:p>
    <w:p w14:paraId="61C29F2F" w14:textId="652D0056" w:rsidR="001E7029" w:rsidRPr="0001372C" w:rsidRDefault="001E7029" w:rsidP="001E702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Five indicators present in the FAO “Suite of indicators of food security” are derived from 3-year </w:t>
      </w:r>
      <w:r w:rsidR="00665B15">
        <w:rPr>
          <w:rFonts w:ascii="Times New Roman" w:hAnsi="Times New Roman" w:cs="Times New Roman"/>
          <w:sz w:val="28"/>
          <w:szCs w:val="28"/>
        </w:rPr>
        <w:t xml:space="preserve">moving </w:t>
      </w:r>
      <w:r w:rsidRPr="0001372C">
        <w:rPr>
          <w:rFonts w:ascii="Times New Roman" w:hAnsi="Times New Roman" w:cs="Times New Roman"/>
          <w:sz w:val="28"/>
          <w:szCs w:val="28"/>
        </w:rPr>
        <w:t>average</w:t>
      </w:r>
      <w:r w:rsidR="00665B15">
        <w:rPr>
          <w:rFonts w:ascii="Times New Roman" w:hAnsi="Times New Roman" w:cs="Times New Roman"/>
          <w:sz w:val="28"/>
          <w:szCs w:val="28"/>
        </w:rPr>
        <w:t>s</w:t>
      </w:r>
      <w:r w:rsidRPr="0001372C">
        <w:rPr>
          <w:rFonts w:ascii="Times New Roman" w:hAnsi="Times New Roman" w:cs="Times New Roman"/>
          <w:sz w:val="28"/>
          <w:szCs w:val="28"/>
        </w:rPr>
        <w:t xml:space="preserve"> of FBS</w:t>
      </w:r>
    </w:p>
    <w:p w14:paraId="0261C5F7" w14:textId="77777777" w:rsidR="001E7029" w:rsidRPr="0001372C" w:rsidRDefault="001E7029" w:rsidP="001E7029">
      <w:pPr>
        <w:pStyle w:val="PlainText"/>
        <w:jc w:val="both"/>
        <w:rPr>
          <w:rFonts w:ascii="Times New Roman" w:hAnsi="Times New Roman" w:cs="Times New Roman"/>
          <w:sz w:val="28"/>
          <w:szCs w:val="28"/>
        </w:rPr>
      </w:pPr>
      <w:r w:rsidRPr="0001372C">
        <w:rPr>
          <w:rFonts w:ascii="Times New Roman" w:hAnsi="Times New Roman" w:cs="Times New Roman"/>
          <w:sz w:val="28"/>
          <w:szCs w:val="28"/>
        </w:rPr>
        <w:t>(</w:t>
      </w:r>
      <w:hyperlink r:id="rId16" w:history="1">
        <w:r w:rsidRPr="0001372C">
          <w:rPr>
            <w:rStyle w:val="Hyperlink"/>
            <w:rFonts w:ascii="Times New Roman" w:hAnsi="Times New Roman" w:cs="Times New Roman"/>
            <w:sz w:val="28"/>
            <w:szCs w:val="28"/>
          </w:rPr>
          <w:t>https://data.apps.fao.org/catalog/dataset/faostat-food-security/resource/a9a2c6ac-4c3b-4604-bb81-35a3a782763e</w:t>
        </w:r>
      </w:hyperlink>
      <w:r w:rsidRPr="0001372C">
        <w:rPr>
          <w:rFonts w:ascii="Times New Roman" w:hAnsi="Times New Roman" w:cs="Times New Roman"/>
          <w:sz w:val="28"/>
          <w:szCs w:val="28"/>
        </w:rPr>
        <w:t xml:space="preserve"> , accessed September 2022):</w:t>
      </w:r>
    </w:p>
    <w:p w14:paraId="7BF439D1" w14:textId="77777777" w:rsidR="001E7029" w:rsidRPr="0001372C" w:rsidRDefault="001E7029" w:rsidP="001E7029">
      <w:pPr>
        <w:pStyle w:val="PlainText"/>
        <w:numPr>
          <w:ilvl w:val="0"/>
          <w:numId w:val="1"/>
        </w:numPr>
        <w:rPr>
          <w:rFonts w:ascii="Times New Roman" w:hAnsi="Times New Roman" w:cs="Times New Roman"/>
          <w:sz w:val="28"/>
          <w:szCs w:val="28"/>
        </w:rPr>
      </w:pPr>
      <w:r w:rsidRPr="0001372C">
        <w:rPr>
          <w:rFonts w:ascii="Times New Roman" w:hAnsi="Times New Roman" w:cs="Times New Roman"/>
          <w:sz w:val="28"/>
          <w:szCs w:val="28"/>
        </w:rPr>
        <w:t>Share of dietary energy supply derived from cereals, roots and tubers (percent, 3-year average)</w:t>
      </w:r>
    </w:p>
    <w:p w14:paraId="635B03C2" w14:textId="77777777" w:rsidR="001E7029" w:rsidRPr="0001372C" w:rsidRDefault="001E7029" w:rsidP="001E7029">
      <w:pPr>
        <w:pStyle w:val="PlainText"/>
        <w:numPr>
          <w:ilvl w:val="0"/>
          <w:numId w:val="1"/>
        </w:numPr>
        <w:rPr>
          <w:rFonts w:ascii="Times New Roman" w:hAnsi="Times New Roman" w:cs="Times New Roman"/>
          <w:sz w:val="28"/>
          <w:szCs w:val="28"/>
        </w:rPr>
      </w:pPr>
      <w:r w:rsidRPr="0001372C">
        <w:rPr>
          <w:rFonts w:ascii="Times New Roman" w:hAnsi="Times New Roman" w:cs="Times New Roman"/>
          <w:sz w:val="28"/>
          <w:szCs w:val="28"/>
        </w:rPr>
        <w:lastRenderedPageBreak/>
        <w:t>Dietary energy supply used in the estimation of the Prevalence of Undernourishment (kcal/cap/day, 3-year average)</w:t>
      </w:r>
    </w:p>
    <w:p w14:paraId="35AC0B8F" w14:textId="77777777" w:rsidR="001E7029" w:rsidRPr="0001372C" w:rsidRDefault="001E7029" w:rsidP="001E7029">
      <w:pPr>
        <w:pStyle w:val="PlainText"/>
        <w:numPr>
          <w:ilvl w:val="0"/>
          <w:numId w:val="1"/>
        </w:numPr>
        <w:rPr>
          <w:rFonts w:ascii="Times New Roman" w:hAnsi="Times New Roman" w:cs="Times New Roman"/>
          <w:sz w:val="28"/>
          <w:szCs w:val="28"/>
        </w:rPr>
      </w:pPr>
      <w:r w:rsidRPr="0001372C">
        <w:rPr>
          <w:rFonts w:ascii="Times New Roman" w:hAnsi="Times New Roman" w:cs="Times New Roman"/>
          <w:sz w:val="28"/>
          <w:szCs w:val="28"/>
        </w:rPr>
        <w:t>Average dietary energy supply adequacy (percent, 3-year average)</w:t>
      </w:r>
    </w:p>
    <w:p w14:paraId="24443DE0" w14:textId="77777777" w:rsidR="001E7029" w:rsidRPr="0001372C" w:rsidRDefault="001E7029" w:rsidP="001E7029">
      <w:pPr>
        <w:pStyle w:val="PlainText"/>
        <w:numPr>
          <w:ilvl w:val="0"/>
          <w:numId w:val="1"/>
        </w:numPr>
        <w:rPr>
          <w:rFonts w:ascii="Times New Roman" w:hAnsi="Times New Roman" w:cs="Times New Roman"/>
          <w:sz w:val="28"/>
          <w:szCs w:val="28"/>
        </w:rPr>
      </w:pPr>
      <w:r w:rsidRPr="0001372C">
        <w:rPr>
          <w:rFonts w:ascii="Times New Roman" w:hAnsi="Times New Roman" w:cs="Times New Roman"/>
          <w:sz w:val="28"/>
          <w:szCs w:val="28"/>
        </w:rPr>
        <w:t>Average protein supply (g/cap/day, 3-year average)</w:t>
      </w:r>
    </w:p>
    <w:p w14:paraId="69067471" w14:textId="77777777" w:rsidR="001E7029" w:rsidRPr="0001372C" w:rsidRDefault="001E7029" w:rsidP="001E7029">
      <w:pPr>
        <w:pStyle w:val="PlainText"/>
        <w:numPr>
          <w:ilvl w:val="0"/>
          <w:numId w:val="1"/>
        </w:numPr>
        <w:rPr>
          <w:rFonts w:ascii="Times New Roman" w:hAnsi="Times New Roman" w:cs="Times New Roman"/>
          <w:sz w:val="28"/>
          <w:szCs w:val="28"/>
        </w:rPr>
      </w:pPr>
      <w:r w:rsidRPr="0001372C">
        <w:rPr>
          <w:rFonts w:ascii="Times New Roman" w:hAnsi="Times New Roman" w:cs="Times New Roman"/>
          <w:sz w:val="28"/>
          <w:szCs w:val="28"/>
        </w:rPr>
        <w:t>Average supply of protein of animal origin (g/cap/day, 3-year average)</w:t>
      </w:r>
    </w:p>
    <w:p w14:paraId="37AE0A7D" w14:textId="77777777" w:rsidR="001E7029" w:rsidRPr="0001372C" w:rsidRDefault="001E7029" w:rsidP="001E7029">
      <w:pPr>
        <w:pStyle w:val="PlainText"/>
        <w:jc w:val="both"/>
        <w:rPr>
          <w:rFonts w:ascii="Times New Roman" w:hAnsi="Times New Roman" w:cs="Times New Roman"/>
          <w:sz w:val="28"/>
          <w:szCs w:val="28"/>
        </w:rPr>
      </w:pPr>
    </w:p>
    <w:p w14:paraId="2AD5256B" w14:textId="77777777" w:rsidR="001E7029" w:rsidRPr="0001372C" w:rsidRDefault="001E7029" w:rsidP="001E7029">
      <w:pPr>
        <w:pStyle w:val="PlainText"/>
        <w:jc w:val="both"/>
        <w:rPr>
          <w:rFonts w:ascii="Times New Roman" w:hAnsi="Times New Roman" w:cs="Times New Roman"/>
          <w:sz w:val="28"/>
          <w:szCs w:val="28"/>
        </w:rPr>
      </w:pPr>
      <w:r w:rsidRPr="0001372C">
        <w:rPr>
          <w:rFonts w:ascii="Times New Roman" w:hAnsi="Times New Roman" w:cs="Times New Roman"/>
          <w:sz w:val="28"/>
          <w:szCs w:val="28"/>
        </w:rPr>
        <w:t>Among these, a key nutritional indicator is the share of energy from cereals, roots and tubers. This percentage is typically high in low-income countries where these staple foods constitute a very large part of the diet with a resulting in low diversity and low micronutrient supply. The average supply of protein of animal origin is an indicator of diets with low supply of high-quality proteins.</w:t>
      </w:r>
    </w:p>
    <w:p w14:paraId="62BAE413" w14:textId="77777777" w:rsidR="001E7029" w:rsidRDefault="001E7029" w:rsidP="00892D93">
      <w:pPr>
        <w:pStyle w:val="PlainText"/>
        <w:jc w:val="both"/>
        <w:rPr>
          <w:rFonts w:ascii="Times New Roman" w:hAnsi="Times New Roman" w:cs="Times New Roman"/>
          <w:i/>
          <w:iCs/>
          <w:sz w:val="28"/>
          <w:szCs w:val="28"/>
        </w:rPr>
      </w:pPr>
    </w:p>
    <w:p w14:paraId="5FFB17F9" w14:textId="223C53B6" w:rsidR="004B2659" w:rsidRPr="0001372C" w:rsidRDefault="005F3399" w:rsidP="00892D93">
      <w:pPr>
        <w:pStyle w:val="PlainText"/>
        <w:jc w:val="both"/>
        <w:rPr>
          <w:rFonts w:ascii="Times New Roman" w:hAnsi="Times New Roman" w:cs="Times New Roman"/>
          <w:i/>
          <w:iCs/>
          <w:sz w:val="28"/>
          <w:szCs w:val="28"/>
        </w:rPr>
      </w:pPr>
      <w:r w:rsidRPr="0001372C">
        <w:rPr>
          <w:rFonts w:ascii="Times New Roman" w:hAnsi="Times New Roman" w:cs="Times New Roman"/>
          <w:i/>
          <w:iCs/>
          <w:sz w:val="28"/>
          <w:szCs w:val="28"/>
        </w:rPr>
        <w:t>iv</w:t>
      </w:r>
      <w:r w:rsidR="004B2659" w:rsidRPr="0001372C">
        <w:rPr>
          <w:rFonts w:ascii="Times New Roman" w:hAnsi="Times New Roman" w:cs="Times New Roman"/>
          <w:i/>
          <w:iCs/>
          <w:sz w:val="28"/>
          <w:szCs w:val="28"/>
        </w:rPr>
        <w:t xml:space="preserve">. inform </w:t>
      </w:r>
      <w:r w:rsidRPr="0001372C">
        <w:rPr>
          <w:rFonts w:ascii="Times New Roman" w:hAnsi="Times New Roman" w:cs="Times New Roman"/>
          <w:i/>
          <w:iCs/>
          <w:sz w:val="28"/>
          <w:szCs w:val="28"/>
        </w:rPr>
        <w:t>micronutrient</w:t>
      </w:r>
      <w:r w:rsidR="004B2659" w:rsidRPr="0001372C">
        <w:rPr>
          <w:rFonts w:ascii="Times New Roman" w:hAnsi="Times New Roman" w:cs="Times New Roman"/>
          <w:i/>
          <w:iCs/>
          <w:sz w:val="28"/>
          <w:szCs w:val="28"/>
        </w:rPr>
        <w:t xml:space="preserve"> </w:t>
      </w:r>
      <w:r w:rsidR="00117A2B" w:rsidRPr="0001372C">
        <w:rPr>
          <w:rFonts w:ascii="Times New Roman" w:hAnsi="Times New Roman" w:cs="Times New Roman"/>
          <w:i/>
          <w:iCs/>
          <w:sz w:val="28"/>
          <w:szCs w:val="28"/>
        </w:rPr>
        <w:t xml:space="preserve">availability at national level </w:t>
      </w:r>
    </w:p>
    <w:p w14:paraId="2D31B77B" w14:textId="77777777" w:rsidR="004B2659" w:rsidRPr="0001372C" w:rsidRDefault="004B2659" w:rsidP="00892D93">
      <w:pPr>
        <w:pStyle w:val="PlainText"/>
        <w:jc w:val="both"/>
        <w:rPr>
          <w:rFonts w:ascii="Times New Roman" w:hAnsi="Times New Roman" w:cs="Times New Roman"/>
          <w:sz w:val="28"/>
          <w:szCs w:val="28"/>
        </w:rPr>
      </w:pPr>
    </w:p>
    <w:p w14:paraId="59CA14A4" w14:textId="77777777"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Several efforts have been made to use FBS for the assessment of the adequacy of nutrient supply at global level, in different regions of the world and in individual countries. To this aim FBSs have been matched not only to energy, and macronutrients but also to full range of vitamins and minerals.</w:t>
      </w:r>
    </w:p>
    <w:p w14:paraId="3886B5B0" w14:textId="77777777" w:rsidR="004B2659" w:rsidRPr="0001372C" w:rsidRDefault="004B2659" w:rsidP="004B2659">
      <w:pPr>
        <w:pStyle w:val="PlainText"/>
        <w:jc w:val="both"/>
        <w:rPr>
          <w:rFonts w:ascii="Times New Roman" w:hAnsi="Times New Roman" w:cs="Times New Roman"/>
          <w:sz w:val="28"/>
          <w:szCs w:val="28"/>
        </w:rPr>
      </w:pPr>
    </w:p>
    <w:p w14:paraId="22F5002C" w14:textId="77777777"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FBSs provide national data and thus do not provide any information on the per capita nutrient supply by age and sex while the different age and sex groups have very different micronutrient needs. However, the age and sex distributions of each country allow to calculate at national level the theoretical weighed estimated average requirement (EAR) for each micronutrient. The percentage of the population at risk of inadequacy may be estimated as the proportion of the population with usual intakes under the theoretical mean requirement of the population. The distribution of usual intake in the population is inferred considering as mean usual intake the per capita nutrient supply and the estimated within person variability for each nutrient.  This method, called EAR cut-point method, is described in detail in chapter 8.b. of the present volume. </w:t>
      </w:r>
    </w:p>
    <w:p w14:paraId="2C146CA8" w14:textId="77777777" w:rsidR="004B2659" w:rsidRPr="0001372C" w:rsidRDefault="004B2659" w:rsidP="004B2659">
      <w:pPr>
        <w:pStyle w:val="PlainText"/>
        <w:jc w:val="both"/>
        <w:rPr>
          <w:rFonts w:ascii="Times New Roman" w:hAnsi="Times New Roman" w:cs="Times New Roman"/>
          <w:sz w:val="28"/>
          <w:szCs w:val="28"/>
        </w:rPr>
      </w:pPr>
    </w:p>
    <w:p w14:paraId="26992640" w14:textId="77777777"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Wuehler, Peerson &amp; Brown (2005) performed this analysis in 176 countries based on the estimated phytate supply and considering its bioavailability (based on the estimated phytate-to-zinc molar ratios). The estimated zinc supply was estimated based on FBSs combined with a common global food composition database for all countries. </w:t>
      </w:r>
    </w:p>
    <w:p w14:paraId="5C5D2816" w14:textId="77777777" w:rsidR="004B2659" w:rsidRPr="0001372C" w:rsidRDefault="004B2659" w:rsidP="004B2659">
      <w:pPr>
        <w:pStyle w:val="PlainText"/>
        <w:jc w:val="both"/>
        <w:rPr>
          <w:rFonts w:ascii="Times New Roman" w:hAnsi="Times New Roman" w:cs="Times New Roman"/>
          <w:sz w:val="28"/>
          <w:szCs w:val="28"/>
        </w:rPr>
      </w:pPr>
    </w:p>
    <w:p w14:paraId="7957147F" w14:textId="3AF2A703"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Arsenault, </w:t>
      </w:r>
      <w:proofErr w:type="spellStart"/>
      <w:r w:rsidRPr="0001372C">
        <w:rPr>
          <w:rFonts w:ascii="Times New Roman" w:hAnsi="Times New Roman" w:cs="Times New Roman"/>
          <w:sz w:val="28"/>
          <w:szCs w:val="28"/>
        </w:rPr>
        <w:t>Hijmans</w:t>
      </w:r>
      <w:proofErr w:type="spellEnd"/>
      <w:r w:rsidRPr="0001372C">
        <w:rPr>
          <w:rFonts w:ascii="Times New Roman" w:hAnsi="Times New Roman" w:cs="Times New Roman"/>
          <w:sz w:val="28"/>
          <w:szCs w:val="28"/>
        </w:rPr>
        <w:t xml:space="preserve"> &amp; Brown (2015) used FBSs from three countries (Bangladesh, Senegal, and Cameroon) and assessed the per capita availability for eight micronutrients (vitamin A, vitamin C, vitamin B6, riboflavin, niacin, folate, </w:t>
      </w:r>
      <w:r w:rsidRPr="0001372C">
        <w:rPr>
          <w:rFonts w:ascii="Times New Roman" w:hAnsi="Times New Roman" w:cs="Times New Roman"/>
          <w:sz w:val="28"/>
          <w:szCs w:val="28"/>
        </w:rPr>
        <w:lastRenderedPageBreak/>
        <w:t>calcium and zinc). A common food composition database was compiled and used for all three countries, but additional country-specific adjustments were made to consider the different processing of staple foods which lead to differing nutrient composition of food as ingested (</w:t>
      </w:r>
      <w:proofErr w:type="gramStart"/>
      <w:r w:rsidRPr="0001372C">
        <w:rPr>
          <w:rFonts w:ascii="Times New Roman" w:hAnsi="Times New Roman" w:cs="Times New Roman"/>
          <w:sz w:val="28"/>
          <w:szCs w:val="28"/>
        </w:rPr>
        <w:t>e.g.</w:t>
      </w:r>
      <w:proofErr w:type="gramEnd"/>
      <w:r w:rsidRPr="0001372C">
        <w:rPr>
          <w:rFonts w:ascii="Times New Roman" w:hAnsi="Times New Roman" w:cs="Times New Roman"/>
          <w:sz w:val="28"/>
          <w:szCs w:val="28"/>
        </w:rPr>
        <w:t xml:space="preserve"> percentage of refined wheat at country level). Two indicators of adequacy were used: 1) the per capita nutrient supply expressed as a percentage of the theoretical weighed EAR of each country and 2) the percentage of the population that has an adequate usual intake, as estimated with the EAR cut-point method (see chapter 8.b).</w:t>
      </w:r>
      <w:r w:rsidR="005F3399" w:rsidRPr="0001372C">
        <w:rPr>
          <w:rFonts w:ascii="Times New Roman" w:hAnsi="Times New Roman" w:cs="Times New Roman"/>
          <w:sz w:val="28"/>
          <w:szCs w:val="28"/>
        </w:rPr>
        <w:t xml:space="preserve"> </w:t>
      </w:r>
      <w:r w:rsidRPr="0001372C">
        <w:rPr>
          <w:rFonts w:ascii="Times New Roman" w:hAnsi="Times New Roman" w:cs="Times New Roman"/>
          <w:sz w:val="28"/>
          <w:szCs w:val="28"/>
        </w:rPr>
        <w:t xml:space="preserve">Each nutrient gap in the food supply was calculated as the difference between the current amount in the food supply minus the amount of the nutrient needed to achieve 80% prevalence of adequate intakes. Linear optimization modeling was used to determine the optimal mix of crops to fulfill the nutrient gaps for several nutrients. </w:t>
      </w:r>
    </w:p>
    <w:p w14:paraId="1CBA40F4" w14:textId="77777777" w:rsidR="004B2659" w:rsidRPr="0001372C" w:rsidRDefault="004B2659" w:rsidP="004B2659">
      <w:pPr>
        <w:pStyle w:val="PlainText"/>
        <w:rPr>
          <w:rFonts w:ascii="Times New Roman" w:hAnsi="Times New Roman" w:cs="Times New Roman"/>
          <w:sz w:val="28"/>
          <w:szCs w:val="28"/>
        </w:rPr>
      </w:pPr>
    </w:p>
    <w:p w14:paraId="305A8B03" w14:textId="77777777" w:rsidR="004B2659" w:rsidRPr="0001372C" w:rsidRDefault="004B2659" w:rsidP="004B2659">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Smith et al. (2016) performed a very comprehensive estimate of per capita supply for 23 macro- and micronutrients in 225 food groups in 152 countries over 50 years (1961 to 2011) by combining FBSs data with several ancillary data. Food supply by age and sex was assessed considering the percentage of edible food and the level of fortification in each food group together with data from individual and household surveys at country level. In each country an ad-hoc food composition database was compiled based on six national and regional food composition tables. Nutrient losses during the processing of cereals to flour were considered. The distribution of nutrient per capita supply by age and sex was derived through a probabilistic method (Monte Carlo simulations).  </w:t>
      </w:r>
    </w:p>
    <w:p w14:paraId="11AFE85C" w14:textId="77777777" w:rsidR="005F3399" w:rsidRPr="0001372C" w:rsidRDefault="005F3399" w:rsidP="00892D93">
      <w:pPr>
        <w:pStyle w:val="PlainText"/>
        <w:jc w:val="both"/>
        <w:rPr>
          <w:rFonts w:ascii="Times New Roman" w:hAnsi="Times New Roman" w:cs="Times New Roman"/>
          <w:sz w:val="28"/>
          <w:szCs w:val="28"/>
        </w:rPr>
      </w:pPr>
    </w:p>
    <w:p w14:paraId="4200A2F9" w14:textId="77777777" w:rsidR="00892D93" w:rsidRPr="0001372C" w:rsidRDefault="00892D93" w:rsidP="00892D93">
      <w:pPr>
        <w:pStyle w:val="PlainText"/>
        <w:rPr>
          <w:rFonts w:ascii="Times New Roman" w:hAnsi="Times New Roman" w:cs="Times New Roman"/>
          <w:sz w:val="28"/>
          <w:szCs w:val="28"/>
        </w:rPr>
      </w:pPr>
    </w:p>
    <w:p w14:paraId="052E6E4A" w14:textId="4A909C57" w:rsidR="00D174F3" w:rsidRPr="0001372C" w:rsidRDefault="00D174F3" w:rsidP="00D174F3">
      <w:pPr>
        <w:pStyle w:val="PlainText"/>
        <w:rPr>
          <w:rFonts w:ascii="Times New Roman" w:hAnsi="Times New Roman" w:cs="Times New Roman"/>
          <w:sz w:val="28"/>
          <w:szCs w:val="28"/>
          <w:u w:val="single"/>
        </w:rPr>
      </w:pPr>
      <w:r w:rsidRPr="0001372C">
        <w:rPr>
          <w:rFonts w:ascii="Times New Roman" w:hAnsi="Times New Roman" w:cs="Times New Roman"/>
          <w:sz w:val="28"/>
          <w:szCs w:val="28"/>
        </w:rPr>
        <w:t>2.2.</w:t>
      </w:r>
      <w:r w:rsidR="002A777D" w:rsidRPr="0001372C">
        <w:rPr>
          <w:rFonts w:ascii="Times New Roman" w:hAnsi="Times New Roman" w:cs="Times New Roman"/>
          <w:sz w:val="28"/>
          <w:szCs w:val="28"/>
        </w:rPr>
        <w:t>3</w:t>
      </w:r>
      <w:r w:rsidR="00CF3F6D" w:rsidRPr="0001372C">
        <w:rPr>
          <w:rFonts w:ascii="Times New Roman" w:hAnsi="Times New Roman" w:cs="Times New Roman"/>
          <w:sz w:val="28"/>
          <w:szCs w:val="28"/>
        </w:rPr>
        <w:t>.</w:t>
      </w:r>
      <w:r w:rsidRPr="0001372C">
        <w:rPr>
          <w:rFonts w:ascii="Times New Roman" w:hAnsi="Times New Roman" w:cs="Times New Roman"/>
          <w:sz w:val="28"/>
          <w:szCs w:val="28"/>
          <w:u w:val="single"/>
        </w:rPr>
        <w:t xml:space="preserve"> Use</w:t>
      </w:r>
      <w:r w:rsidR="00A12802" w:rsidRPr="0001372C">
        <w:rPr>
          <w:rFonts w:ascii="Times New Roman" w:hAnsi="Times New Roman" w:cs="Times New Roman"/>
          <w:sz w:val="28"/>
          <w:szCs w:val="28"/>
          <w:u w:val="single"/>
        </w:rPr>
        <w:t>s</w:t>
      </w:r>
      <w:r w:rsidRPr="0001372C">
        <w:rPr>
          <w:rFonts w:ascii="Times New Roman" w:hAnsi="Times New Roman" w:cs="Times New Roman"/>
          <w:sz w:val="28"/>
          <w:szCs w:val="28"/>
          <w:u w:val="single"/>
        </w:rPr>
        <w:t xml:space="preserve"> of data </w:t>
      </w:r>
      <w:r w:rsidR="007F437D" w:rsidRPr="0001372C">
        <w:rPr>
          <w:rFonts w:ascii="Times New Roman" w:hAnsi="Times New Roman" w:cs="Times New Roman"/>
          <w:sz w:val="28"/>
          <w:szCs w:val="28"/>
          <w:u w:val="single"/>
        </w:rPr>
        <w:t xml:space="preserve">from </w:t>
      </w:r>
      <w:r w:rsidR="002A777D" w:rsidRPr="0001372C">
        <w:rPr>
          <w:rFonts w:ascii="Times New Roman" w:hAnsi="Times New Roman" w:cs="Times New Roman"/>
          <w:sz w:val="28"/>
          <w:szCs w:val="28"/>
          <w:u w:val="single"/>
        </w:rPr>
        <w:t>household surveys</w:t>
      </w:r>
    </w:p>
    <w:p w14:paraId="1D5E675E" w14:textId="12840C6E" w:rsidR="007E313E" w:rsidRPr="0001372C" w:rsidRDefault="007E313E" w:rsidP="007E313E">
      <w:pPr>
        <w:pStyle w:val="PlainText"/>
        <w:jc w:val="both"/>
        <w:rPr>
          <w:rFonts w:ascii="Times New Roman" w:hAnsi="Times New Roman" w:cs="Times New Roman"/>
          <w:sz w:val="28"/>
          <w:szCs w:val="28"/>
        </w:rPr>
      </w:pPr>
    </w:p>
    <w:p w14:paraId="091C07F2" w14:textId="149AAD4F" w:rsidR="004F0130" w:rsidRPr="0001372C" w:rsidRDefault="004F0130" w:rsidP="004F0130">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Data on household food availability for consumption derived from </w:t>
      </w:r>
      <w:r w:rsidR="00AF5A2A" w:rsidRPr="0001372C">
        <w:rPr>
          <w:rFonts w:ascii="Times New Roman" w:hAnsi="Times New Roman" w:cs="Times New Roman"/>
          <w:sz w:val="28"/>
          <w:szCs w:val="28"/>
        </w:rPr>
        <w:t xml:space="preserve">household </w:t>
      </w:r>
      <w:r w:rsidRPr="0001372C">
        <w:rPr>
          <w:rFonts w:ascii="Times New Roman" w:hAnsi="Times New Roman" w:cs="Times New Roman"/>
          <w:sz w:val="28"/>
          <w:szCs w:val="28"/>
        </w:rPr>
        <w:t xml:space="preserve">surveys </w:t>
      </w:r>
      <w:r w:rsidR="00AF5A2A" w:rsidRPr="0001372C">
        <w:rPr>
          <w:rFonts w:ascii="Times New Roman" w:hAnsi="Times New Roman" w:cs="Times New Roman"/>
          <w:sz w:val="28"/>
          <w:szCs w:val="28"/>
        </w:rPr>
        <w:t xml:space="preserve">and HCES </w:t>
      </w:r>
      <w:proofErr w:type="gramStart"/>
      <w:r w:rsidR="00AF5A2A" w:rsidRPr="0001372C">
        <w:rPr>
          <w:rFonts w:ascii="Times New Roman" w:hAnsi="Times New Roman" w:cs="Times New Roman"/>
          <w:sz w:val="28"/>
          <w:szCs w:val="28"/>
        </w:rPr>
        <w:t xml:space="preserve">in particular </w:t>
      </w:r>
      <w:r w:rsidRPr="0001372C">
        <w:rPr>
          <w:rFonts w:ascii="Times New Roman" w:hAnsi="Times New Roman" w:cs="Times New Roman"/>
          <w:sz w:val="28"/>
          <w:szCs w:val="28"/>
        </w:rPr>
        <w:t>are</w:t>
      </w:r>
      <w:proofErr w:type="gramEnd"/>
      <w:r w:rsidRPr="0001372C">
        <w:rPr>
          <w:rFonts w:ascii="Times New Roman" w:hAnsi="Times New Roman" w:cs="Times New Roman"/>
          <w:sz w:val="28"/>
          <w:szCs w:val="28"/>
        </w:rPr>
        <w:t xml:space="preserve"> largely used for the assessment of global and national trends in food security in low- and middle-income countries</w:t>
      </w:r>
      <w:r w:rsidR="00AF5A2A" w:rsidRPr="0001372C">
        <w:rPr>
          <w:rFonts w:ascii="Times New Roman" w:hAnsi="Times New Roman" w:cs="Times New Roman"/>
          <w:sz w:val="28"/>
          <w:szCs w:val="28"/>
        </w:rPr>
        <w:t xml:space="preserve"> or to inform on food consumption patterns</w:t>
      </w:r>
      <w:r w:rsidRPr="0001372C">
        <w:rPr>
          <w:rFonts w:ascii="Times New Roman" w:hAnsi="Times New Roman" w:cs="Times New Roman"/>
          <w:sz w:val="28"/>
          <w:szCs w:val="28"/>
        </w:rPr>
        <w:t>. The World Bank has developed the most comprehensive repository of HCES data worldwide. It is publicly accessible for free to answer the increasing needs of such data (</w:t>
      </w:r>
      <w:hyperlink r:id="rId17" w:history="1">
        <w:r w:rsidRPr="0001372C">
          <w:rPr>
            <w:rStyle w:val="Hyperlink"/>
            <w:rFonts w:ascii="Times New Roman" w:hAnsi="Times New Roman" w:cs="Times New Roman"/>
            <w:sz w:val="28"/>
            <w:szCs w:val="28"/>
          </w:rPr>
          <w:t>https://microdata.worldbank.org/index.php/home</w:t>
        </w:r>
      </w:hyperlink>
      <w:r w:rsidRPr="0001372C">
        <w:rPr>
          <w:rFonts w:ascii="Times New Roman" w:hAnsi="Times New Roman" w:cs="Times New Roman"/>
          <w:sz w:val="28"/>
          <w:szCs w:val="28"/>
        </w:rPr>
        <w:t>).</w:t>
      </w:r>
    </w:p>
    <w:p w14:paraId="0AA70E40" w14:textId="77777777" w:rsidR="004F0130" w:rsidRPr="0001372C" w:rsidRDefault="004F0130" w:rsidP="004F0130">
      <w:pPr>
        <w:pStyle w:val="PlainText"/>
        <w:jc w:val="both"/>
        <w:rPr>
          <w:rFonts w:ascii="Times New Roman" w:hAnsi="Times New Roman" w:cs="Times New Roman"/>
          <w:sz w:val="28"/>
          <w:szCs w:val="28"/>
        </w:rPr>
      </w:pPr>
    </w:p>
    <w:p w14:paraId="13699413" w14:textId="69D83FBD" w:rsidR="004F0130" w:rsidRPr="0001372C" w:rsidRDefault="004F0130" w:rsidP="004F0130">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Data sources and relevant methods used to produce diet-related food security indicators from household consumption surveys are summarized on the Data4Diet platform developed by the INDDEX project (2018). </w:t>
      </w:r>
    </w:p>
    <w:p w14:paraId="28121917" w14:textId="60B6403B" w:rsidR="00650D5F" w:rsidRPr="0001372C" w:rsidRDefault="00650D5F" w:rsidP="004F0130">
      <w:pPr>
        <w:pStyle w:val="PlainText"/>
        <w:jc w:val="both"/>
        <w:rPr>
          <w:rFonts w:ascii="Times New Roman" w:hAnsi="Times New Roman" w:cs="Times New Roman"/>
          <w:sz w:val="28"/>
          <w:szCs w:val="28"/>
        </w:rPr>
      </w:pPr>
    </w:p>
    <w:p w14:paraId="10FEA9C6" w14:textId="0527ADBE" w:rsidR="00650D5F" w:rsidRPr="0001372C" w:rsidRDefault="00650D5F" w:rsidP="00650D5F">
      <w:pPr>
        <w:pStyle w:val="NormalWeb"/>
        <w:shd w:val="clear" w:color="auto" w:fill="FFFFFF"/>
        <w:spacing w:before="0" w:beforeAutospacing="0" w:after="218" w:afterAutospacing="0"/>
        <w:jc w:val="both"/>
        <w:rPr>
          <w:rFonts w:eastAsiaTheme="minorHAnsi"/>
          <w:sz w:val="28"/>
          <w:szCs w:val="28"/>
          <w:lang w:val="en-US" w:eastAsia="en-US"/>
        </w:rPr>
      </w:pPr>
      <w:r w:rsidRPr="0001372C">
        <w:rPr>
          <w:rFonts w:eastAsiaTheme="minorHAnsi"/>
          <w:sz w:val="28"/>
          <w:szCs w:val="28"/>
          <w:lang w:val="en-US" w:eastAsia="en-US"/>
        </w:rPr>
        <w:lastRenderedPageBreak/>
        <w:t>HCES with carefully designed consumption modules are a valuable source of data for household-level food security and nutrition measurement (</w:t>
      </w:r>
      <w:hyperlink r:id="rId18" w:history="1">
        <w:r w:rsidRPr="0001372C">
          <w:rPr>
            <w:rFonts w:eastAsiaTheme="minorHAnsi"/>
            <w:sz w:val="28"/>
            <w:szCs w:val="28"/>
            <w:lang w:val="en-US" w:eastAsia="en-US"/>
          </w:rPr>
          <w:t>Russell et al., 2018</w:t>
        </w:r>
      </w:hyperlink>
      <w:r w:rsidRPr="0001372C">
        <w:rPr>
          <w:rFonts w:eastAsiaTheme="minorHAnsi"/>
          <w:sz w:val="28"/>
          <w:szCs w:val="28"/>
          <w:lang w:val="en-US" w:eastAsia="en-US"/>
        </w:rPr>
        <w:t>;</w:t>
      </w:r>
      <w:hyperlink r:id="rId19" w:history="1">
        <w:r w:rsidRPr="0001372C">
          <w:rPr>
            <w:rFonts w:eastAsiaTheme="minorHAnsi"/>
            <w:sz w:val="28"/>
            <w:szCs w:val="28"/>
            <w:lang w:val="en-US" w:eastAsia="en-US"/>
          </w:rPr>
          <w:t xml:space="preserve"> </w:t>
        </w:r>
        <w:proofErr w:type="spellStart"/>
        <w:r w:rsidRPr="0001372C">
          <w:rPr>
            <w:rFonts w:eastAsiaTheme="minorHAnsi"/>
            <w:sz w:val="28"/>
            <w:szCs w:val="28"/>
            <w:lang w:val="en-US" w:eastAsia="en-US"/>
          </w:rPr>
          <w:t>Zezza</w:t>
        </w:r>
        <w:proofErr w:type="spellEnd"/>
        <w:r w:rsidRPr="0001372C">
          <w:rPr>
            <w:rFonts w:eastAsiaTheme="minorHAnsi"/>
            <w:sz w:val="28"/>
            <w:szCs w:val="28"/>
            <w:lang w:val="en-US" w:eastAsia="en-US"/>
          </w:rPr>
          <w:t xml:space="preserve"> et al., 2017</w:t>
        </w:r>
      </w:hyperlink>
      <w:r w:rsidRPr="0001372C">
        <w:rPr>
          <w:rFonts w:eastAsiaTheme="minorHAnsi"/>
          <w:sz w:val="28"/>
          <w:szCs w:val="28"/>
          <w:lang w:val="en-US" w:eastAsia="en-US"/>
        </w:rPr>
        <w:t>). However, consumption modules are heterogeneous across countries. Main differences among HCES are 1) the length of the recall period; 2) whether data are collected at acquisition or consumption level, or both; 3) whether there is information on the mode of food acquisition (purchases, own production, and in-kind); 4) whether or not information on food consumed away from home is collected and in what form; 5) whether food detail is collected through open recall or a list, and, if a list, how disaggregated and specific the foods and food groups are; and 6) the use of non-standard units without available conversions (</w:t>
      </w:r>
      <w:hyperlink r:id="rId20" w:history="1">
        <w:r w:rsidRPr="0001372C">
          <w:rPr>
            <w:rFonts w:eastAsiaTheme="minorHAnsi"/>
            <w:sz w:val="28"/>
            <w:szCs w:val="28"/>
            <w:lang w:val="en-US" w:eastAsia="en-US"/>
          </w:rPr>
          <w:t>Smith et al., 2014</w:t>
        </w:r>
      </w:hyperlink>
      <w:r w:rsidRPr="0001372C">
        <w:rPr>
          <w:rFonts w:eastAsiaTheme="minorHAnsi"/>
          <w:sz w:val="28"/>
          <w:szCs w:val="28"/>
          <w:lang w:val="en-US" w:eastAsia="en-US"/>
        </w:rPr>
        <w:t xml:space="preserve">). Therefore, comparisons across countries can be inaccurate and the indicators of food security and nutrition derive from some HCES survey may bear a large uncertainty. For example, if the food consumption module has a short food list with aggregated items, the matching with a </w:t>
      </w:r>
      <w:hyperlink r:id="rId21" w:history="1">
        <w:r w:rsidRPr="0001372C">
          <w:rPr>
            <w:rFonts w:eastAsiaTheme="minorHAnsi"/>
            <w:sz w:val="28"/>
            <w:szCs w:val="28"/>
            <w:lang w:val="en-US" w:eastAsia="en-US"/>
          </w:rPr>
          <w:t>food composition database</w:t>
        </w:r>
      </w:hyperlink>
      <w:r w:rsidRPr="0001372C">
        <w:rPr>
          <w:rFonts w:eastAsiaTheme="minorHAnsi"/>
          <w:sz w:val="28"/>
          <w:szCs w:val="28"/>
          <w:lang w:val="en-US" w:eastAsia="en-US"/>
        </w:rPr>
        <w:t xml:space="preserve"> leads to large uncertainty in the assessment of the per capita supply of nutrients. If food consumed away from home is not considered, the assessment of food security and nutrition indicators is uncertain.</w:t>
      </w:r>
    </w:p>
    <w:p w14:paraId="6EDDA5BC" w14:textId="77777777" w:rsidR="004F0130" w:rsidRPr="0001372C" w:rsidRDefault="004F0130" w:rsidP="007E313E">
      <w:pPr>
        <w:pStyle w:val="PlainText"/>
        <w:jc w:val="both"/>
        <w:rPr>
          <w:rFonts w:ascii="Times New Roman" w:hAnsi="Times New Roman" w:cs="Times New Roman"/>
          <w:sz w:val="28"/>
          <w:szCs w:val="28"/>
        </w:rPr>
      </w:pPr>
    </w:p>
    <w:p w14:paraId="79C29B14" w14:textId="56FADF91" w:rsidR="005D451B" w:rsidRPr="0001372C" w:rsidRDefault="005F3399" w:rsidP="005F3399">
      <w:pPr>
        <w:shd w:val="clear" w:color="auto" w:fill="FFFFFF"/>
        <w:spacing w:after="0" w:line="240" w:lineRule="auto"/>
        <w:rPr>
          <w:rFonts w:ascii="Times New Roman" w:eastAsia="Times New Roman" w:hAnsi="Times New Roman" w:cs="Times New Roman"/>
          <w:i/>
          <w:iCs/>
          <w:color w:val="222222"/>
          <w:sz w:val="28"/>
          <w:szCs w:val="28"/>
        </w:rPr>
      </w:pPr>
      <w:r w:rsidRPr="0001372C">
        <w:rPr>
          <w:rFonts w:ascii="Times New Roman" w:eastAsia="Times New Roman" w:hAnsi="Times New Roman" w:cs="Times New Roman"/>
          <w:i/>
          <w:iCs/>
          <w:color w:val="222222"/>
          <w:sz w:val="28"/>
          <w:szCs w:val="28"/>
        </w:rPr>
        <w:t xml:space="preserve">i. </w:t>
      </w:r>
      <w:r w:rsidR="001A05AB">
        <w:rPr>
          <w:rFonts w:ascii="Times New Roman" w:eastAsia="Times New Roman" w:hAnsi="Times New Roman" w:cs="Times New Roman"/>
          <w:i/>
          <w:iCs/>
          <w:color w:val="222222"/>
          <w:sz w:val="28"/>
          <w:szCs w:val="28"/>
        </w:rPr>
        <w:t>Inform PoU</w:t>
      </w:r>
      <w:r w:rsidR="004F0130" w:rsidRPr="0001372C">
        <w:rPr>
          <w:rFonts w:ascii="Times New Roman" w:eastAsia="Times New Roman" w:hAnsi="Times New Roman" w:cs="Times New Roman"/>
          <w:i/>
          <w:iCs/>
          <w:color w:val="222222"/>
          <w:sz w:val="28"/>
          <w:szCs w:val="28"/>
        </w:rPr>
        <w:t xml:space="preserve"> </w:t>
      </w:r>
    </w:p>
    <w:p w14:paraId="6D82D4C8" w14:textId="707725A4" w:rsidR="005D451B" w:rsidRPr="0001372C" w:rsidRDefault="005D451B" w:rsidP="005F3399">
      <w:pPr>
        <w:shd w:val="clear" w:color="auto" w:fill="FFFFFF"/>
        <w:spacing w:after="0" w:line="240" w:lineRule="auto"/>
        <w:rPr>
          <w:rFonts w:ascii="Arial" w:eastAsia="Times New Roman" w:hAnsi="Arial" w:cs="Arial"/>
          <w:color w:val="222222"/>
          <w:sz w:val="24"/>
          <w:szCs w:val="24"/>
        </w:rPr>
      </w:pPr>
    </w:p>
    <w:p w14:paraId="50F54122" w14:textId="7D0F20BC" w:rsidR="005D451B" w:rsidRDefault="003F0D7A" w:rsidP="005D451B">
      <w:pPr>
        <w:pStyle w:val="PlainText"/>
        <w:jc w:val="both"/>
        <w:rPr>
          <w:rFonts w:ascii="Times New Roman" w:hAnsi="Times New Roman" w:cs="Times New Roman"/>
          <w:sz w:val="28"/>
          <w:szCs w:val="28"/>
        </w:rPr>
      </w:pPr>
      <w:r>
        <w:rPr>
          <w:rFonts w:ascii="Times New Roman" w:hAnsi="Times New Roman" w:cs="Times New Roman"/>
          <w:sz w:val="28"/>
          <w:szCs w:val="28"/>
        </w:rPr>
        <w:t xml:space="preserve">Dietary energy </w:t>
      </w:r>
      <w:r w:rsidR="00D645CD">
        <w:rPr>
          <w:rFonts w:ascii="Times New Roman" w:hAnsi="Times New Roman" w:cs="Times New Roman"/>
          <w:sz w:val="28"/>
          <w:szCs w:val="28"/>
        </w:rPr>
        <w:t xml:space="preserve">is never equally distributed </w:t>
      </w:r>
      <w:r w:rsidR="006F3893">
        <w:rPr>
          <w:rFonts w:ascii="Times New Roman" w:hAnsi="Times New Roman" w:cs="Times New Roman"/>
          <w:sz w:val="28"/>
          <w:szCs w:val="28"/>
        </w:rPr>
        <w:t xml:space="preserve">within a </w:t>
      </w:r>
      <w:r w:rsidR="00D645CD">
        <w:rPr>
          <w:rFonts w:ascii="Times New Roman" w:hAnsi="Times New Roman" w:cs="Times New Roman"/>
          <w:sz w:val="28"/>
          <w:szCs w:val="28"/>
        </w:rPr>
        <w:t xml:space="preserve">country. </w:t>
      </w:r>
      <w:r w:rsidR="005B023D">
        <w:rPr>
          <w:rFonts w:ascii="Times New Roman" w:hAnsi="Times New Roman" w:cs="Times New Roman"/>
          <w:sz w:val="28"/>
          <w:szCs w:val="28"/>
        </w:rPr>
        <w:t xml:space="preserve">For this reason, as mentioned in paragraph </w:t>
      </w:r>
      <w:r w:rsidR="000803B6">
        <w:rPr>
          <w:rFonts w:ascii="Times New Roman" w:hAnsi="Times New Roman" w:cs="Times New Roman"/>
          <w:sz w:val="28"/>
          <w:szCs w:val="28"/>
        </w:rPr>
        <w:t>2.3.1.i, i</w:t>
      </w:r>
      <w:r w:rsidR="005D451B" w:rsidRPr="0001372C">
        <w:rPr>
          <w:rFonts w:ascii="Times New Roman" w:hAnsi="Times New Roman" w:cs="Times New Roman"/>
          <w:sz w:val="28"/>
          <w:szCs w:val="28"/>
        </w:rPr>
        <w:t xml:space="preserve">nformation on the variability in the distribution of household per capita dietary energy consumption is </w:t>
      </w:r>
      <w:r w:rsidR="00D645CD">
        <w:rPr>
          <w:rFonts w:ascii="Times New Roman" w:hAnsi="Times New Roman" w:cs="Times New Roman"/>
          <w:sz w:val="28"/>
          <w:szCs w:val="28"/>
        </w:rPr>
        <w:t xml:space="preserve">used to </w:t>
      </w:r>
      <w:r w:rsidR="005D451B" w:rsidRPr="0001372C">
        <w:rPr>
          <w:rFonts w:ascii="Times New Roman" w:hAnsi="Times New Roman" w:cs="Times New Roman"/>
          <w:sz w:val="28"/>
          <w:szCs w:val="28"/>
        </w:rPr>
        <w:t>estimate the PoU</w:t>
      </w:r>
      <w:r w:rsidR="00D645CD">
        <w:rPr>
          <w:rFonts w:ascii="Times New Roman" w:hAnsi="Times New Roman" w:cs="Times New Roman"/>
          <w:sz w:val="28"/>
          <w:szCs w:val="28"/>
        </w:rPr>
        <w:t xml:space="preserve"> at national le</w:t>
      </w:r>
      <w:r w:rsidR="006F3893">
        <w:rPr>
          <w:rFonts w:ascii="Times New Roman" w:hAnsi="Times New Roman" w:cs="Times New Roman"/>
          <w:sz w:val="28"/>
          <w:szCs w:val="28"/>
        </w:rPr>
        <w:t>vel</w:t>
      </w:r>
      <w:r w:rsidR="005D451B" w:rsidRPr="0001372C">
        <w:rPr>
          <w:rFonts w:ascii="Times New Roman" w:hAnsi="Times New Roman" w:cs="Times New Roman"/>
          <w:sz w:val="28"/>
          <w:szCs w:val="28"/>
        </w:rPr>
        <w:t xml:space="preserve">. Such information </w:t>
      </w:r>
      <w:r w:rsidR="006F3893">
        <w:rPr>
          <w:rFonts w:ascii="Times New Roman" w:hAnsi="Times New Roman" w:cs="Times New Roman"/>
          <w:sz w:val="28"/>
          <w:szCs w:val="28"/>
        </w:rPr>
        <w:t xml:space="preserve">is </w:t>
      </w:r>
      <w:r w:rsidR="005D451B" w:rsidRPr="0001372C">
        <w:rPr>
          <w:rFonts w:ascii="Times New Roman" w:hAnsi="Times New Roman" w:cs="Times New Roman"/>
          <w:sz w:val="28"/>
          <w:szCs w:val="28"/>
        </w:rPr>
        <w:t xml:space="preserve">generated from household surveys. Updated instructions related to the estimation of PoU using HCES data can be found in a FAO e-learning course available here: </w:t>
      </w:r>
      <w:hyperlink r:id="rId22" w:history="1">
        <w:r w:rsidR="004F0130" w:rsidRPr="0001372C">
          <w:rPr>
            <w:rStyle w:val="Hyperlink"/>
            <w:rFonts w:ascii="Times New Roman" w:hAnsi="Times New Roman" w:cs="Times New Roman"/>
            <w:sz w:val="28"/>
            <w:szCs w:val="28"/>
          </w:rPr>
          <w:t>https://elearning.fao.org/course/view.php?id=386</w:t>
        </w:r>
      </w:hyperlink>
      <w:r w:rsidR="005D451B" w:rsidRPr="0001372C">
        <w:rPr>
          <w:rFonts w:ascii="Times New Roman" w:hAnsi="Times New Roman" w:cs="Times New Roman"/>
          <w:sz w:val="28"/>
          <w:szCs w:val="28"/>
        </w:rPr>
        <w:t xml:space="preserve"> (accessed January 2023).</w:t>
      </w:r>
    </w:p>
    <w:p w14:paraId="2583704D" w14:textId="3E781217" w:rsidR="001A05AB" w:rsidRDefault="001A05AB" w:rsidP="005D451B">
      <w:pPr>
        <w:pStyle w:val="PlainText"/>
        <w:jc w:val="both"/>
        <w:rPr>
          <w:rFonts w:ascii="Times New Roman" w:hAnsi="Times New Roman" w:cs="Times New Roman"/>
          <w:sz w:val="28"/>
          <w:szCs w:val="28"/>
        </w:rPr>
      </w:pPr>
    </w:p>
    <w:p w14:paraId="4A7C8BC0" w14:textId="21E50F5B" w:rsidR="001A05AB" w:rsidRDefault="00965BF1" w:rsidP="001A05AB">
      <w:pPr>
        <w:pStyle w:val="PlainText"/>
        <w:jc w:val="both"/>
        <w:rPr>
          <w:rFonts w:ascii="Times New Roman" w:hAnsi="Times New Roman" w:cs="Times New Roman"/>
          <w:sz w:val="28"/>
          <w:szCs w:val="28"/>
        </w:rPr>
      </w:pPr>
      <w:r>
        <w:rPr>
          <w:rFonts w:ascii="Times New Roman" w:hAnsi="Times New Roman" w:cs="Times New Roman"/>
          <w:sz w:val="28"/>
          <w:szCs w:val="28"/>
        </w:rPr>
        <w:t>D</w:t>
      </w:r>
      <w:r w:rsidR="001A05AB" w:rsidRPr="0001372C">
        <w:rPr>
          <w:rFonts w:ascii="Times New Roman" w:hAnsi="Times New Roman" w:cs="Times New Roman"/>
          <w:sz w:val="28"/>
          <w:szCs w:val="28"/>
        </w:rPr>
        <w:t xml:space="preserve">ata on height </w:t>
      </w:r>
      <w:r w:rsidR="00DD0E70">
        <w:rPr>
          <w:rFonts w:ascii="Times New Roman" w:hAnsi="Times New Roman" w:cs="Times New Roman"/>
          <w:sz w:val="28"/>
          <w:szCs w:val="28"/>
        </w:rPr>
        <w:t xml:space="preserve">by age and sex </w:t>
      </w:r>
      <w:r w:rsidR="00D93EC2">
        <w:rPr>
          <w:rFonts w:ascii="Times New Roman" w:hAnsi="Times New Roman" w:cs="Times New Roman"/>
          <w:sz w:val="28"/>
          <w:szCs w:val="28"/>
        </w:rPr>
        <w:t xml:space="preserve">and </w:t>
      </w:r>
      <w:r w:rsidR="00DD0E70">
        <w:rPr>
          <w:rFonts w:ascii="Times New Roman" w:hAnsi="Times New Roman" w:cs="Times New Roman"/>
          <w:sz w:val="28"/>
          <w:szCs w:val="28"/>
        </w:rPr>
        <w:t xml:space="preserve">of the </w:t>
      </w:r>
      <w:r w:rsidR="0000159D">
        <w:rPr>
          <w:rFonts w:ascii="Times New Roman" w:hAnsi="Times New Roman" w:cs="Times New Roman"/>
          <w:sz w:val="28"/>
          <w:szCs w:val="28"/>
        </w:rPr>
        <w:t xml:space="preserve">percentage of </w:t>
      </w:r>
      <w:r w:rsidR="00AB3388">
        <w:rPr>
          <w:rFonts w:ascii="Times New Roman" w:hAnsi="Times New Roman" w:cs="Times New Roman"/>
          <w:sz w:val="28"/>
          <w:szCs w:val="28"/>
        </w:rPr>
        <w:t>pregnant and lactating</w:t>
      </w:r>
      <w:r w:rsidR="0000159D">
        <w:rPr>
          <w:rFonts w:ascii="Times New Roman" w:hAnsi="Times New Roman" w:cs="Times New Roman"/>
          <w:sz w:val="28"/>
          <w:szCs w:val="28"/>
        </w:rPr>
        <w:t xml:space="preserve"> females </w:t>
      </w:r>
      <w:r w:rsidR="00DD0E70">
        <w:rPr>
          <w:rFonts w:ascii="Times New Roman" w:hAnsi="Times New Roman" w:cs="Times New Roman"/>
          <w:sz w:val="28"/>
          <w:szCs w:val="28"/>
        </w:rPr>
        <w:t xml:space="preserve">in each country </w:t>
      </w:r>
      <w:r>
        <w:rPr>
          <w:rFonts w:ascii="Times New Roman" w:hAnsi="Times New Roman" w:cs="Times New Roman"/>
          <w:sz w:val="28"/>
          <w:szCs w:val="28"/>
        </w:rPr>
        <w:t xml:space="preserve">are used to calculate </w:t>
      </w:r>
      <w:r w:rsidR="001A05AB" w:rsidRPr="0001372C">
        <w:rPr>
          <w:rFonts w:ascii="Times New Roman" w:hAnsi="Times New Roman" w:cs="Times New Roman"/>
          <w:sz w:val="28"/>
          <w:szCs w:val="28"/>
        </w:rPr>
        <w:t xml:space="preserve">the </w:t>
      </w:r>
      <w:proofErr w:type="spellStart"/>
      <w:r w:rsidR="00DD0E70">
        <w:rPr>
          <w:rFonts w:ascii="Times New Roman" w:hAnsi="Times New Roman" w:cs="Times New Roman"/>
          <w:sz w:val="28"/>
          <w:szCs w:val="28"/>
        </w:rPr>
        <w:t>weighed</w:t>
      </w:r>
      <w:proofErr w:type="spellEnd"/>
      <w:r w:rsidR="00DD0E70">
        <w:rPr>
          <w:rFonts w:ascii="Times New Roman" w:hAnsi="Times New Roman" w:cs="Times New Roman"/>
          <w:sz w:val="28"/>
          <w:szCs w:val="28"/>
        </w:rPr>
        <w:t xml:space="preserve"> average of </w:t>
      </w:r>
      <w:r w:rsidR="0000159D">
        <w:rPr>
          <w:rFonts w:ascii="Times New Roman" w:hAnsi="Times New Roman" w:cs="Times New Roman"/>
          <w:sz w:val="28"/>
          <w:szCs w:val="28"/>
        </w:rPr>
        <w:t xml:space="preserve">normative </w:t>
      </w:r>
      <w:r w:rsidR="007B6DCC">
        <w:rPr>
          <w:rFonts w:ascii="Times New Roman" w:hAnsi="Times New Roman" w:cs="Times New Roman"/>
          <w:sz w:val="28"/>
          <w:szCs w:val="28"/>
        </w:rPr>
        <w:t xml:space="preserve">per capita </w:t>
      </w:r>
      <w:r w:rsidR="007B6DCC" w:rsidRPr="00F36632">
        <w:rPr>
          <w:rFonts w:ascii="Times New Roman" w:hAnsi="Times New Roman" w:cs="Times New Roman"/>
          <w:i/>
          <w:iCs/>
          <w:sz w:val="28"/>
          <w:szCs w:val="28"/>
        </w:rPr>
        <w:t xml:space="preserve">minimum </w:t>
      </w:r>
      <w:r w:rsidR="001A05AB" w:rsidRPr="00F36632">
        <w:rPr>
          <w:rFonts w:ascii="Times New Roman" w:hAnsi="Times New Roman" w:cs="Times New Roman"/>
          <w:i/>
          <w:iCs/>
          <w:sz w:val="28"/>
          <w:szCs w:val="28"/>
        </w:rPr>
        <w:t>energy</w:t>
      </w:r>
      <w:r w:rsidR="00DD0E70" w:rsidRPr="00F36632">
        <w:rPr>
          <w:rFonts w:ascii="Times New Roman" w:hAnsi="Times New Roman" w:cs="Times New Roman"/>
          <w:i/>
          <w:iCs/>
          <w:sz w:val="28"/>
          <w:szCs w:val="28"/>
        </w:rPr>
        <w:t xml:space="preserve"> requirement</w:t>
      </w:r>
      <w:r w:rsidR="00DD0E70">
        <w:rPr>
          <w:rFonts w:ascii="Times New Roman" w:hAnsi="Times New Roman" w:cs="Times New Roman"/>
          <w:sz w:val="28"/>
          <w:szCs w:val="28"/>
        </w:rPr>
        <w:t xml:space="preserve">. The process is </w:t>
      </w:r>
      <w:r w:rsidR="0000159D">
        <w:rPr>
          <w:rFonts w:ascii="Times New Roman" w:hAnsi="Times New Roman" w:cs="Times New Roman"/>
          <w:sz w:val="28"/>
          <w:szCs w:val="28"/>
        </w:rPr>
        <w:t>illustrated in the methodolog</w:t>
      </w:r>
      <w:r w:rsidR="00665B15">
        <w:rPr>
          <w:rFonts w:ascii="Times New Roman" w:hAnsi="Times New Roman" w:cs="Times New Roman"/>
          <w:sz w:val="28"/>
          <w:szCs w:val="28"/>
        </w:rPr>
        <w:t>y</w:t>
      </w:r>
      <w:r w:rsidR="0000159D">
        <w:rPr>
          <w:rFonts w:ascii="Times New Roman" w:hAnsi="Times New Roman" w:cs="Times New Roman"/>
          <w:sz w:val="28"/>
          <w:szCs w:val="28"/>
        </w:rPr>
        <w:t xml:space="preserve"> section of the State of Food Insecurity (SOFI) annual report </w:t>
      </w:r>
      <w:r w:rsidR="00DD0E70">
        <w:rPr>
          <w:rFonts w:ascii="Times New Roman" w:hAnsi="Times New Roman" w:cs="Times New Roman"/>
          <w:sz w:val="28"/>
          <w:szCs w:val="28"/>
        </w:rPr>
        <w:t>(</w:t>
      </w:r>
      <w:r w:rsidR="0000159D" w:rsidRPr="0001372C">
        <w:rPr>
          <w:rFonts w:ascii="Times New Roman" w:hAnsi="Times New Roman" w:cs="Times New Roman"/>
          <w:sz w:val="28"/>
          <w:szCs w:val="28"/>
        </w:rPr>
        <w:t>FAO, IFAD, UNICEF, WFP and WHO</w:t>
      </w:r>
      <w:r w:rsidR="00DD0E70">
        <w:rPr>
          <w:rFonts w:ascii="Times New Roman" w:hAnsi="Times New Roman" w:cs="Times New Roman"/>
          <w:sz w:val="28"/>
          <w:szCs w:val="28"/>
        </w:rPr>
        <w:t>,</w:t>
      </w:r>
      <w:r w:rsidR="0000159D" w:rsidRPr="0001372C">
        <w:rPr>
          <w:rFonts w:ascii="Times New Roman" w:hAnsi="Times New Roman" w:cs="Times New Roman"/>
          <w:sz w:val="28"/>
          <w:szCs w:val="28"/>
        </w:rPr>
        <w:t>2022)</w:t>
      </w:r>
      <w:r w:rsidR="001A05AB" w:rsidRPr="0001372C">
        <w:rPr>
          <w:rFonts w:ascii="Times New Roman" w:hAnsi="Times New Roman" w:cs="Times New Roman"/>
          <w:sz w:val="28"/>
          <w:szCs w:val="28"/>
        </w:rPr>
        <w:t xml:space="preserve">. </w:t>
      </w:r>
      <w:r w:rsidR="00D93EC2">
        <w:rPr>
          <w:rFonts w:ascii="Times New Roman" w:hAnsi="Times New Roman" w:cs="Times New Roman"/>
          <w:sz w:val="28"/>
          <w:szCs w:val="28"/>
        </w:rPr>
        <w:t xml:space="preserve">The calculation of </w:t>
      </w:r>
      <w:r w:rsidR="00D93EC2" w:rsidRPr="00F36632">
        <w:rPr>
          <w:rFonts w:ascii="Times New Roman" w:hAnsi="Times New Roman" w:cs="Times New Roman"/>
          <w:i/>
          <w:iCs/>
          <w:sz w:val="28"/>
          <w:szCs w:val="28"/>
        </w:rPr>
        <w:t>energy requirement</w:t>
      </w:r>
      <w:r w:rsidR="00D93EC2">
        <w:rPr>
          <w:rFonts w:ascii="Times New Roman" w:hAnsi="Times New Roman" w:cs="Times New Roman"/>
          <w:sz w:val="28"/>
          <w:szCs w:val="28"/>
        </w:rPr>
        <w:t xml:space="preserve"> requires an estimate of</w:t>
      </w:r>
      <w:r w:rsidR="007249C8">
        <w:rPr>
          <w:rFonts w:ascii="Times New Roman" w:hAnsi="Times New Roman" w:cs="Times New Roman"/>
          <w:sz w:val="28"/>
          <w:szCs w:val="28"/>
        </w:rPr>
        <w:t xml:space="preserve"> </w:t>
      </w:r>
      <w:r w:rsidR="001A05AB" w:rsidRPr="0001372C">
        <w:rPr>
          <w:rFonts w:ascii="Times New Roman" w:hAnsi="Times New Roman" w:cs="Times New Roman"/>
          <w:sz w:val="28"/>
          <w:szCs w:val="28"/>
        </w:rPr>
        <w:t xml:space="preserve">the Physical Activity Level </w:t>
      </w:r>
      <w:r w:rsidR="0000159D">
        <w:rPr>
          <w:rFonts w:ascii="Times New Roman" w:hAnsi="Times New Roman" w:cs="Times New Roman"/>
          <w:sz w:val="28"/>
          <w:szCs w:val="28"/>
        </w:rPr>
        <w:t xml:space="preserve">(PAL) </w:t>
      </w:r>
      <w:r w:rsidR="00DD0E70">
        <w:rPr>
          <w:rFonts w:ascii="Times New Roman" w:hAnsi="Times New Roman" w:cs="Times New Roman"/>
          <w:sz w:val="28"/>
          <w:szCs w:val="28"/>
        </w:rPr>
        <w:t xml:space="preserve">by age/sex groups. When </w:t>
      </w:r>
      <w:r w:rsidR="00CE691C">
        <w:rPr>
          <w:rFonts w:ascii="Times New Roman" w:hAnsi="Times New Roman" w:cs="Times New Roman"/>
          <w:sz w:val="28"/>
          <w:szCs w:val="28"/>
        </w:rPr>
        <w:t xml:space="preserve">such data </w:t>
      </w:r>
      <w:r w:rsidR="00FB3E3C">
        <w:rPr>
          <w:rFonts w:ascii="Times New Roman" w:hAnsi="Times New Roman" w:cs="Times New Roman"/>
          <w:sz w:val="28"/>
          <w:szCs w:val="28"/>
        </w:rPr>
        <w:t>are</w:t>
      </w:r>
      <w:r w:rsidR="00CE691C">
        <w:rPr>
          <w:rFonts w:ascii="Times New Roman" w:hAnsi="Times New Roman" w:cs="Times New Roman"/>
          <w:sz w:val="28"/>
          <w:szCs w:val="28"/>
        </w:rPr>
        <w:t xml:space="preserve"> </w:t>
      </w:r>
      <w:r w:rsidR="00DD0E70">
        <w:rPr>
          <w:rFonts w:ascii="Times New Roman" w:hAnsi="Times New Roman" w:cs="Times New Roman"/>
          <w:sz w:val="28"/>
          <w:szCs w:val="28"/>
        </w:rPr>
        <w:t>not available</w:t>
      </w:r>
      <w:r w:rsidR="00FB3E3C">
        <w:rPr>
          <w:rFonts w:ascii="Times New Roman" w:hAnsi="Times New Roman" w:cs="Times New Roman"/>
          <w:sz w:val="28"/>
          <w:szCs w:val="28"/>
        </w:rPr>
        <w:t>,</w:t>
      </w:r>
      <w:r w:rsidR="00DD0E70">
        <w:rPr>
          <w:rFonts w:ascii="Times New Roman" w:hAnsi="Times New Roman" w:cs="Times New Roman"/>
          <w:sz w:val="28"/>
          <w:szCs w:val="28"/>
        </w:rPr>
        <w:t xml:space="preserve"> a normative PAL of 1.</w:t>
      </w:r>
      <w:r w:rsidR="00CE691C">
        <w:rPr>
          <w:rFonts w:ascii="Times New Roman" w:hAnsi="Times New Roman" w:cs="Times New Roman"/>
          <w:sz w:val="28"/>
          <w:szCs w:val="28"/>
        </w:rPr>
        <w:t>55</w:t>
      </w:r>
      <w:r w:rsidR="00DD0E70">
        <w:rPr>
          <w:rFonts w:ascii="Times New Roman" w:hAnsi="Times New Roman" w:cs="Times New Roman"/>
          <w:sz w:val="28"/>
          <w:szCs w:val="28"/>
        </w:rPr>
        <w:t xml:space="preserve"> is </w:t>
      </w:r>
      <w:r w:rsidR="00CE691C">
        <w:rPr>
          <w:rFonts w:ascii="Times New Roman" w:hAnsi="Times New Roman" w:cs="Times New Roman"/>
          <w:sz w:val="28"/>
          <w:szCs w:val="28"/>
        </w:rPr>
        <w:t xml:space="preserve">generally </w:t>
      </w:r>
      <w:r w:rsidR="00DD0E70">
        <w:rPr>
          <w:rFonts w:ascii="Times New Roman" w:hAnsi="Times New Roman" w:cs="Times New Roman"/>
          <w:sz w:val="28"/>
          <w:szCs w:val="28"/>
        </w:rPr>
        <w:t xml:space="preserve">used. </w:t>
      </w:r>
    </w:p>
    <w:p w14:paraId="0505A3D8" w14:textId="77777777" w:rsidR="005D36D7" w:rsidRPr="0001372C" w:rsidRDefault="005D36D7" w:rsidP="001A05AB">
      <w:pPr>
        <w:pStyle w:val="PlainText"/>
        <w:jc w:val="both"/>
        <w:rPr>
          <w:rFonts w:ascii="Times New Roman" w:hAnsi="Times New Roman" w:cs="Times New Roman"/>
          <w:sz w:val="28"/>
          <w:szCs w:val="28"/>
        </w:rPr>
      </w:pPr>
    </w:p>
    <w:p w14:paraId="270A1E97" w14:textId="4867B8F1" w:rsidR="001A05AB" w:rsidRPr="0001372C" w:rsidRDefault="00D645CD" w:rsidP="001A05AB">
      <w:pPr>
        <w:pStyle w:val="PlainText"/>
        <w:jc w:val="both"/>
        <w:rPr>
          <w:rFonts w:ascii="Times New Roman" w:hAnsi="Times New Roman" w:cs="Times New Roman"/>
          <w:sz w:val="28"/>
          <w:szCs w:val="28"/>
        </w:rPr>
      </w:pPr>
      <w:r>
        <w:rPr>
          <w:rFonts w:ascii="Times New Roman" w:hAnsi="Times New Roman" w:cs="Times New Roman"/>
          <w:sz w:val="28"/>
          <w:szCs w:val="28"/>
        </w:rPr>
        <w:t xml:space="preserve">The </w:t>
      </w:r>
      <w:r w:rsidR="001A05AB" w:rsidRPr="0001372C">
        <w:rPr>
          <w:rFonts w:ascii="Times New Roman" w:hAnsi="Times New Roman" w:cs="Times New Roman"/>
          <w:sz w:val="28"/>
          <w:szCs w:val="28"/>
        </w:rPr>
        <w:t xml:space="preserve">PoU </w:t>
      </w:r>
      <w:r>
        <w:rPr>
          <w:rFonts w:ascii="Times New Roman" w:hAnsi="Times New Roman" w:cs="Times New Roman"/>
          <w:sz w:val="28"/>
          <w:szCs w:val="28"/>
        </w:rPr>
        <w:t xml:space="preserve">calculation </w:t>
      </w:r>
      <w:proofErr w:type="gramStart"/>
      <w:r>
        <w:rPr>
          <w:rFonts w:ascii="Times New Roman" w:hAnsi="Times New Roman" w:cs="Times New Roman"/>
          <w:sz w:val="28"/>
          <w:szCs w:val="28"/>
        </w:rPr>
        <w:t>takes into account</w:t>
      </w:r>
      <w:proofErr w:type="gramEnd"/>
      <w:r w:rsidR="001A05AB" w:rsidRPr="0001372C">
        <w:rPr>
          <w:rFonts w:ascii="Times New Roman" w:hAnsi="Times New Roman" w:cs="Times New Roman"/>
          <w:sz w:val="28"/>
          <w:szCs w:val="28"/>
        </w:rPr>
        <w:t xml:space="preserve"> the </w:t>
      </w:r>
      <w:r w:rsidR="009060B8" w:rsidRPr="009060B8">
        <w:rPr>
          <w:rFonts w:ascii="Times New Roman" w:hAnsi="Times New Roman" w:cs="Times New Roman"/>
          <w:sz w:val="28"/>
          <w:szCs w:val="28"/>
        </w:rPr>
        <w:t xml:space="preserve">level of inequality in accessing dietary energy </w:t>
      </w:r>
      <w:r w:rsidR="00F36632">
        <w:rPr>
          <w:rFonts w:ascii="Times New Roman" w:hAnsi="Times New Roman" w:cs="Times New Roman"/>
          <w:sz w:val="28"/>
          <w:szCs w:val="28"/>
        </w:rPr>
        <w:t>between households</w:t>
      </w:r>
      <w:r w:rsidR="0055342B">
        <w:rPr>
          <w:rFonts w:ascii="Times New Roman" w:hAnsi="Times New Roman" w:cs="Times New Roman"/>
          <w:sz w:val="28"/>
          <w:szCs w:val="28"/>
        </w:rPr>
        <w:t xml:space="preserve"> </w:t>
      </w:r>
      <w:r w:rsidR="009060B8" w:rsidRPr="009060B8">
        <w:rPr>
          <w:rFonts w:ascii="Times New Roman" w:hAnsi="Times New Roman" w:cs="Times New Roman"/>
          <w:sz w:val="28"/>
          <w:szCs w:val="28"/>
        </w:rPr>
        <w:t xml:space="preserve">(by </w:t>
      </w:r>
      <w:r w:rsidR="009B4E63">
        <w:rPr>
          <w:rFonts w:ascii="Times New Roman" w:hAnsi="Times New Roman" w:cs="Times New Roman"/>
          <w:sz w:val="28"/>
          <w:szCs w:val="28"/>
        </w:rPr>
        <w:t xml:space="preserve">correcting excess variability in food data collected </w:t>
      </w:r>
      <w:r w:rsidR="009B4E63">
        <w:rPr>
          <w:rFonts w:ascii="Times New Roman" w:hAnsi="Times New Roman" w:cs="Times New Roman"/>
          <w:sz w:val="28"/>
          <w:szCs w:val="28"/>
        </w:rPr>
        <w:lastRenderedPageBreak/>
        <w:t xml:space="preserve">in HCES due to </w:t>
      </w:r>
      <w:r w:rsidR="009060B8" w:rsidRPr="009060B8">
        <w:rPr>
          <w:rFonts w:ascii="Times New Roman" w:hAnsi="Times New Roman" w:cs="Times New Roman"/>
          <w:sz w:val="28"/>
          <w:szCs w:val="28"/>
        </w:rPr>
        <w:t xml:space="preserve">measurement errors) and the expected component of variability due to differences in individuals’ body weight and physical activity levels. </w:t>
      </w:r>
    </w:p>
    <w:p w14:paraId="65939E37" w14:textId="77777777" w:rsidR="001A05AB" w:rsidRDefault="001A05AB" w:rsidP="005D451B">
      <w:pPr>
        <w:pStyle w:val="PlainText"/>
        <w:jc w:val="both"/>
        <w:rPr>
          <w:rFonts w:ascii="Times New Roman" w:hAnsi="Times New Roman" w:cs="Times New Roman"/>
          <w:sz w:val="28"/>
          <w:szCs w:val="28"/>
          <w:highlight w:val="yellow"/>
        </w:rPr>
      </w:pPr>
    </w:p>
    <w:p w14:paraId="3A9B22F4" w14:textId="46744B64" w:rsidR="005F3399" w:rsidRPr="0001372C" w:rsidRDefault="004F0130" w:rsidP="005F3399">
      <w:pPr>
        <w:shd w:val="clear" w:color="auto" w:fill="FFFFFF"/>
        <w:spacing w:after="0" w:line="240" w:lineRule="auto"/>
        <w:rPr>
          <w:rFonts w:ascii="Times New Roman" w:eastAsia="Times New Roman" w:hAnsi="Times New Roman" w:cs="Times New Roman"/>
          <w:i/>
          <w:iCs/>
          <w:color w:val="222222"/>
          <w:sz w:val="28"/>
          <w:szCs w:val="28"/>
        </w:rPr>
      </w:pPr>
      <w:r w:rsidRPr="0001372C">
        <w:rPr>
          <w:rFonts w:ascii="Times New Roman" w:eastAsia="Times New Roman" w:hAnsi="Times New Roman" w:cs="Times New Roman"/>
          <w:i/>
          <w:iCs/>
          <w:color w:val="222222"/>
          <w:sz w:val="28"/>
          <w:szCs w:val="28"/>
        </w:rPr>
        <w:t xml:space="preserve">ii. </w:t>
      </w:r>
      <w:r w:rsidR="005F3399" w:rsidRPr="0001372C">
        <w:rPr>
          <w:rFonts w:ascii="Times New Roman" w:eastAsia="Times New Roman" w:hAnsi="Times New Roman" w:cs="Times New Roman"/>
          <w:i/>
          <w:iCs/>
          <w:color w:val="222222"/>
          <w:sz w:val="28"/>
          <w:szCs w:val="28"/>
        </w:rPr>
        <w:t xml:space="preserve">inform food </w:t>
      </w:r>
      <w:r w:rsidR="00267103">
        <w:rPr>
          <w:rFonts w:ascii="Times New Roman" w:eastAsia="Times New Roman" w:hAnsi="Times New Roman" w:cs="Times New Roman"/>
          <w:i/>
          <w:iCs/>
          <w:color w:val="222222"/>
          <w:sz w:val="28"/>
          <w:szCs w:val="28"/>
        </w:rPr>
        <w:t xml:space="preserve">security indicators and per capita nutrient </w:t>
      </w:r>
      <w:proofErr w:type="gramStart"/>
      <w:r w:rsidR="00267103">
        <w:rPr>
          <w:rFonts w:ascii="Times New Roman" w:eastAsia="Times New Roman" w:hAnsi="Times New Roman" w:cs="Times New Roman"/>
          <w:i/>
          <w:iCs/>
          <w:color w:val="222222"/>
          <w:sz w:val="28"/>
          <w:szCs w:val="28"/>
        </w:rPr>
        <w:t>availability</w:t>
      </w:r>
      <w:proofErr w:type="gramEnd"/>
      <w:r w:rsidR="00267103">
        <w:rPr>
          <w:rFonts w:ascii="Times New Roman" w:eastAsia="Times New Roman" w:hAnsi="Times New Roman" w:cs="Times New Roman"/>
          <w:i/>
          <w:iCs/>
          <w:color w:val="222222"/>
          <w:sz w:val="28"/>
          <w:szCs w:val="28"/>
        </w:rPr>
        <w:t xml:space="preserve"> </w:t>
      </w:r>
      <w:r w:rsidR="005F3399" w:rsidRPr="0001372C">
        <w:rPr>
          <w:rFonts w:ascii="Times New Roman" w:eastAsia="Times New Roman" w:hAnsi="Times New Roman" w:cs="Times New Roman"/>
          <w:i/>
          <w:iCs/>
          <w:color w:val="222222"/>
          <w:sz w:val="28"/>
          <w:szCs w:val="28"/>
        </w:rPr>
        <w:t xml:space="preserve"> </w:t>
      </w:r>
    </w:p>
    <w:p w14:paraId="16AF235B" w14:textId="77777777" w:rsidR="005F3399" w:rsidRPr="0001372C" w:rsidRDefault="005F3399" w:rsidP="004F3708">
      <w:pPr>
        <w:pStyle w:val="PlainText"/>
        <w:jc w:val="both"/>
        <w:rPr>
          <w:rFonts w:ascii="Times New Roman" w:hAnsi="Times New Roman" w:cs="Times New Roman"/>
          <w:sz w:val="28"/>
          <w:szCs w:val="28"/>
        </w:rPr>
      </w:pPr>
    </w:p>
    <w:p w14:paraId="7E102D2B" w14:textId="77777777" w:rsidR="001A05AB" w:rsidRPr="0001372C" w:rsidRDefault="001A05AB" w:rsidP="001A05AB">
      <w:pPr>
        <w:pStyle w:val="PlainText"/>
        <w:jc w:val="both"/>
        <w:rPr>
          <w:rFonts w:ascii="Times New Roman" w:hAnsi="Times New Roman" w:cs="Times New Roman"/>
          <w:i/>
          <w:iCs/>
          <w:sz w:val="28"/>
          <w:szCs w:val="28"/>
        </w:rPr>
      </w:pPr>
      <w:r w:rsidRPr="0001372C">
        <w:rPr>
          <w:rFonts w:ascii="Times New Roman" w:hAnsi="Times New Roman" w:cs="Times New Roman"/>
          <w:sz w:val="28"/>
          <w:szCs w:val="28"/>
        </w:rPr>
        <w:t>Estimates of per capita food, nutrient and energy intake available for consumption can be calculated by multiplying the edible portion of foods with food composition tables. The number of household members and visitors eating each meal can be recorded to estimate the per capita availability. Socioeconomic characteristics of the household allow to estimate per capita food available for consumption at regional and/or national level by category of socio-economic groups, education, household size, etc</w:t>
      </w:r>
      <w:r w:rsidRPr="0001372C">
        <w:rPr>
          <w:rFonts w:ascii="Times New Roman" w:hAnsi="Times New Roman" w:cs="Times New Roman"/>
          <w:i/>
          <w:iCs/>
          <w:sz w:val="28"/>
          <w:szCs w:val="28"/>
        </w:rPr>
        <w:t xml:space="preserve">. </w:t>
      </w:r>
    </w:p>
    <w:p w14:paraId="4DA1D4CA" w14:textId="77777777" w:rsidR="001A05AB" w:rsidRPr="0001372C" w:rsidRDefault="001A05AB" w:rsidP="001A05AB">
      <w:pPr>
        <w:pStyle w:val="PlainText"/>
        <w:jc w:val="both"/>
        <w:rPr>
          <w:rFonts w:ascii="Times New Roman" w:hAnsi="Times New Roman" w:cs="Times New Roman"/>
          <w:i/>
          <w:iCs/>
          <w:sz w:val="28"/>
          <w:szCs w:val="28"/>
        </w:rPr>
      </w:pPr>
    </w:p>
    <w:p w14:paraId="546D211F" w14:textId="767D256C" w:rsidR="001A05AB" w:rsidRPr="0001372C" w:rsidRDefault="001A05AB" w:rsidP="001A05AB">
      <w:pPr>
        <w:pStyle w:val="PlainText"/>
        <w:jc w:val="both"/>
        <w:rPr>
          <w:rFonts w:ascii="Times New Roman" w:hAnsi="Times New Roman" w:cs="Times New Roman"/>
          <w:sz w:val="28"/>
          <w:szCs w:val="28"/>
        </w:rPr>
      </w:pPr>
      <w:r w:rsidRPr="0001372C">
        <w:rPr>
          <w:rFonts w:ascii="Times New Roman" w:hAnsi="Times New Roman" w:cs="Times New Roman"/>
          <w:sz w:val="28"/>
          <w:szCs w:val="28"/>
        </w:rPr>
        <w:t>Moltedo et al. (2014) developed detailed instructions for analyzing food security using household survey data</w:t>
      </w:r>
      <w:r w:rsidRPr="0001372C">
        <w:rPr>
          <w:rFonts w:ascii="Times New Roman" w:hAnsi="Times New Roman" w:cs="Times New Roman"/>
          <w:color w:val="0000FF"/>
          <w:sz w:val="28"/>
          <w:szCs w:val="28"/>
          <w:u w:val="single"/>
        </w:rPr>
        <w:t xml:space="preserve"> and FAO and the World Bank have developed a free standalone software (</w:t>
      </w:r>
      <w:hyperlink r:id="rId23" w:tgtFrame="_blank" w:history="1"/>
      <w:r w:rsidRPr="0001372C">
        <w:rPr>
          <w:rFonts w:ascii="Times New Roman" w:hAnsi="Times New Roman" w:cs="Times New Roman"/>
          <w:sz w:val="28"/>
          <w:szCs w:val="28"/>
        </w:rPr>
        <w:t>ADePT-FSM (Food Security Module)) that allows users to easily derive food security indicators from HCES data. (</w:t>
      </w:r>
      <w:hyperlink r:id="rId24" w:history="1">
        <w:r w:rsidRPr="0001372C">
          <w:rPr>
            <w:rStyle w:val="Hyperlink"/>
            <w:rFonts w:ascii="Times New Roman" w:hAnsi="Times New Roman" w:cs="Times New Roman"/>
            <w:sz w:val="28"/>
            <w:szCs w:val="28"/>
          </w:rPr>
          <w:t>https://www.fao.org/food-agriculture-statistics/statistical-domains/food-security-and-nutrition/methodology/en/</w:t>
        </w:r>
      </w:hyperlink>
      <w:r w:rsidRPr="0001372C">
        <w:rPr>
          <w:rFonts w:ascii="Times New Roman" w:hAnsi="Times New Roman" w:cs="Times New Roman"/>
          <w:sz w:val="28"/>
          <w:szCs w:val="28"/>
        </w:rPr>
        <w:t xml:space="preserve"> accessed January 2023).</w:t>
      </w:r>
    </w:p>
    <w:p w14:paraId="33B52BEE" w14:textId="77777777" w:rsidR="001A05AB" w:rsidRDefault="001A05AB" w:rsidP="001A05AB">
      <w:pPr>
        <w:pStyle w:val="PlainText"/>
        <w:jc w:val="both"/>
      </w:pPr>
    </w:p>
    <w:p w14:paraId="7E0B8FC3" w14:textId="75B9B6CD" w:rsidR="00E74277" w:rsidRPr="0001372C" w:rsidRDefault="00000000" w:rsidP="001A05AB">
      <w:pPr>
        <w:pStyle w:val="PlainText"/>
        <w:jc w:val="both"/>
        <w:rPr>
          <w:rFonts w:ascii="Times New Roman" w:hAnsi="Times New Roman" w:cs="Times New Roman"/>
          <w:sz w:val="28"/>
          <w:szCs w:val="28"/>
        </w:rPr>
      </w:pPr>
      <w:hyperlink r:id="rId25" w:tgtFrame="_blank" w:history="1"/>
      <w:proofErr w:type="spellStart"/>
      <w:r w:rsidR="00326EF7" w:rsidRPr="0001372C">
        <w:rPr>
          <w:rFonts w:ascii="Times New Roman" w:hAnsi="Times New Roman" w:cs="Times New Roman"/>
          <w:sz w:val="28"/>
          <w:szCs w:val="28"/>
        </w:rPr>
        <w:t>Moltedo</w:t>
      </w:r>
      <w:proofErr w:type="spellEnd"/>
      <w:r w:rsidR="00326EF7" w:rsidRPr="0001372C">
        <w:rPr>
          <w:rFonts w:ascii="Times New Roman" w:hAnsi="Times New Roman" w:cs="Times New Roman"/>
          <w:sz w:val="28"/>
          <w:szCs w:val="28"/>
        </w:rPr>
        <w:t xml:space="preserve"> et al. (</w:t>
      </w:r>
      <w:r w:rsidR="00DF20FA" w:rsidRPr="0001372C">
        <w:rPr>
          <w:rFonts w:ascii="Times New Roman" w:hAnsi="Times New Roman" w:cs="Times New Roman"/>
          <w:sz w:val="28"/>
          <w:szCs w:val="28"/>
        </w:rPr>
        <w:t>2018</w:t>
      </w:r>
      <w:r w:rsidR="00326EF7" w:rsidRPr="0001372C">
        <w:rPr>
          <w:rFonts w:ascii="Times New Roman" w:hAnsi="Times New Roman" w:cs="Times New Roman"/>
          <w:sz w:val="28"/>
          <w:szCs w:val="28"/>
        </w:rPr>
        <w:t xml:space="preserve">) </w:t>
      </w:r>
      <w:r w:rsidR="00CC0D9B" w:rsidRPr="0001372C">
        <w:rPr>
          <w:rFonts w:ascii="Times New Roman" w:hAnsi="Times New Roman" w:cs="Times New Roman"/>
          <w:sz w:val="28"/>
          <w:szCs w:val="28"/>
        </w:rPr>
        <w:t>developed</w:t>
      </w:r>
      <w:r w:rsidR="00326EF7" w:rsidRPr="0001372C">
        <w:rPr>
          <w:rFonts w:ascii="Times New Roman" w:hAnsi="Times New Roman" w:cs="Times New Roman"/>
          <w:sz w:val="28"/>
          <w:szCs w:val="28"/>
        </w:rPr>
        <w:t xml:space="preserve"> detailed instructions for </w:t>
      </w:r>
      <w:r w:rsidR="00DF20FA" w:rsidRPr="0001372C">
        <w:rPr>
          <w:rFonts w:ascii="Times New Roman" w:hAnsi="Times New Roman" w:cs="Times New Roman"/>
          <w:sz w:val="28"/>
          <w:szCs w:val="28"/>
        </w:rPr>
        <w:t>estimating per capita availability for consumption of</w:t>
      </w:r>
      <w:r w:rsidR="00117A2B" w:rsidRPr="0001372C">
        <w:rPr>
          <w:rFonts w:ascii="Times New Roman" w:hAnsi="Times New Roman" w:cs="Times New Roman"/>
          <w:sz w:val="28"/>
          <w:szCs w:val="28"/>
        </w:rPr>
        <w:t xml:space="preserve"> </w:t>
      </w:r>
      <w:r w:rsidR="00DF20FA" w:rsidRPr="0001372C">
        <w:rPr>
          <w:rFonts w:ascii="Times New Roman" w:hAnsi="Times New Roman" w:cs="Times New Roman"/>
          <w:sz w:val="28"/>
          <w:szCs w:val="28"/>
        </w:rPr>
        <w:t>micronutrients and amino acids</w:t>
      </w:r>
      <w:r w:rsidR="00650D5F" w:rsidRPr="0001372C">
        <w:rPr>
          <w:rFonts w:ascii="Times New Roman" w:hAnsi="Times New Roman" w:cs="Times New Roman"/>
          <w:sz w:val="28"/>
          <w:szCs w:val="28"/>
        </w:rPr>
        <w:t xml:space="preserve"> using food data collected in HCES. </w:t>
      </w:r>
    </w:p>
    <w:p w14:paraId="68F2FD8E" w14:textId="77777777" w:rsidR="00EA55F4" w:rsidRPr="0001372C" w:rsidRDefault="00EA55F4" w:rsidP="00EA55F4">
      <w:pPr>
        <w:pStyle w:val="PlainText"/>
        <w:jc w:val="both"/>
        <w:rPr>
          <w:rFonts w:ascii="Times New Roman" w:hAnsi="Times New Roman" w:cs="Times New Roman"/>
          <w:sz w:val="28"/>
          <w:szCs w:val="28"/>
        </w:rPr>
      </w:pPr>
    </w:p>
    <w:p w14:paraId="7B0F570F" w14:textId="653748F5" w:rsidR="000C64B3" w:rsidRPr="0001372C" w:rsidRDefault="00EA55F4" w:rsidP="00EF229A">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With regards to nutrient adequacy based on HCES it is worth reminding that only appropriately measured intakes at individual levels should be compared with sex- and age-specific nutrient recommendations to estimate the nutrient adequacy in the different age and sex population groups (Section 8.1.1). </w:t>
      </w:r>
      <w:r w:rsidR="0055342B" w:rsidRPr="0001372C">
        <w:rPr>
          <w:rFonts w:ascii="Times New Roman" w:hAnsi="Times New Roman" w:cs="Times New Roman"/>
          <w:sz w:val="28"/>
          <w:szCs w:val="28"/>
        </w:rPr>
        <w:t>However,</w:t>
      </w:r>
      <w:r w:rsidR="00EF229A" w:rsidRPr="0001372C">
        <w:rPr>
          <w:rFonts w:ascii="Times New Roman" w:hAnsi="Times New Roman" w:cs="Times New Roman"/>
          <w:sz w:val="28"/>
          <w:szCs w:val="28"/>
        </w:rPr>
        <w:t xml:space="preserve"> it is still possible to estimate </w:t>
      </w:r>
      <w:r w:rsidR="00326EF7" w:rsidRPr="0001372C">
        <w:rPr>
          <w:rFonts w:ascii="Times New Roman" w:hAnsi="Times New Roman" w:cs="Times New Roman"/>
          <w:sz w:val="28"/>
          <w:szCs w:val="28"/>
        </w:rPr>
        <w:t xml:space="preserve">ratios of per capita availability of nutrients to the average weighed nutrient requirement at population level. </w:t>
      </w:r>
      <w:r w:rsidR="0055342B" w:rsidRPr="0001372C">
        <w:rPr>
          <w:rFonts w:ascii="Times New Roman" w:hAnsi="Times New Roman" w:cs="Times New Roman"/>
          <w:sz w:val="28"/>
          <w:szCs w:val="28"/>
        </w:rPr>
        <w:t>These ratios</w:t>
      </w:r>
      <w:r w:rsidR="00EF229A" w:rsidRPr="0001372C">
        <w:rPr>
          <w:rFonts w:ascii="Times New Roman" w:hAnsi="Times New Roman" w:cs="Times New Roman"/>
          <w:sz w:val="28"/>
          <w:szCs w:val="28"/>
        </w:rPr>
        <w:t xml:space="preserve"> </w:t>
      </w:r>
      <w:r w:rsidR="00326EF7" w:rsidRPr="0001372C">
        <w:rPr>
          <w:rFonts w:ascii="Times New Roman" w:hAnsi="Times New Roman" w:cs="Times New Roman"/>
          <w:sz w:val="28"/>
          <w:szCs w:val="28"/>
        </w:rPr>
        <w:t xml:space="preserve">do not allow </w:t>
      </w:r>
      <w:r w:rsidR="00CA2E57" w:rsidRPr="0001372C">
        <w:rPr>
          <w:rFonts w:ascii="Times New Roman" w:hAnsi="Times New Roman" w:cs="Times New Roman"/>
          <w:sz w:val="28"/>
          <w:szCs w:val="28"/>
        </w:rPr>
        <w:t>to estimate</w:t>
      </w:r>
      <w:r w:rsidR="00326EF7" w:rsidRPr="0001372C">
        <w:rPr>
          <w:rFonts w:ascii="Times New Roman" w:hAnsi="Times New Roman" w:cs="Times New Roman"/>
          <w:sz w:val="28"/>
          <w:szCs w:val="28"/>
        </w:rPr>
        <w:t xml:space="preserve"> the prevalence of inadequacy in the population but may provide a gross indication of issues in covering requirements some specific nutrients at population level.</w:t>
      </w:r>
      <w:r w:rsidR="00EF229A" w:rsidRPr="0001372C">
        <w:rPr>
          <w:rFonts w:ascii="Times New Roman" w:hAnsi="Times New Roman" w:cs="Times New Roman"/>
          <w:sz w:val="28"/>
          <w:szCs w:val="28"/>
        </w:rPr>
        <w:t xml:space="preserve"> (Moltedo et al. 2018)</w:t>
      </w:r>
    </w:p>
    <w:p w14:paraId="63D41BF9" w14:textId="77777777" w:rsidR="00650D5F" w:rsidRPr="0001372C" w:rsidRDefault="00650D5F" w:rsidP="00EF229A">
      <w:pPr>
        <w:pStyle w:val="PlainText"/>
        <w:jc w:val="both"/>
        <w:rPr>
          <w:rFonts w:ascii="Times New Roman" w:hAnsi="Times New Roman" w:cs="Times New Roman"/>
          <w:sz w:val="28"/>
          <w:szCs w:val="28"/>
        </w:rPr>
      </w:pPr>
    </w:p>
    <w:p w14:paraId="22098D22" w14:textId="14F6D060" w:rsidR="00A955BC" w:rsidRPr="0001372C" w:rsidRDefault="00326EF7" w:rsidP="00CA2E57">
      <w:pPr>
        <w:pStyle w:val="PlainText"/>
        <w:jc w:val="both"/>
        <w:rPr>
          <w:rFonts w:ascii="Times New Roman" w:hAnsi="Times New Roman" w:cs="Times New Roman"/>
          <w:sz w:val="28"/>
          <w:szCs w:val="28"/>
        </w:rPr>
      </w:pPr>
      <w:r w:rsidRPr="0001372C">
        <w:rPr>
          <w:rFonts w:ascii="Times New Roman" w:hAnsi="Times New Roman" w:cs="Times New Roman"/>
          <w:sz w:val="28"/>
          <w:szCs w:val="28"/>
        </w:rPr>
        <w:t>Preliminary attempts to e</w:t>
      </w:r>
      <w:r w:rsidR="0023337E" w:rsidRPr="0001372C">
        <w:rPr>
          <w:rFonts w:ascii="Times New Roman" w:hAnsi="Times New Roman" w:cs="Times New Roman"/>
          <w:sz w:val="28"/>
          <w:szCs w:val="28"/>
        </w:rPr>
        <w:t>stimate the prevalence of nutrient inadequacy (PoNI)</w:t>
      </w:r>
      <w:r w:rsidR="007B57D4" w:rsidRPr="0001372C">
        <w:rPr>
          <w:rFonts w:ascii="Times New Roman" w:hAnsi="Times New Roman" w:cs="Times New Roman"/>
          <w:sz w:val="28"/>
          <w:szCs w:val="28"/>
        </w:rPr>
        <w:t xml:space="preserve"> </w:t>
      </w:r>
      <w:r w:rsidR="0023337E" w:rsidRPr="0001372C">
        <w:rPr>
          <w:rFonts w:ascii="Times New Roman" w:hAnsi="Times New Roman" w:cs="Times New Roman"/>
          <w:sz w:val="28"/>
          <w:szCs w:val="28"/>
        </w:rPr>
        <w:t xml:space="preserve">based </w:t>
      </w:r>
      <w:r w:rsidRPr="0001372C">
        <w:rPr>
          <w:rFonts w:ascii="Times New Roman" w:hAnsi="Times New Roman" w:cs="Times New Roman"/>
          <w:sz w:val="28"/>
          <w:szCs w:val="28"/>
        </w:rPr>
        <w:t xml:space="preserve">on </w:t>
      </w:r>
      <w:r w:rsidR="0023337E" w:rsidRPr="0001372C">
        <w:rPr>
          <w:rFonts w:ascii="Times New Roman" w:hAnsi="Times New Roman" w:cs="Times New Roman"/>
          <w:sz w:val="28"/>
          <w:szCs w:val="28"/>
        </w:rPr>
        <w:t xml:space="preserve">household data </w:t>
      </w:r>
      <w:r w:rsidRPr="0001372C">
        <w:rPr>
          <w:rFonts w:ascii="Times New Roman" w:hAnsi="Times New Roman" w:cs="Times New Roman"/>
          <w:sz w:val="28"/>
          <w:szCs w:val="28"/>
        </w:rPr>
        <w:t xml:space="preserve">have been performed. To this aim, a pre-treatment of data is needed </w:t>
      </w:r>
      <w:r w:rsidR="0023337E" w:rsidRPr="0001372C">
        <w:rPr>
          <w:rFonts w:ascii="Times New Roman" w:hAnsi="Times New Roman" w:cs="Times New Roman"/>
          <w:sz w:val="28"/>
          <w:szCs w:val="28"/>
        </w:rPr>
        <w:t xml:space="preserve">so as to </w:t>
      </w:r>
      <w:r w:rsidR="00A955BC" w:rsidRPr="0001372C">
        <w:rPr>
          <w:rFonts w:ascii="Times New Roman" w:hAnsi="Times New Roman" w:cs="Times New Roman"/>
          <w:sz w:val="28"/>
          <w:szCs w:val="28"/>
        </w:rPr>
        <w:t>remove within-person variation (</w:t>
      </w:r>
      <w:proofErr w:type="gramStart"/>
      <w:r w:rsidR="00A955BC" w:rsidRPr="0001372C">
        <w:rPr>
          <w:rFonts w:ascii="Times New Roman" w:hAnsi="Times New Roman" w:cs="Times New Roman"/>
          <w:sz w:val="28"/>
          <w:szCs w:val="28"/>
        </w:rPr>
        <w:t>i.e.</w:t>
      </w:r>
      <w:proofErr w:type="gramEnd"/>
      <w:r w:rsidR="00A955BC" w:rsidRPr="0001372C">
        <w:rPr>
          <w:rFonts w:ascii="Times New Roman" w:hAnsi="Times New Roman" w:cs="Times New Roman"/>
          <w:sz w:val="28"/>
          <w:szCs w:val="28"/>
        </w:rPr>
        <w:t xml:space="preserve"> to adjust for excess day-to-day variability)</w:t>
      </w:r>
      <w:r w:rsidR="0023337E" w:rsidRPr="0001372C">
        <w:rPr>
          <w:rFonts w:ascii="Times New Roman" w:hAnsi="Times New Roman" w:cs="Times New Roman"/>
          <w:sz w:val="28"/>
          <w:szCs w:val="28"/>
        </w:rPr>
        <w:t>.</w:t>
      </w:r>
      <w:r w:rsidR="00CA2E57" w:rsidRPr="0001372C">
        <w:rPr>
          <w:rFonts w:ascii="Times New Roman" w:hAnsi="Times New Roman" w:cs="Times New Roman"/>
          <w:sz w:val="28"/>
          <w:szCs w:val="28"/>
        </w:rPr>
        <w:t xml:space="preserve"> </w:t>
      </w:r>
      <w:r w:rsidR="0023337E" w:rsidRPr="0001372C">
        <w:rPr>
          <w:rFonts w:ascii="Times New Roman" w:hAnsi="Times New Roman" w:cs="Times New Roman"/>
          <w:sz w:val="28"/>
          <w:szCs w:val="28"/>
        </w:rPr>
        <w:t xml:space="preserve">Moltedo et al. (2022) compared the </w:t>
      </w:r>
      <w:r w:rsidR="00A955BC" w:rsidRPr="0001372C">
        <w:rPr>
          <w:rFonts w:ascii="Times New Roman" w:hAnsi="Times New Roman" w:cs="Times New Roman"/>
          <w:sz w:val="28"/>
          <w:szCs w:val="28"/>
        </w:rPr>
        <w:t xml:space="preserve">prevalence of inadequacy </w:t>
      </w:r>
      <w:r w:rsidR="0023337E" w:rsidRPr="0001372C">
        <w:rPr>
          <w:rFonts w:ascii="Times New Roman" w:hAnsi="Times New Roman" w:cs="Times New Roman"/>
          <w:sz w:val="28"/>
          <w:szCs w:val="28"/>
        </w:rPr>
        <w:t xml:space="preserve">estimated with </w:t>
      </w:r>
      <w:r w:rsidR="00CA2E57" w:rsidRPr="0001372C">
        <w:rPr>
          <w:rFonts w:ascii="Times New Roman" w:hAnsi="Times New Roman" w:cs="Times New Roman"/>
          <w:sz w:val="28"/>
          <w:szCs w:val="28"/>
        </w:rPr>
        <w:t xml:space="preserve">pre-treated </w:t>
      </w:r>
      <w:r w:rsidR="0023337E" w:rsidRPr="0001372C">
        <w:rPr>
          <w:rFonts w:ascii="Times New Roman" w:hAnsi="Times New Roman" w:cs="Times New Roman"/>
          <w:sz w:val="28"/>
          <w:szCs w:val="28"/>
        </w:rPr>
        <w:t xml:space="preserve">household survey </w:t>
      </w:r>
      <w:r w:rsidR="00CA2E57" w:rsidRPr="0001372C">
        <w:rPr>
          <w:rFonts w:ascii="Times New Roman" w:hAnsi="Times New Roman" w:cs="Times New Roman"/>
          <w:sz w:val="28"/>
          <w:szCs w:val="28"/>
        </w:rPr>
        <w:t>data versus i</w:t>
      </w:r>
      <w:r w:rsidR="0023337E" w:rsidRPr="0001372C">
        <w:rPr>
          <w:rFonts w:ascii="Times New Roman" w:hAnsi="Times New Roman" w:cs="Times New Roman"/>
          <w:sz w:val="28"/>
          <w:szCs w:val="28"/>
        </w:rPr>
        <w:t>ndividual food consumption survey</w:t>
      </w:r>
      <w:r w:rsidR="00CA2E57" w:rsidRPr="0001372C">
        <w:rPr>
          <w:rFonts w:ascii="Times New Roman" w:hAnsi="Times New Roman" w:cs="Times New Roman"/>
          <w:sz w:val="28"/>
          <w:szCs w:val="28"/>
        </w:rPr>
        <w:t xml:space="preserve">. The analysis was performed for eight micronutrients </w:t>
      </w:r>
      <w:r w:rsidR="00CA2E57" w:rsidRPr="0001372C">
        <w:rPr>
          <w:rFonts w:ascii="Times New Roman" w:hAnsi="Times New Roman" w:cs="Times New Roman"/>
          <w:sz w:val="28"/>
          <w:szCs w:val="28"/>
        </w:rPr>
        <w:lastRenderedPageBreak/>
        <w:t xml:space="preserve">(vitamins A, B1, B2, B6, B12 and C, and calcium and zinc) with the use of </w:t>
      </w:r>
      <w:r w:rsidR="0023337E" w:rsidRPr="0001372C">
        <w:rPr>
          <w:rFonts w:ascii="Times New Roman" w:hAnsi="Times New Roman" w:cs="Times New Roman"/>
          <w:sz w:val="28"/>
          <w:szCs w:val="28"/>
        </w:rPr>
        <w:t>Bangladesh</w:t>
      </w:r>
      <w:r w:rsidR="00CA2E57" w:rsidRPr="0001372C">
        <w:rPr>
          <w:rFonts w:ascii="Times New Roman" w:hAnsi="Times New Roman" w:cs="Times New Roman"/>
          <w:sz w:val="28"/>
          <w:szCs w:val="28"/>
        </w:rPr>
        <w:t xml:space="preserve"> datasets</w:t>
      </w:r>
      <w:r w:rsidR="0023337E" w:rsidRPr="0001372C">
        <w:rPr>
          <w:rFonts w:ascii="Times New Roman" w:hAnsi="Times New Roman" w:cs="Times New Roman"/>
          <w:sz w:val="28"/>
          <w:szCs w:val="28"/>
        </w:rPr>
        <w:t>.</w:t>
      </w:r>
      <w:r w:rsidR="007B57D4" w:rsidRPr="0001372C">
        <w:rPr>
          <w:rFonts w:ascii="Times New Roman" w:hAnsi="Times New Roman" w:cs="Times New Roman"/>
          <w:sz w:val="28"/>
          <w:szCs w:val="28"/>
        </w:rPr>
        <w:t xml:space="preserve"> </w:t>
      </w:r>
    </w:p>
    <w:p w14:paraId="3F8B51C4" w14:textId="6F4DF89B" w:rsidR="00B300CD" w:rsidRPr="0001372C" w:rsidRDefault="00B300CD" w:rsidP="00B300CD">
      <w:pPr>
        <w:pStyle w:val="PlainText"/>
        <w:jc w:val="both"/>
        <w:rPr>
          <w:rFonts w:ascii="Times New Roman" w:hAnsi="Times New Roman" w:cs="Times New Roman"/>
          <w:sz w:val="28"/>
          <w:szCs w:val="28"/>
        </w:rPr>
      </w:pPr>
    </w:p>
    <w:p w14:paraId="47C900BF" w14:textId="4D2523D1" w:rsidR="00D174F3" w:rsidRPr="0001372C" w:rsidRDefault="004F0130" w:rsidP="00AE4358">
      <w:pPr>
        <w:pStyle w:val="PlainText"/>
        <w:rPr>
          <w:rFonts w:ascii="Times New Roman" w:hAnsi="Times New Roman" w:cs="Times New Roman"/>
          <w:i/>
          <w:iCs/>
          <w:sz w:val="28"/>
          <w:szCs w:val="28"/>
        </w:rPr>
      </w:pPr>
      <w:r w:rsidRPr="0001372C">
        <w:rPr>
          <w:rFonts w:ascii="Times New Roman" w:hAnsi="Times New Roman" w:cs="Times New Roman"/>
          <w:i/>
          <w:iCs/>
          <w:sz w:val="28"/>
          <w:szCs w:val="28"/>
        </w:rPr>
        <w:t>iii</w:t>
      </w:r>
      <w:r w:rsidR="00C26615" w:rsidRPr="0001372C">
        <w:rPr>
          <w:rFonts w:ascii="Times New Roman" w:hAnsi="Times New Roman" w:cs="Times New Roman"/>
          <w:i/>
          <w:iCs/>
          <w:sz w:val="28"/>
          <w:szCs w:val="28"/>
        </w:rPr>
        <w:t xml:space="preserve">. </w:t>
      </w:r>
      <w:r w:rsidR="005B023D">
        <w:rPr>
          <w:rFonts w:ascii="Times New Roman" w:hAnsi="Times New Roman" w:cs="Times New Roman"/>
          <w:i/>
          <w:iCs/>
          <w:sz w:val="28"/>
          <w:szCs w:val="28"/>
        </w:rPr>
        <w:t>R</w:t>
      </w:r>
      <w:r w:rsidR="005F0AB9">
        <w:rPr>
          <w:rFonts w:ascii="Times New Roman" w:hAnsi="Times New Roman" w:cs="Times New Roman"/>
          <w:i/>
          <w:iCs/>
          <w:sz w:val="28"/>
          <w:szCs w:val="28"/>
        </w:rPr>
        <w:t>econcil</w:t>
      </w:r>
      <w:r w:rsidR="005B023D">
        <w:rPr>
          <w:rFonts w:ascii="Times New Roman" w:hAnsi="Times New Roman" w:cs="Times New Roman"/>
          <w:i/>
          <w:iCs/>
          <w:sz w:val="28"/>
          <w:szCs w:val="28"/>
        </w:rPr>
        <w:t>iation between FBSs and HCESs</w:t>
      </w:r>
    </w:p>
    <w:p w14:paraId="7963F491" w14:textId="0AAA5E35" w:rsidR="00E8513A" w:rsidRPr="0001372C" w:rsidRDefault="00E8513A" w:rsidP="00AE4358">
      <w:pPr>
        <w:pStyle w:val="PlainText"/>
        <w:rPr>
          <w:rFonts w:ascii="Times New Roman" w:hAnsi="Times New Roman" w:cs="Times New Roman"/>
          <w:sz w:val="28"/>
          <w:szCs w:val="28"/>
        </w:rPr>
      </w:pPr>
    </w:p>
    <w:p w14:paraId="73C31025" w14:textId="4F387283" w:rsidR="00E31B3E" w:rsidRPr="0001372C" w:rsidRDefault="00764782" w:rsidP="00E31B3E">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Grünberger K. (2014) compared per capita food supply </w:t>
      </w:r>
      <w:r w:rsidR="00E31B3E" w:rsidRPr="0001372C">
        <w:rPr>
          <w:rFonts w:ascii="Times New Roman" w:hAnsi="Times New Roman" w:cs="Times New Roman"/>
          <w:sz w:val="28"/>
          <w:szCs w:val="28"/>
        </w:rPr>
        <w:t>from country</w:t>
      </w:r>
      <w:r w:rsidR="00783B2A" w:rsidRPr="0001372C">
        <w:rPr>
          <w:rFonts w:ascii="Times New Roman" w:hAnsi="Times New Roman" w:cs="Times New Roman"/>
          <w:sz w:val="28"/>
          <w:szCs w:val="28"/>
        </w:rPr>
        <w:t>-</w:t>
      </w:r>
      <w:r w:rsidR="00E31B3E" w:rsidRPr="0001372C">
        <w:rPr>
          <w:rFonts w:ascii="Times New Roman" w:hAnsi="Times New Roman" w:cs="Times New Roman"/>
          <w:sz w:val="28"/>
          <w:szCs w:val="28"/>
        </w:rPr>
        <w:t>specific</w:t>
      </w:r>
      <w:r w:rsidRPr="0001372C">
        <w:rPr>
          <w:rFonts w:ascii="Times New Roman" w:hAnsi="Times New Roman" w:cs="Times New Roman"/>
          <w:sz w:val="28"/>
          <w:szCs w:val="28"/>
        </w:rPr>
        <w:t xml:space="preserve"> FBSs with </w:t>
      </w:r>
      <w:r w:rsidR="00E31B3E" w:rsidRPr="0001372C">
        <w:rPr>
          <w:rFonts w:ascii="Times New Roman" w:hAnsi="Times New Roman" w:cs="Times New Roman"/>
          <w:sz w:val="28"/>
          <w:szCs w:val="28"/>
        </w:rPr>
        <w:t xml:space="preserve">that of </w:t>
      </w:r>
      <w:r w:rsidRPr="0001372C">
        <w:rPr>
          <w:rFonts w:ascii="Times New Roman" w:hAnsi="Times New Roman" w:cs="Times New Roman"/>
          <w:sz w:val="28"/>
          <w:szCs w:val="28"/>
        </w:rPr>
        <w:t>64 HCES</w:t>
      </w:r>
      <w:r w:rsidR="005B023D">
        <w:rPr>
          <w:rFonts w:ascii="Times New Roman" w:hAnsi="Times New Roman" w:cs="Times New Roman"/>
          <w:sz w:val="28"/>
          <w:szCs w:val="28"/>
        </w:rPr>
        <w:t>s</w:t>
      </w:r>
      <w:r w:rsidRPr="0001372C">
        <w:rPr>
          <w:rFonts w:ascii="Times New Roman" w:hAnsi="Times New Roman" w:cs="Times New Roman"/>
          <w:sz w:val="28"/>
          <w:szCs w:val="28"/>
        </w:rPr>
        <w:t xml:space="preserve"> from 51 low</w:t>
      </w:r>
      <w:r w:rsidR="00E31B3E" w:rsidRPr="0001372C">
        <w:rPr>
          <w:rFonts w:ascii="Times New Roman" w:hAnsi="Times New Roman" w:cs="Times New Roman"/>
          <w:sz w:val="28"/>
          <w:szCs w:val="28"/>
        </w:rPr>
        <w:t>-</w:t>
      </w:r>
      <w:r w:rsidRPr="0001372C">
        <w:rPr>
          <w:rFonts w:ascii="Times New Roman" w:hAnsi="Times New Roman" w:cs="Times New Roman"/>
          <w:sz w:val="28"/>
          <w:szCs w:val="28"/>
        </w:rPr>
        <w:t xml:space="preserve"> and middle</w:t>
      </w:r>
      <w:r w:rsidR="00E31B3E" w:rsidRPr="0001372C">
        <w:rPr>
          <w:rFonts w:ascii="Times New Roman" w:hAnsi="Times New Roman" w:cs="Times New Roman"/>
          <w:sz w:val="28"/>
          <w:szCs w:val="28"/>
        </w:rPr>
        <w:t>-</w:t>
      </w:r>
      <w:r w:rsidRPr="0001372C">
        <w:rPr>
          <w:rFonts w:ascii="Times New Roman" w:hAnsi="Times New Roman" w:cs="Times New Roman"/>
          <w:sz w:val="28"/>
          <w:szCs w:val="28"/>
        </w:rPr>
        <w:t>income countries</w:t>
      </w:r>
      <w:r w:rsidR="00E31B3E" w:rsidRPr="0001372C">
        <w:rPr>
          <w:rFonts w:ascii="Times New Roman" w:hAnsi="Times New Roman" w:cs="Times New Roman"/>
          <w:sz w:val="28"/>
          <w:szCs w:val="28"/>
        </w:rPr>
        <w:t>,</w:t>
      </w:r>
      <w:r w:rsidRPr="0001372C">
        <w:rPr>
          <w:rFonts w:ascii="Times New Roman" w:hAnsi="Times New Roman" w:cs="Times New Roman"/>
          <w:sz w:val="28"/>
          <w:szCs w:val="28"/>
        </w:rPr>
        <w:t xml:space="preserve"> for 16 major food groups. Overall, the results of the reconciliation suggest that average consumption of cereals, eggs, fish products, pulses and vegetables are likely to be underestimated in FBS, wh</w:t>
      </w:r>
      <w:r w:rsidR="00783B2A" w:rsidRPr="0001372C">
        <w:rPr>
          <w:rFonts w:ascii="Times New Roman" w:hAnsi="Times New Roman" w:cs="Times New Roman"/>
          <w:sz w:val="28"/>
          <w:szCs w:val="28"/>
        </w:rPr>
        <w:t>ereas</w:t>
      </w:r>
      <w:r w:rsidRPr="0001372C">
        <w:rPr>
          <w:rFonts w:ascii="Times New Roman" w:hAnsi="Times New Roman" w:cs="Times New Roman"/>
          <w:sz w:val="28"/>
          <w:szCs w:val="28"/>
        </w:rPr>
        <w:t xml:space="preserve"> fruits, meat, </w:t>
      </w:r>
      <w:proofErr w:type="gramStart"/>
      <w:r w:rsidRPr="0001372C">
        <w:rPr>
          <w:rFonts w:ascii="Times New Roman" w:hAnsi="Times New Roman" w:cs="Times New Roman"/>
          <w:sz w:val="28"/>
          <w:szCs w:val="28"/>
        </w:rPr>
        <w:t>milk</w:t>
      </w:r>
      <w:proofErr w:type="gramEnd"/>
      <w:r w:rsidRPr="0001372C">
        <w:rPr>
          <w:rFonts w:ascii="Times New Roman" w:hAnsi="Times New Roman" w:cs="Times New Roman"/>
          <w:sz w:val="28"/>
          <w:szCs w:val="28"/>
        </w:rPr>
        <w:t xml:space="preserve"> and sugar products are likely to be overestimated in FBS. </w:t>
      </w:r>
      <w:r w:rsidR="00783B2A" w:rsidRPr="0001372C">
        <w:rPr>
          <w:rFonts w:ascii="Times New Roman" w:hAnsi="Times New Roman" w:cs="Times New Roman"/>
          <w:sz w:val="28"/>
          <w:szCs w:val="28"/>
        </w:rPr>
        <w:t xml:space="preserve">Both FBS and HCES are prone to measurement errors. </w:t>
      </w:r>
      <w:r w:rsidR="00E31B3E" w:rsidRPr="0001372C">
        <w:rPr>
          <w:rFonts w:ascii="Times New Roman" w:hAnsi="Times New Roman" w:cs="Times New Roman"/>
          <w:sz w:val="28"/>
          <w:szCs w:val="28"/>
        </w:rPr>
        <w:t>Even</w:t>
      </w:r>
      <w:r w:rsidR="00783B2A" w:rsidRPr="0001372C">
        <w:rPr>
          <w:rFonts w:ascii="Times New Roman" w:hAnsi="Times New Roman" w:cs="Times New Roman"/>
          <w:sz w:val="28"/>
          <w:szCs w:val="28"/>
        </w:rPr>
        <w:t xml:space="preserve"> </w:t>
      </w:r>
      <w:r w:rsidR="00E31B3E" w:rsidRPr="0001372C">
        <w:rPr>
          <w:rFonts w:ascii="Times New Roman" w:hAnsi="Times New Roman" w:cs="Times New Roman"/>
          <w:sz w:val="28"/>
          <w:szCs w:val="28"/>
        </w:rPr>
        <w:t>though t</w:t>
      </w:r>
      <w:r w:rsidRPr="0001372C">
        <w:rPr>
          <w:rFonts w:ascii="Times New Roman" w:hAnsi="Times New Roman" w:cs="Times New Roman"/>
          <w:sz w:val="28"/>
          <w:szCs w:val="28"/>
        </w:rPr>
        <w:t xml:space="preserve">he </w:t>
      </w:r>
      <w:r w:rsidR="00E31B3E" w:rsidRPr="0001372C">
        <w:rPr>
          <w:rFonts w:ascii="Times New Roman" w:hAnsi="Times New Roman" w:cs="Times New Roman"/>
          <w:sz w:val="28"/>
          <w:szCs w:val="28"/>
        </w:rPr>
        <w:t>estimated differences</w:t>
      </w:r>
      <w:r w:rsidRPr="0001372C">
        <w:rPr>
          <w:rFonts w:ascii="Times New Roman" w:hAnsi="Times New Roman" w:cs="Times New Roman"/>
          <w:sz w:val="28"/>
          <w:szCs w:val="28"/>
        </w:rPr>
        <w:t xml:space="preserve"> in average </w:t>
      </w:r>
      <w:r w:rsidR="00783B2A" w:rsidRPr="0001372C">
        <w:rPr>
          <w:rFonts w:ascii="Times New Roman" w:hAnsi="Times New Roman" w:cs="Times New Roman"/>
          <w:sz w:val="28"/>
          <w:szCs w:val="28"/>
        </w:rPr>
        <w:t xml:space="preserve">total </w:t>
      </w:r>
      <w:r w:rsidRPr="0001372C">
        <w:rPr>
          <w:rFonts w:ascii="Times New Roman" w:hAnsi="Times New Roman" w:cs="Times New Roman"/>
          <w:sz w:val="28"/>
          <w:szCs w:val="28"/>
        </w:rPr>
        <w:t xml:space="preserve">food </w:t>
      </w:r>
      <w:r w:rsidR="00E31B3E" w:rsidRPr="0001372C">
        <w:rPr>
          <w:rFonts w:ascii="Times New Roman" w:hAnsi="Times New Roman" w:cs="Times New Roman"/>
          <w:sz w:val="28"/>
          <w:szCs w:val="28"/>
        </w:rPr>
        <w:t>supply</w:t>
      </w:r>
      <w:r w:rsidRPr="0001372C">
        <w:rPr>
          <w:rFonts w:ascii="Times New Roman" w:hAnsi="Times New Roman" w:cs="Times New Roman"/>
          <w:sz w:val="28"/>
          <w:szCs w:val="28"/>
        </w:rPr>
        <w:t xml:space="preserve"> per capita </w:t>
      </w:r>
      <w:r w:rsidR="00E31B3E" w:rsidRPr="0001372C">
        <w:rPr>
          <w:rFonts w:ascii="Times New Roman" w:hAnsi="Times New Roman" w:cs="Times New Roman"/>
          <w:sz w:val="28"/>
          <w:szCs w:val="28"/>
        </w:rPr>
        <w:t>we</w:t>
      </w:r>
      <w:r w:rsidRPr="0001372C">
        <w:rPr>
          <w:rFonts w:ascii="Times New Roman" w:hAnsi="Times New Roman" w:cs="Times New Roman"/>
          <w:sz w:val="28"/>
          <w:szCs w:val="28"/>
        </w:rPr>
        <w:t xml:space="preserve">re moderate, </w:t>
      </w:r>
      <w:r w:rsidR="00E31B3E" w:rsidRPr="0001372C">
        <w:rPr>
          <w:rFonts w:ascii="Times New Roman" w:hAnsi="Times New Roman" w:cs="Times New Roman"/>
          <w:sz w:val="28"/>
          <w:szCs w:val="28"/>
        </w:rPr>
        <w:t>there is considerable uncertainty in the estimate of availability of single food groups at country and global level</w:t>
      </w:r>
      <w:r w:rsidRPr="0001372C">
        <w:rPr>
          <w:rFonts w:ascii="Times New Roman" w:hAnsi="Times New Roman" w:cs="Times New Roman"/>
          <w:sz w:val="28"/>
          <w:szCs w:val="28"/>
        </w:rPr>
        <w:t xml:space="preserve">. </w:t>
      </w:r>
    </w:p>
    <w:p w14:paraId="3412672B" w14:textId="410C9B69" w:rsidR="00307304" w:rsidRPr="0001372C" w:rsidRDefault="00307304" w:rsidP="00AE4358">
      <w:pPr>
        <w:pStyle w:val="PlainText"/>
        <w:rPr>
          <w:rFonts w:ascii="Times New Roman" w:hAnsi="Times New Roman" w:cs="Times New Roman"/>
          <w:sz w:val="28"/>
          <w:szCs w:val="28"/>
        </w:rPr>
      </w:pPr>
    </w:p>
    <w:p w14:paraId="7D3A6F8E" w14:textId="1D08627D" w:rsidR="00A12802" w:rsidRPr="0001372C" w:rsidRDefault="00E8513A" w:rsidP="00E8513A">
      <w:pPr>
        <w:pStyle w:val="PlainText"/>
        <w:jc w:val="both"/>
        <w:rPr>
          <w:rFonts w:ascii="Times New Roman" w:hAnsi="Times New Roman" w:cs="Times New Roman"/>
          <w:sz w:val="28"/>
          <w:szCs w:val="28"/>
          <w:u w:val="single"/>
        </w:rPr>
      </w:pPr>
      <w:r w:rsidRPr="0001372C">
        <w:rPr>
          <w:rFonts w:ascii="Times New Roman" w:hAnsi="Times New Roman" w:cs="Times New Roman"/>
          <w:sz w:val="28"/>
          <w:szCs w:val="28"/>
        </w:rPr>
        <w:t>2.</w:t>
      </w:r>
      <w:r w:rsidR="00A12802" w:rsidRPr="0001372C">
        <w:rPr>
          <w:rFonts w:ascii="Times New Roman" w:hAnsi="Times New Roman" w:cs="Times New Roman"/>
          <w:sz w:val="28"/>
          <w:szCs w:val="28"/>
        </w:rPr>
        <w:t>3.3</w:t>
      </w:r>
      <w:r w:rsidR="00CF3F6D" w:rsidRPr="0001372C">
        <w:rPr>
          <w:rFonts w:ascii="Times New Roman" w:hAnsi="Times New Roman" w:cs="Times New Roman"/>
          <w:sz w:val="28"/>
          <w:szCs w:val="28"/>
          <w:u w:val="single"/>
        </w:rPr>
        <w:t>.</w:t>
      </w:r>
      <w:r w:rsidRPr="0001372C">
        <w:rPr>
          <w:rFonts w:ascii="Times New Roman" w:hAnsi="Times New Roman" w:cs="Times New Roman"/>
          <w:sz w:val="28"/>
          <w:szCs w:val="28"/>
          <w:u w:val="single"/>
        </w:rPr>
        <w:t xml:space="preserve"> </w:t>
      </w:r>
      <w:r w:rsidR="00CF3F6D" w:rsidRPr="0001372C">
        <w:rPr>
          <w:rFonts w:ascii="Times New Roman" w:hAnsi="Times New Roman" w:cs="Times New Roman"/>
          <w:sz w:val="28"/>
          <w:szCs w:val="28"/>
          <w:u w:val="single"/>
        </w:rPr>
        <w:t>National</w:t>
      </w:r>
      <w:r w:rsidRPr="0001372C">
        <w:rPr>
          <w:rFonts w:ascii="Times New Roman" w:hAnsi="Times New Roman" w:cs="Times New Roman"/>
          <w:sz w:val="28"/>
          <w:szCs w:val="28"/>
          <w:u w:val="single"/>
        </w:rPr>
        <w:t xml:space="preserve"> and household </w:t>
      </w:r>
      <w:r w:rsidR="009B05CD" w:rsidRPr="0001372C">
        <w:rPr>
          <w:rFonts w:ascii="Times New Roman" w:hAnsi="Times New Roman" w:cs="Times New Roman"/>
          <w:sz w:val="28"/>
          <w:szCs w:val="28"/>
          <w:u w:val="single"/>
        </w:rPr>
        <w:t xml:space="preserve">surveys </w:t>
      </w:r>
      <w:r w:rsidR="00CF3F6D" w:rsidRPr="0001372C">
        <w:rPr>
          <w:rFonts w:ascii="Times New Roman" w:hAnsi="Times New Roman" w:cs="Times New Roman"/>
          <w:sz w:val="28"/>
          <w:szCs w:val="28"/>
          <w:u w:val="single"/>
        </w:rPr>
        <w:t xml:space="preserve">in the global assessment of food security and diet quality by age and sex </w:t>
      </w:r>
    </w:p>
    <w:p w14:paraId="67E2B331" w14:textId="77777777" w:rsidR="00A12802" w:rsidRPr="0001372C" w:rsidRDefault="00A12802" w:rsidP="00E8513A">
      <w:pPr>
        <w:pStyle w:val="PlainText"/>
        <w:jc w:val="both"/>
        <w:rPr>
          <w:rFonts w:ascii="Times New Roman" w:hAnsi="Times New Roman" w:cs="Times New Roman"/>
          <w:sz w:val="28"/>
          <w:szCs w:val="28"/>
          <w:u w:val="single"/>
        </w:rPr>
      </w:pPr>
    </w:p>
    <w:p w14:paraId="06F67DBA" w14:textId="77777777" w:rsidR="00E8513A" w:rsidRPr="0001372C" w:rsidRDefault="00E8513A" w:rsidP="00E8513A">
      <w:pPr>
        <w:pStyle w:val="PlainText"/>
        <w:jc w:val="both"/>
        <w:rPr>
          <w:rFonts w:ascii="Times New Roman" w:hAnsi="Times New Roman" w:cs="Times New Roman"/>
          <w:sz w:val="28"/>
          <w:szCs w:val="28"/>
        </w:rPr>
      </w:pPr>
      <w:r w:rsidRPr="0001372C">
        <w:rPr>
          <w:rFonts w:ascii="Times New Roman" w:hAnsi="Times New Roman" w:cs="Times New Roman"/>
          <w:sz w:val="28"/>
          <w:szCs w:val="28"/>
        </w:rPr>
        <w:t>As mentioned in chapters 3 and 4, individual food consumption data are key to assess the distribution of usual food and nutrient intake in different population groups within a country and thus to evaluate the adequacy of the diet (chapter 8b). A publicly available global database such as the FAO/WHO GIFT platform (</w:t>
      </w:r>
      <w:hyperlink r:id="rId26" w:history="1">
        <w:r w:rsidRPr="0001372C">
          <w:rPr>
            <w:rStyle w:val="Hyperlink"/>
            <w:rFonts w:ascii="Times New Roman" w:hAnsi="Times New Roman" w:cs="Times New Roman"/>
            <w:sz w:val="28"/>
            <w:szCs w:val="28"/>
          </w:rPr>
          <w:t>https://www.fao.org/gift-individual-food-consumption/en/</w:t>
        </w:r>
      </w:hyperlink>
      <w:r w:rsidRPr="0001372C">
        <w:rPr>
          <w:rFonts w:ascii="Times New Roman" w:hAnsi="Times New Roman" w:cs="Times New Roman"/>
          <w:sz w:val="28"/>
          <w:szCs w:val="28"/>
        </w:rPr>
        <w:t>) includes only data collected through quantitative individual food consumption survey.</w:t>
      </w:r>
    </w:p>
    <w:p w14:paraId="3941EC89" w14:textId="77777777" w:rsidR="00E8513A" w:rsidRPr="0001372C" w:rsidRDefault="00E8513A" w:rsidP="00E8513A">
      <w:pPr>
        <w:pStyle w:val="PlainText"/>
        <w:jc w:val="both"/>
        <w:rPr>
          <w:rFonts w:ascii="Times New Roman" w:hAnsi="Times New Roman" w:cs="Times New Roman"/>
          <w:sz w:val="28"/>
          <w:szCs w:val="28"/>
        </w:rPr>
      </w:pPr>
    </w:p>
    <w:p w14:paraId="311C24CE" w14:textId="1E3C10C4" w:rsidR="00E8513A" w:rsidRPr="0001372C" w:rsidRDefault="00E8513A" w:rsidP="00E8513A">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Other global databases make use of FBS and HCES data to model the intake of foods and nutrients by age and sex worldwide, by filling the gaps in individual food consumption data. It is the case of the Global Dietary Database initiative (GDD) and of the Institute for Health Metrics and Evaluation (IHME) database.  </w:t>
      </w:r>
    </w:p>
    <w:p w14:paraId="1FBCAEEE" w14:textId="77777777" w:rsidR="00E8513A" w:rsidRPr="0001372C" w:rsidRDefault="00E8513A" w:rsidP="00E8513A">
      <w:pPr>
        <w:pStyle w:val="PlainText"/>
        <w:jc w:val="both"/>
        <w:rPr>
          <w:rFonts w:ascii="Times New Roman" w:hAnsi="Times New Roman" w:cs="Times New Roman"/>
          <w:sz w:val="28"/>
          <w:szCs w:val="28"/>
        </w:rPr>
      </w:pPr>
    </w:p>
    <w:p w14:paraId="248FADDD" w14:textId="015C00A8" w:rsidR="00E8513A" w:rsidRPr="0001372C" w:rsidRDefault="00E8513A" w:rsidP="00E8513A">
      <w:pPr>
        <w:pStyle w:val="PlainText"/>
        <w:jc w:val="both"/>
        <w:rPr>
          <w:rFonts w:ascii="Times New Roman" w:hAnsi="Times New Roman" w:cs="Times New Roman"/>
          <w:color w:val="333333"/>
          <w:spacing w:val="5"/>
          <w:sz w:val="28"/>
          <w:szCs w:val="28"/>
          <w:shd w:val="clear" w:color="auto" w:fill="FFFFFF"/>
        </w:rPr>
      </w:pPr>
      <w:r w:rsidRPr="0001372C">
        <w:rPr>
          <w:rFonts w:ascii="Times New Roman" w:hAnsi="Times New Roman" w:cs="Times New Roman"/>
          <w:color w:val="000000" w:themeColor="text1"/>
          <w:spacing w:val="5"/>
          <w:sz w:val="28"/>
          <w:szCs w:val="28"/>
          <w:shd w:val="clear" w:color="auto" w:fill="FFFFFF"/>
        </w:rPr>
        <w:t>The GDD database is available at</w:t>
      </w:r>
      <w:r w:rsidRPr="0001372C">
        <w:rPr>
          <w:rFonts w:ascii="Times New Roman" w:hAnsi="Times New Roman" w:cs="Times New Roman"/>
          <w:color w:val="333333"/>
          <w:spacing w:val="5"/>
          <w:sz w:val="28"/>
          <w:szCs w:val="28"/>
          <w:shd w:val="clear" w:color="auto" w:fill="FFFFFF"/>
        </w:rPr>
        <w:t xml:space="preserve"> </w:t>
      </w:r>
      <w:hyperlink r:id="rId27" w:history="1">
        <w:r w:rsidRPr="0001372C">
          <w:rPr>
            <w:rStyle w:val="Hyperlink"/>
            <w:rFonts w:ascii="Times New Roman" w:hAnsi="Times New Roman" w:cs="Times New Roman"/>
            <w:sz w:val="28"/>
            <w:szCs w:val="28"/>
          </w:rPr>
          <w:t>https://www.globaldietarydatabase.org/</w:t>
        </w:r>
      </w:hyperlink>
      <w:r w:rsidRPr="0001372C">
        <w:rPr>
          <w:rStyle w:val="Hyperlink"/>
          <w:rFonts w:ascii="Times New Roman" w:hAnsi="Times New Roman" w:cs="Times New Roman"/>
          <w:sz w:val="28"/>
          <w:szCs w:val="28"/>
        </w:rPr>
        <w:t xml:space="preserve"> </w:t>
      </w:r>
      <w:r w:rsidRPr="0001372C">
        <w:rPr>
          <w:rFonts w:ascii="Times New Roman" w:hAnsi="Times New Roman" w:cs="Times New Roman"/>
          <w:color w:val="000000" w:themeColor="text1"/>
          <w:spacing w:val="5"/>
          <w:sz w:val="28"/>
          <w:szCs w:val="28"/>
          <w:shd w:val="clear" w:color="auto" w:fill="FFFFFF"/>
        </w:rPr>
        <w:t>(accessed November 2022</w:t>
      </w:r>
      <w:r w:rsidRPr="0001372C">
        <w:rPr>
          <w:rFonts w:ascii="Times New Roman" w:hAnsi="Times New Roman" w:cs="Times New Roman"/>
          <w:color w:val="000000" w:themeColor="text1"/>
          <w:sz w:val="28"/>
          <w:szCs w:val="28"/>
        </w:rPr>
        <w:t xml:space="preserve">) and </w:t>
      </w:r>
      <w:r w:rsidRPr="0001372C">
        <w:rPr>
          <w:rFonts w:ascii="Times New Roman" w:hAnsi="Times New Roman" w:cs="Times New Roman"/>
          <w:color w:val="000000" w:themeColor="text1"/>
          <w:spacing w:val="5"/>
          <w:sz w:val="28"/>
          <w:szCs w:val="28"/>
          <w:shd w:val="clear" w:color="auto" w:fill="FFFFFF"/>
        </w:rPr>
        <w:t>provides modeled data for 55 dietary factors including 14 foods, 7 beverages, 15 macronutrients and 19 micronutrients in 185 countries. Modeled data are provided by country, year of primary data collection, age, sex, education level, urban or rural residence, and pregnancy/nursing status.</w:t>
      </w:r>
      <w:r w:rsidRPr="0001372C">
        <w:rPr>
          <w:rFonts w:ascii="Times New Roman" w:hAnsi="Times New Roman" w:cs="Times New Roman"/>
          <w:color w:val="333333"/>
          <w:spacing w:val="5"/>
          <w:sz w:val="28"/>
          <w:szCs w:val="28"/>
          <w:shd w:val="clear" w:color="auto" w:fill="FFFFFF"/>
        </w:rPr>
        <w:t xml:space="preserve"> </w:t>
      </w:r>
    </w:p>
    <w:p w14:paraId="2603027C" w14:textId="77777777" w:rsidR="00E8513A" w:rsidRPr="0001372C" w:rsidRDefault="00E8513A" w:rsidP="00E8513A">
      <w:pPr>
        <w:pStyle w:val="PlainText"/>
        <w:jc w:val="both"/>
        <w:rPr>
          <w:rFonts w:ascii="Times New Roman" w:hAnsi="Times New Roman" w:cs="Times New Roman"/>
          <w:color w:val="333333"/>
          <w:spacing w:val="5"/>
          <w:sz w:val="28"/>
          <w:szCs w:val="28"/>
          <w:shd w:val="clear" w:color="auto" w:fill="FFFFFF"/>
        </w:rPr>
      </w:pPr>
      <w:r w:rsidRPr="0001372C">
        <w:rPr>
          <w:rFonts w:ascii="Times New Roman" w:hAnsi="Times New Roman" w:cs="Times New Roman"/>
          <w:color w:val="000000" w:themeColor="text1"/>
          <w:spacing w:val="5"/>
          <w:sz w:val="28"/>
          <w:szCs w:val="28"/>
          <w:shd w:val="clear" w:color="auto" w:fill="FFFFFF"/>
        </w:rPr>
        <w:t xml:space="preserve">The IHME initiative database is </w:t>
      </w:r>
      <w:r w:rsidRPr="0001372C">
        <w:rPr>
          <w:rFonts w:ascii="Times New Roman" w:hAnsi="Times New Roman" w:cs="Times New Roman"/>
          <w:color w:val="000000" w:themeColor="text1"/>
          <w:sz w:val="28"/>
          <w:szCs w:val="28"/>
        </w:rPr>
        <w:t>available at</w:t>
      </w:r>
      <w:r w:rsidRPr="0001372C">
        <w:rPr>
          <w:rFonts w:ascii="Times New Roman" w:hAnsi="Times New Roman" w:cs="Times New Roman"/>
          <w:sz w:val="28"/>
          <w:szCs w:val="28"/>
        </w:rPr>
        <w:t xml:space="preserve">  </w:t>
      </w:r>
      <w:hyperlink r:id="rId28" w:history="1">
        <w:r w:rsidRPr="0001372C">
          <w:rPr>
            <w:rStyle w:val="Hyperlink"/>
            <w:rFonts w:ascii="Times New Roman" w:hAnsi="Times New Roman" w:cs="Times New Roman"/>
            <w:sz w:val="28"/>
            <w:szCs w:val="28"/>
          </w:rPr>
          <w:t>http://www.healthdata.org/results/data-visualizations</w:t>
        </w:r>
      </w:hyperlink>
      <w:r w:rsidRPr="0001372C">
        <w:rPr>
          <w:rFonts w:ascii="Times New Roman" w:hAnsi="Times New Roman" w:cs="Times New Roman"/>
          <w:sz w:val="28"/>
          <w:szCs w:val="28"/>
        </w:rPr>
        <w:t xml:space="preserve"> </w:t>
      </w:r>
      <w:r w:rsidRPr="0001372C">
        <w:rPr>
          <w:rFonts w:ascii="Times New Roman" w:hAnsi="Times New Roman" w:cs="Times New Roman"/>
          <w:color w:val="000000" w:themeColor="text1"/>
          <w:spacing w:val="5"/>
          <w:sz w:val="28"/>
          <w:szCs w:val="28"/>
          <w:shd w:val="clear" w:color="auto" w:fill="FFFFFF"/>
        </w:rPr>
        <w:t xml:space="preserve">(accessed November 2022).  Modeled data are provided by country, age, </w:t>
      </w:r>
      <w:proofErr w:type="gramStart"/>
      <w:r w:rsidRPr="0001372C">
        <w:rPr>
          <w:rFonts w:ascii="Times New Roman" w:hAnsi="Times New Roman" w:cs="Times New Roman"/>
          <w:color w:val="000000" w:themeColor="text1"/>
          <w:spacing w:val="5"/>
          <w:sz w:val="28"/>
          <w:szCs w:val="28"/>
          <w:shd w:val="clear" w:color="auto" w:fill="FFFFFF"/>
        </w:rPr>
        <w:t>sex</w:t>
      </w:r>
      <w:proofErr w:type="gramEnd"/>
      <w:r w:rsidRPr="0001372C">
        <w:rPr>
          <w:rFonts w:ascii="Times New Roman" w:hAnsi="Times New Roman" w:cs="Times New Roman"/>
          <w:color w:val="000000" w:themeColor="text1"/>
          <w:spacing w:val="5"/>
          <w:sz w:val="28"/>
          <w:szCs w:val="28"/>
          <w:shd w:val="clear" w:color="auto" w:fill="FFFFFF"/>
        </w:rPr>
        <w:t xml:space="preserve"> and year of primary data collection in 204 countries for 87 indicators, including 15 dietary indicators (9 </w:t>
      </w:r>
      <w:r w:rsidRPr="0001372C">
        <w:rPr>
          <w:rFonts w:ascii="Times New Roman" w:hAnsi="Times New Roman" w:cs="Times New Roman"/>
          <w:color w:val="000000" w:themeColor="text1"/>
          <w:spacing w:val="5"/>
          <w:sz w:val="28"/>
          <w:szCs w:val="28"/>
          <w:shd w:val="clear" w:color="auto" w:fill="FFFFFF"/>
        </w:rPr>
        <w:lastRenderedPageBreak/>
        <w:t>foods and 6 nutrients). These dietary indicators are included in the Global Burden of Diseases (GBD), a worldwide observational epidemiological study. Key research papers based on the analysis of GBD data are published each year in a special issue of The Lancet</w:t>
      </w:r>
      <w:r w:rsidRPr="0001372C">
        <w:rPr>
          <w:rFonts w:ascii="Times New Roman" w:hAnsi="Times New Roman" w:cs="Times New Roman"/>
          <w:color w:val="333333"/>
          <w:spacing w:val="5"/>
          <w:sz w:val="28"/>
          <w:szCs w:val="28"/>
          <w:shd w:val="clear" w:color="auto" w:fill="FFFFFF"/>
        </w:rPr>
        <w:t xml:space="preserve"> (</w:t>
      </w:r>
      <w:hyperlink r:id="rId29" w:history="1">
        <w:r w:rsidRPr="0001372C">
          <w:rPr>
            <w:rStyle w:val="Hyperlink"/>
            <w:rFonts w:ascii="Times New Roman" w:hAnsi="Times New Roman" w:cs="Times New Roman"/>
            <w:spacing w:val="5"/>
            <w:sz w:val="28"/>
            <w:szCs w:val="28"/>
            <w:shd w:val="clear" w:color="auto" w:fill="FFFFFF"/>
          </w:rPr>
          <w:t>https://www.thelancet.com/gbd/about</w:t>
        </w:r>
      </w:hyperlink>
      <w:r w:rsidRPr="0001372C">
        <w:rPr>
          <w:rFonts w:ascii="Times New Roman" w:hAnsi="Times New Roman" w:cs="Times New Roman"/>
          <w:color w:val="333333"/>
          <w:spacing w:val="5"/>
          <w:sz w:val="28"/>
          <w:szCs w:val="28"/>
          <w:shd w:val="clear" w:color="auto" w:fill="FFFFFF"/>
        </w:rPr>
        <w:t xml:space="preserve">). </w:t>
      </w:r>
    </w:p>
    <w:p w14:paraId="5C830572" w14:textId="20D443DE" w:rsidR="00E8513A" w:rsidRPr="0001372C" w:rsidRDefault="00E8513A" w:rsidP="00E8513A">
      <w:pPr>
        <w:pStyle w:val="PlainText"/>
        <w:rPr>
          <w:rFonts w:ascii="Times New Roman" w:hAnsi="Times New Roman" w:cs="Times New Roman"/>
          <w:sz w:val="28"/>
          <w:szCs w:val="28"/>
        </w:rPr>
      </w:pPr>
    </w:p>
    <w:p w14:paraId="0A3C5CEA" w14:textId="2AFD4537" w:rsidR="009B05CD" w:rsidRPr="0001372C" w:rsidRDefault="00A12802" w:rsidP="00E8513A">
      <w:pPr>
        <w:pStyle w:val="PlainText"/>
        <w:rPr>
          <w:rFonts w:ascii="Times New Roman" w:hAnsi="Times New Roman" w:cs="Times New Roman"/>
          <w:b/>
          <w:bCs/>
          <w:sz w:val="28"/>
          <w:szCs w:val="28"/>
        </w:rPr>
      </w:pPr>
      <w:r w:rsidRPr="0001372C">
        <w:rPr>
          <w:rFonts w:ascii="Times New Roman" w:hAnsi="Times New Roman" w:cs="Times New Roman"/>
          <w:b/>
          <w:bCs/>
          <w:sz w:val="28"/>
          <w:szCs w:val="28"/>
        </w:rPr>
        <w:t>Conclusion</w:t>
      </w:r>
    </w:p>
    <w:p w14:paraId="515509E0" w14:textId="77777777" w:rsidR="00A12802" w:rsidRPr="0001372C" w:rsidRDefault="00A12802" w:rsidP="00E8513A">
      <w:pPr>
        <w:pStyle w:val="PlainText"/>
        <w:rPr>
          <w:rFonts w:ascii="Times New Roman" w:hAnsi="Times New Roman" w:cs="Times New Roman"/>
          <w:sz w:val="28"/>
          <w:szCs w:val="28"/>
        </w:rPr>
      </w:pPr>
    </w:p>
    <w:p w14:paraId="0EE4BF28" w14:textId="1E6CBE9F" w:rsidR="00650D5F" w:rsidRPr="0001372C" w:rsidRDefault="009B05CD" w:rsidP="00E8513A">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In conclusion, the assessment of food </w:t>
      </w:r>
      <w:r w:rsidR="004D08B3" w:rsidRPr="0001372C">
        <w:rPr>
          <w:rFonts w:ascii="Times New Roman" w:hAnsi="Times New Roman" w:cs="Times New Roman"/>
          <w:sz w:val="28"/>
          <w:szCs w:val="28"/>
        </w:rPr>
        <w:t xml:space="preserve">available </w:t>
      </w:r>
      <w:r w:rsidR="00190022" w:rsidRPr="0001372C">
        <w:rPr>
          <w:rFonts w:ascii="Times New Roman" w:hAnsi="Times New Roman" w:cs="Times New Roman"/>
          <w:sz w:val="28"/>
          <w:szCs w:val="28"/>
        </w:rPr>
        <w:t xml:space="preserve">for </w:t>
      </w:r>
      <w:r w:rsidRPr="0001372C">
        <w:rPr>
          <w:rFonts w:ascii="Times New Roman" w:hAnsi="Times New Roman" w:cs="Times New Roman"/>
          <w:sz w:val="28"/>
          <w:szCs w:val="28"/>
        </w:rPr>
        <w:t>consumption through household and national surveys provides key information for the global monitoring of food security</w:t>
      </w:r>
      <w:r w:rsidR="004D08B3" w:rsidRPr="0001372C">
        <w:rPr>
          <w:rFonts w:ascii="Times New Roman" w:hAnsi="Times New Roman" w:cs="Times New Roman"/>
          <w:sz w:val="28"/>
          <w:szCs w:val="28"/>
        </w:rPr>
        <w:t xml:space="preserve">. They are less expensive than individual food consumption surveys and can therefore be performed more frequently. </w:t>
      </w:r>
    </w:p>
    <w:p w14:paraId="32BB1D6B" w14:textId="77777777" w:rsidR="00650D5F" w:rsidRPr="0001372C" w:rsidRDefault="00650D5F" w:rsidP="00E8513A">
      <w:pPr>
        <w:pStyle w:val="PlainText"/>
        <w:jc w:val="both"/>
        <w:rPr>
          <w:rFonts w:ascii="Times New Roman" w:hAnsi="Times New Roman" w:cs="Times New Roman"/>
          <w:sz w:val="28"/>
          <w:szCs w:val="28"/>
        </w:rPr>
      </w:pPr>
    </w:p>
    <w:p w14:paraId="045AC79A" w14:textId="77777777" w:rsidR="00190022" w:rsidRPr="0001372C" w:rsidRDefault="004B2838" w:rsidP="00E8513A">
      <w:pPr>
        <w:pStyle w:val="PlainText"/>
        <w:jc w:val="both"/>
        <w:rPr>
          <w:rFonts w:ascii="Times New Roman" w:hAnsi="Times New Roman" w:cs="Times New Roman"/>
          <w:sz w:val="28"/>
          <w:szCs w:val="28"/>
        </w:rPr>
      </w:pPr>
      <w:r w:rsidRPr="0001372C">
        <w:rPr>
          <w:rFonts w:ascii="Times New Roman" w:hAnsi="Times New Roman" w:cs="Times New Roman"/>
          <w:sz w:val="28"/>
          <w:szCs w:val="28"/>
        </w:rPr>
        <w:t>Conversely, t</w:t>
      </w:r>
      <w:r w:rsidR="004D08B3" w:rsidRPr="0001372C">
        <w:rPr>
          <w:rFonts w:ascii="Times New Roman" w:hAnsi="Times New Roman" w:cs="Times New Roman"/>
          <w:sz w:val="28"/>
          <w:szCs w:val="28"/>
        </w:rPr>
        <w:t xml:space="preserve">hey are not fit to assess individual food consumption and, consequently, to assess nutrient adequacy of the diet. </w:t>
      </w:r>
    </w:p>
    <w:p w14:paraId="13010EB5" w14:textId="77777777" w:rsidR="00190022" w:rsidRPr="0001372C" w:rsidRDefault="00190022" w:rsidP="00E8513A">
      <w:pPr>
        <w:pStyle w:val="PlainText"/>
        <w:jc w:val="both"/>
        <w:rPr>
          <w:rFonts w:ascii="Times New Roman" w:hAnsi="Times New Roman" w:cs="Times New Roman"/>
          <w:sz w:val="28"/>
          <w:szCs w:val="28"/>
        </w:rPr>
      </w:pPr>
    </w:p>
    <w:p w14:paraId="4BCEEEC3" w14:textId="5C6AE14A" w:rsidR="004B2838" w:rsidRPr="0001372C" w:rsidRDefault="004D08B3" w:rsidP="00E8513A">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National, </w:t>
      </w:r>
      <w:proofErr w:type="gramStart"/>
      <w:r w:rsidRPr="0001372C">
        <w:rPr>
          <w:rFonts w:ascii="Times New Roman" w:hAnsi="Times New Roman" w:cs="Times New Roman"/>
          <w:sz w:val="28"/>
          <w:szCs w:val="28"/>
        </w:rPr>
        <w:t>household</w:t>
      </w:r>
      <w:proofErr w:type="gramEnd"/>
      <w:r w:rsidRPr="0001372C">
        <w:rPr>
          <w:rFonts w:ascii="Times New Roman" w:hAnsi="Times New Roman" w:cs="Times New Roman"/>
          <w:sz w:val="28"/>
          <w:szCs w:val="28"/>
        </w:rPr>
        <w:t xml:space="preserve"> and individual surveys are </w:t>
      </w:r>
      <w:r w:rsidR="00190022" w:rsidRPr="0001372C">
        <w:rPr>
          <w:rFonts w:ascii="Times New Roman" w:hAnsi="Times New Roman" w:cs="Times New Roman"/>
          <w:sz w:val="28"/>
          <w:szCs w:val="28"/>
        </w:rPr>
        <w:t xml:space="preserve">thus </w:t>
      </w:r>
      <w:r w:rsidRPr="0001372C">
        <w:rPr>
          <w:rFonts w:ascii="Times New Roman" w:hAnsi="Times New Roman" w:cs="Times New Roman"/>
          <w:sz w:val="28"/>
          <w:szCs w:val="28"/>
        </w:rPr>
        <w:t>complementary.</w:t>
      </w:r>
      <w:r w:rsidR="005F0AB9">
        <w:rPr>
          <w:rFonts w:ascii="Times New Roman" w:hAnsi="Times New Roman" w:cs="Times New Roman"/>
          <w:sz w:val="28"/>
          <w:szCs w:val="28"/>
        </w:rPr>
        <w:t xml:space="preserve"> </w:t>
      </w:r>
      <w:r w:rsidRPr="0001372C">
        <w:rPr>
          <w:rFonts w:ascii="Times New Roman" w:hAnsi="Times New Roman" w:cs="Times New Roman"/>
          <w:sz w:val="28"/>
          <w:szCs w:val="28"/>
        </w:rPr>
        <w:t xml:space="preserve">Efforts </w:t>
      </w:r>
      <w:r w:rsidR="004B2838" w:rsidRPr="0001372C">
        <w:rPr>
          <w:rFonts w:ascii="Times New Roman" w:hAnsi="Times New Roman" w:cs="Times New Roman"/>
          <w:sz w:val="28"/>
          <w:szCs w:val="28"/>
        </w:rPr>
        <w:t xml:space="preserve">to take full advantage of </w:t>
      </w:r>
      <w:r w:rsidRPr="0001372C">
        <w:rPr>
          <w:rFonts w:ascii="Times New Roman" w:hAnsi="Times New Roman" w:cs="Times New Roman"/>
          <w:sz w:val="28"/>
          <w:szCs w:val="28"/>
        </w:rPr>
        <w:t xml:space="preserve">this complementarity should be encouraged </w:t>
      </w:r>
      <w:r w:rsidR="004B2838" w:rsidRPr="0001372C">
        <w:rPr>
          <w:rFonts w:ascii="Times New Roman" w:hAnsi="Times New Roman" w:cs="Times New Roman"/>
          <w:sz w:val="28"/>
          <w:szCs w:val="28"/>
        </w:rPr>
        <w:t>s</w:t>
      </w:r>
      <w:r w:rsidRPr="0001372C">
        <w:rPr>
          <w:rFonts w:ascii="Times New Roman" w:hAnsi="Times New Roman" w:cs="Times New Roman"/>
          <w:sz w:val="28"/>
          <w:szCs w:val="28"/>
        </w:rPr>
        <w:t xml:space="preserve">o that better data are available to monitor </w:t>
      </w:r>
      <w:r w:rsidR="004B2838" w:rsidRPr="0001372C">
        <w:rPr>
          <w:rFonts w:ascii="Times New Roman" w:hAnsi="Times New Roman" w:cs="Times New Roman"/>
          <w:sz w:val="28"/>
          <w:szCs w:val="28"/>
        </w:rPr>
        <w:t xml:space="preserve">the adequacy of diets. Indeed, better data on what people eat is a key requirement for better policies. </w:t>
      </w:r>
    </w:p>
    <w:p w14:paraId="25A321E2" w14:textId="7E57B3BD" w:rsidR="009B05CD" w:rsidRPr="0001372C" w:rsidRDefault="009B05CD" w:rsidP="00E8513A">
      <w:pPr>
        <w:pStyle w:val="PlainText"/>
        <w:jc w:val="both"/>
        <w:rPr>
          <w:rFonts w:ascii="Times New Roman" w:hAnsi="Times New Roman" w:cs="Times New Roman"/>
          <w:sz w:val="28"/>
          <w:szCs w:val="28"/>
        </w:rPr>
      </w:pPr>
    </w:p>
    <w:p w14:paraId="0597554C" w14:textId="77777777" w:rsidR="009B05CD" w:rsidRPr="0001372C" w:rsidRDefault="009B05CD" w:rsidP="00E8513A">
      <w:pPr>
        <w:pStyle w:val="PlainText"/>
        <w:jc w:val="both"/>
        <w:rPr>
          <w:rFonts w:ascii="Times New Roman" w:hAnsi="Times New Roman" w:cs="Times New Roman"/>
          <w:sz w:val="28"/>
          <w:szCs w:val="28"/>
        </w:rPr>
      </w:pPr>
    </w:p>
    <w:p w14:paraId="6615FF9E" w14:textId="4AED2AD4" w:rsidR="005F5D0E" w:rsidRDefault="005F5D0E" w:rsidP="005F5D0E">
      <w:pPr>
        <w:pStyle w:val="PlainText"/>
        <w:rPr>
          <w:rFonts w:ascii="Times New Roman" w:hAnsi="Times New Roman" w:cs="Times New Roman"/>
          <w:b/>
          <w:bCs/>
          <w:sz w:val="28"/>
          <w:szCs w:val="28"/>
        </w:rPr>
      </w:pPr>
      <w:r w:rsidRPr="0001372C">
        <w:rPr>
          <w:rFonts w:ascii="Times New Roman" w:hAnsi="Times New Roman" w:cs="Times New Roman"/>
          <w:b/>
          <w:bCs/>
          <w:sz w:val="28"/>
          <w:szCs w:val="28"/>
        </w:rPr>
        <w:t>Summary</w:t>
      </w:r>
    </w:p>
    <w:p w14:paraId="6069082B" w14:textId="6AD5C835" w:rsidR="00455277" w:rsidRDefault="00455277" w:rsidP="005F5D0E">
      <w:pPr>
        <w:pStyle w:val="PlainText"/>
        <w:rPr>
          <w:rFonts w:ascii="Times New Roman" w:hAnsi="Times New Roman" w:cs="Times New Roman"/>
          <w:b/>
          <w:bCs/>
          <w:sz w:val="28"/>
          <w:szCs w:val="28"/>
        </w:rPr>
      </w:pPr>
    </w:p>
    <w:p w14:paraId="410EEABE" w14:textId="398ED9E0" w:rsidR="00455277" w:rsidRPr="00FB3E3C" w:rsidRDefault="00455277" w:rsidP="00455277">
      <w:pPr>
        <w:pStyle w:val="PlainText"/>
        <w:jc w:val="both"/>
        <w:rPr>
          <w:rFonts w:ascii="Times New Roman" w:hAnsi="Times New Roman" w:cs="Times New Roman"/>
          <w:sz w:val="28"/>
          <w:szCs w:val="28"/>
        </w:rPr>
      </w:pPr>
      <w:r w:rsidRPr="00FB3E3C">
        <w:rPr>
          <w:rFonts w:ascii="Times New Roman" w:hAnsi="Times New Roman" w:cs="Times New Roman"/>
          <w:sz w:val="28"/>
          <w:szCs w:val="28"/>
        </w:rPr>
        <w:t>The present chapter illustrates how National Food Balance Sheets (FBSs</w:t>
      </w:r>
      <w:proofErr w:type="gramStart"/>
      <w:r w:rsidRPr="00FB3E3C">
        <w:rPr>
          <w:rFonts w:ascii="Times New Roman" w:hAnsi="Times New Roman" w:cs="Times New Roman"/>
          <w:sz w:val="28"/>
          <w:szCs w:val="28"/>
        </w:rPr>
        <w:t>)</w:t>
      </w:r>
      <w:proofErr w:type="gramEnd"/>
      <w:r w:rsidRPr="00FB3E3C">
        <w:rPr>
          <w:rFonts w:ascii="Times New Roman" w:hAnsi="Times New Roman" w:cs="Times New Roman"/>
          <w:sz w:val="28"/>
          <w:szCs w:val="28"/>
        </w:rPr>
        <w:t xml:space="preserve"> and Household Surveys </w:t>
      </w:r>
      <w:r w:rsidR="009841C7" w:rsidRPr="00FB3E3C">
        <w:rPr>
          <w:rFonts w:ascii="Times New Roman" w:hAnsi="Times New Roman" w:cs="Times New Roman"/>
          <w:sz w:val="28"/>
          <w:szCs w:val="28"/>
        </w:rPr>
        <w:t>all</w:t>
      </w:r>
      <w:r w:rsidRPr="00FB3E3C">
        <w:rPr>
          <w:rFonts w:ascii="Times New Roman" w:hAnsi="Times New Roman" w:cs="Times New Roman"/>
          <w:sz w:val="28"/>
          <w:szCs w:val="28"/>
        </w:rPr>
        <w:t xml:space="preserve">ow a quantitative assessment of food available for consumption at national and household levels respectively. Data are expressed as per capita food supply for human consumption and can be used to estimate per capita food intakes and, through matching with food composition data, per capita </w:t>
      </w:r>
      <w:proofErr w:type="gramStart"/>
      <w:r w:rsidRPr="00FB3E3C">
        <w:rPr>
          <w:rFonts w:ascii="Times New Roman" w:hAnsi="Times New Roman" w:cs="Times New Roman"/>
          <w:sz w:val="28"/>
          <w:szCs w:val="28"/>
        </w:rPr>
        <w:t>energy</w:t>
      </w:r>
      <w:proofErr w:type="gramEnd"/>
      <w:r w:rsidRPr="00FB3E3C">
        <w:rPr>
          <w:rFonts w:ascii="Times New Roman" w:hAnsi="Times New Roman" w:cs="Times New Roman"/>
          <w:sz w:val="28"/>
          <w:szCs w:val="28"/>
        </w:rPr>
        <w:t xml:space="preserve"> and nutrient intakes. </w:t>
      </w:r>
    </w:p>
    <w:p w14:paraId="7450632C" w14:textId="77777777" w:rsidR="00455277" w:rsidRPr="00FB3E3C" w:rsidRDefault="00455277" w:rsidP="00455277">
      <w:pPr>
        <w:pStyle w:val="PlainText"/>
        <w:jc w:val="both"/>
        <w:rPr>
          <w:rFonts w:ascii="Times New Roman" w:hAnsi="Times New Roman" w:cs="Times New Roman"/>
          <w:sz w:val="28"/>
          <w:szCs w:val="28"/>
        </w:rPr>
      </w:pPr>
    </w:p>
    <w:p w14:paraId="0A759B7F" w14:textId="0D8CEE4D" w:rsidR="00455277" w:rsidRPr="00FB3E3C" w:rsidRDefault="009841C7" w:rsidP="00455277">
      <w:pPr>
        <w:pStyle w:val="PlainText"/>
        <w:jc w:val="both"/>
        <w:rPr>
          <w:rFonts w:ascii="Times New Roman" w:hAnsi="Times New Roman" w:cs="Times New Roman"/>
          <w:sz w:val="28"/>
          <w:szCs w:val="28"/>
        </w:rPr>
      </w:pPr>
      <w:r w:rsidRPr="00FB3E3C">
        <w:rPr>
          <w:rFonts w:ascii="Times New Roman" w:hAnsi="Times New Roman" w:cs="Times New Roman"/>
          <w:sz w:val="28"/>
          <w:szCs w:val="28"/>
        </w:rPr>
        <w:t xml:space="preserve">Food Balance Sheets are </w:t>
      </w:r>
      <w:r w:rsidR="00455277" w:rsidRPr="00FB3E3C">
        <w:rPr>
          <w:rFonts w:ascii="Times New Roman" w:hAnsi="Times New Roman" w:cs="Times New Roman"/>
          <w:sz w:val="28"/>
          <w:szCs w:val="28"/>
        </w:rPr>
        <w:t>calculated from national food production plus imports plus food taken from stocks. Exports and food added to stocks are then subtracted, to obtain an estimate of gross country’s food supply. The estimate of food diverted for non-human uses (</w:t>
      </w:r>
      <w:proofErr w:type="gramStart"/>
      <w:r w:rsidR="00455277" w:rsidRPr="00FB3E3C">
        <w:rPr>
          <w:rFonts w:ascii="Times New Roman" w:hAnsi="Times New Roman" w:cs="Times New Roman"/>
          <w:sz w:val="28"/>
          <w:szCs w:val="28"/>
        </w:rPr>
        <w:t>e.g.</w:t>
      </w:r>
      <w:proofErr w:type="gramEnd"/>
      <w:r w:rsidR="00455277" w:rsidRPr="00FB3E3C">
        <w:rPr>
          <w:rFonts w:ascii="Times New Roman" w:hAnsi="Times New Roman" w:cs="Times New Roman"/>
          <w:sz w:val="28"/>
          <w:szCs w:val="28"/>
        </w:rPr>
        <w:t xml:space="preserve"> animal feed, seed, non-food use) and of food loss up to retail level are subtracted from the gross country’s food supply to obtain the net country’s food supply (i.e. total food available for human consumption in a country at the retail level).</w:t>
      </w:r>
      <w:r w:rsidRPr="00FB3E3C">
        <w:rPr>
          <w:rFonts w:ascii="Times New Roman" w:hAnsi="Times New Roman" w:cs="Times New Roman"/>
          <w:sz w:val="28"/>
          <w:szCs w:val="28"/>
        </w:rPr>
        <w:t xml:space="preserve"> </w:t>
      </w:r>
      <w:r w:rsidR="00455277" w:rsidRPr="00FB3E3C">
        <w:rPr>
          <w:rFonts w:ascii="Times New Roman" w:hAnsi="Times New Roman" w:cs="Times New Roman"/>
          <w:sz w:val="28"/>
          <w:szCs w:val="28"/>
        </w:rPr>
        <w:t xml:space="preserve">FBSs are particularly precious for low-income countries where household food consumption surveys and individual food consumption surveys are not performed regularly on a representative sample of the population. </w:t>
      </w:r>
      <w:r w:rsidRPr="00FB3E3C">
        <w:rPr>
          <w:rFonts w:ascii="Times New Roman" w:hAnsi="Times New Roman" w:cs="Times New Roman"/>
          <w:sz w:val="28"/>
          <w:szCs w:val="28"/>
        </w:rPr>
        <w:t xml:space="preserve">Food Balance Sheets provide no information on its distribution within the countries (in terms of </w:t>
      </w:r>
      <w:r w:rsidRPr="00FB3E3C">
        <w:rPr>
          <w:rFonts w:ascii="Times New Roman" w:hAnsi="Times New Roman" w:cs="Times New Roman"/>
          <w:sz w:val="28"/>
          <w:szCs w:val="28"/>
        </w:rPr>
        <w:lastRenderedPageBreak/>
        <w:t>geographical areas or socio-economic groups) and on its distribution according to seasons.</w:t>
      </w:r>
      <w:r w:rsidR="007B41C6" w:rsidRPr="00FB3E3C">
        <w:rPr>
          <w:rFonts w:ascii="Times New Roman" w:hAnsi="Times New Roman" w:cs="Times New Roman"/>
          <w:sz w:val="28"/>
          <w:szCs w:val="28"/>
        </w:rPr>
        <w:t xml:space="preserve"> The methodology to assess FBSs has recently been modified.</w:t>
      </w:r>
    </w:p>
    <w:p w14:paraId="5A8C16B2" w14:textId="77777777" w:rsidR="00455277" w:rsidRPr="00FB3E3C" w:rsidRDefault="00455277" w:rsidP="00455277">
      <w:pPr>
        <w:pStyle w:val="PlainText"/>
        <w:jc w:val="both"/>
        <w:rPr>
          <w:rFonts w:ascii="Times New Roman" w:hAnsi="Times New Roman" w:cs="Times New Roman"/>
          <w:sz w:val="28"/>
          <w:szCs w:val="28"/>
        </w:rPr>
      </w:pPr>
    </w:p>
    <w:p w14:paraId="4D7E2F58" w14:textId="0B49DA13" w:rsidR="00CE5608" w:rsidRPr="00FB3E3C" w:rsidRDefault="00455277" w:rsidP="007B41C6">
      <w:pPr>
        <w:spacing w:after="0" w:line="240" w:lineRule="auto"/>
        <w:jc w:val="both"/>
        <w:rPr>
          <w:rFonts w:ascii="Times New Roman" w:hAnsi="Times New Roman" w:cs="Times New Roman"/>
          <w:sz w:val="28"/>
          <w:szCs w:val="28"/>
        </w:rPr>
      </w:pPr>
      <w:r w:rsidRPr="00FB3E3C">
        <w:rPr>
          <w:rFonts w:ascii="Times New Roman" w:hAnsi="Times New Roman" w:cs="Times New Roman"/>
          <w:sz w:val="28"/>
          <w:szCs w:val="28"/>
        </w:rPr>
        <w:t xml:space="preserve">On the contrary, household </w:t>
      </w:r>
      <w:r w:rsidR="007B41C6" w:rsidRPr="00FB3E3C">
        <w:rPr>
          <w:rFonts w:ascii="Times New Roman" w:hAnsi="Times New Roman" w:cs="Times New Roman"/>
          <w:sz w:val="28"/>
          <w:szCs w:val="28"/>
        </w:rPr>
        <w:t xml:space="preserve">surveys </w:t>
      </w:r>
      <w:r w:rsidRPr="00FB3E3C">
        <w:rPr>
          <w:rFonts w:ascii="Times New Roman" w:hAnsi="Times New Roman" w:cs="Times New Roman"/>
          <w:sz w:val="28"/>
          <w:szCs w:val="28"/>
        </w:rPr>
        <w:t>may provide information on its distribution within the countries (in terms of geographical areas or socio-economic groups) and on its distribution according to seasons.</w:t>
      </w:r>
      <w:r w:rsidR="007B41C6" w:rsidRPr="00FB3E3C">
        <w:rPr>
          <w:rFonts w:ascii="Times New Roman" w:hAnsi="Times New Roman" w:cs="Times New Roman"/>
          <w:sz w:val="28"/>
          <w:szCs w:val="28"/>
        </w:rPr>
        <w:t xml:space="preserve"> </w:t>
      </w:r>
      <w:r w:rsidR="00CE5608" w:rsidRPr="00FB3E3C">
        <w:rPr>
          <w:rFonts w:ascii="Times New Roman" w:hAnsi="Times New Roman" w:cs="Times New Roman"/>
          <w:sz w:val="28"/>
          <w:szCs w:val="28"/>
        </w:rPr>
        <w:t xml:space="preserve">Household food consumption is the food and beverages available for consumption by the household, family group, or institution. It is defined as the total amount of food and beverages available for consumption in the household or prepared and consumed outside the household. </w:t>
      </w:r>
    </w:p>
    <w:p w14:paraId="6B8613EC" w14:textId="2F9453EC" w:rsidR="007B41C6" w:rsidRPr="00FB3E3C" w:rsidRDefault="00CE5608" w:rsidP="007B41C6">
      <w:pPr>
        <w:spacing w:after="0" w:line="240" w:lineRule="auto"/>
        <w:jc w:val="both"/>
        <w:rPr>
          <w:rFonts w:ascii="Times New Roman" w:hAnsi="Times New Roman" w:cs="Times New Roman"/>
          <w:sz w:val="28"/>
          <w:szCs w:val="28"/>
        </w:rPr>
      </w:pPr>
      <w:r w:rsidRPr="00FB3E3C">
        <w:rPr>
          <w:rFonts w:ascii="Times New Roman" w:hAnsi="Times New Roman" w:cs="Times New Roman"/>
          <w:sz w:val="28"/>
          <w:szCs w:val="28"/>
        </w:rPr>
        <w:t xml:space="preserve">Household surveys are of two types, surveys where </w:t>
      </w:r>
      <w:r w:rsidRPr="00FB3E3C">
        <w:rPr>
          <w:rFonts w:ascii="Times New Roman" w:hAnsi="Times New Roman" w:cs="Times New Roman"/>
          <w:i/>
          <w:iCs/>
          <w:sz w:val="28"/>
          <w:szCs w:val="28"/>
        </w:rPr>
        <w:t>food consumption</w:t>
      </w:r>
      <w:r w:rsidRPr="00FB3E3C">
        <w:rPr>
          <w:rFonts w:ascii="Times New Roman" w:hAnsi="Times New Roman" w:cs="Times New Roman"/>
          <w:sz w:val="28"/>
          <w:szCs w:val="28"/>
        </w:rPr>
        <w:t xml:space="preserve"> is measured (Household Food Consumption Surveys – HFCS) and those more widely used in low- and middle-income economies to inform on global food security and poverty where </w:t>
      </w:r>
      <w:r w:rsidRPr="00FB3E3C">
        <w:rPr>
          <w:rFonts w:ascii="Times New Roman" w:hAnsi="Times New Roman" w:cs="Times New Roman"/>
          <w:i/>
          <w:iCs/>
          <w:sz w:val="28"/>
          <w:szCs w:val="28"/>
        </w:rPr>
        <w:t>food available for consumption</w:t>
      </w:r>
      <w:r w:rsidRPr="00FB3E3C">
        <w:rPr>
          <w:rFonts w:ascii="Times New Roman" w:hAnsi="Times New Roman" w:cs="Times New Roman"/>
          <w:sz w:val="28"/>
          <w:szCs w:val="28"/>
        </w:rPr>
        <w:t xml:space="preserve"> is measured (Household Consumption and Expenditure Surveys – HCES).</w:t>
      </w:r>
      <w:r w:rsidR="007B41C6" w:rsidRPr="00FB3E3C">
        <w:rPr>
          <w:rFonts w:ascii="Times New Roman" w:hAnsi="Times New Roman" w:cs="Times New Roman"/>
          <w:sz w:val="28"/>
          <w:szCs w:val="28"/>
        </w:rPr>
        <w:t xml:space="preserve"> Efforts have recently been made to improve and harmonize household surveys.</w:t>
      </w:r>
    </w:p>
    <w:p w14:paraId="4B95BCE5" w14:textId="77777777" w:rsidR="00455277" w:rsidRPr="00FB3E3C" w:rsidRDefault="00455277" w:rsidP="00455277">
      <w:pPr>
        <w:spacing w:after="0" w:line="240" w:lineRule="auto"/>
        <w:jc w:val="both"/>
        <w:rPr>
          <w:rFonts w:ascii="Times New Roman" w:hAnsi="Times New Roman" w:cs="Times New Roman"/>
          <w:sz w:val="28"/>
          <w:szCs w:val="28"/>
        </w:rPr>
      </w:pPr>
    </w:p>
    <w:p w14:paraId="4A7C7E13" w14:textId="2992E3FE" w:rsidR="00455277" w:rsidRPr="00FB3E3C" w:rsidRDefault="00455277" w:rsidP="00455277">
      <w:pPr>
        <w:spacing w:after="0" w:line="240" w:lineRule="auto"/>
        <w:jc w:val="both"/>
        <w:rPr>
          <w:rFonts w:ascii="Times New Roman" w:hAnsi="Times New Roman" w:cs="Times New Roman"/>
          <w:sz w:val="28"/>
          <w:szCs w:val="28"/>
        </w:rPr>
      </w:pPr>
      <w:r w:rsidRPr="00FB3E3C">
        <w:rPr>
          <w:rFonts w:ascii="Times New Roman" w:hAnsi="Times New Roman" w:cs="Times New Roman"/>
          <w:sz w:val="28"/>
          <w:szCs w:val="28"/>
        </w:rPr>
        <w:t xml:space="preserve">Prevalence of Undernourishment (PoU) </w:t>
      </w:r>
      <w:r w:rsidR="007B41C6" w:rsidRPr="00FB3E3C">
        <w:rPr>
          <w:rFonts w:ascii="Times New Roman" w:hAnsi="Times New Roman" w:cs="Times New Roman"/>
          <w:sz w:val="28"/>
          <w:szCs w:val="28"/>
        </w:rPr>
        <w:t>at national level is based on FBSs, making use of HBS.</w:t>
      </w:r>
      <w:r w:rsidRPr="00FB3E3C">
        <w:rPr>
          <w:rFonts w:ascii="Times New Roman" w:hAnsi="Times New Roman" w:cs="Times New Roman"/>
          <w:sz w:val="28"/>
          <w:szCs w:val="28"/>
        </w:rPr>
        <w:t xml:space="preserve"> </w:t>
      </w:r>
      <w:r w:rsidR="007B41C6" w:rsidRPr="00FB3E3C">
        <w:rPr>
          <w:rFonts w:ascii="Times New Roman" w:hAnsi="Times New Roman" w:cs="Times New Roman"/>
          <w:sz w:val="28"/>
          <w:szCs w:val="28"/>
        </w:rPr>
        <w:t>It is a key indicator to assess food insecurity at global level.</w:t>
      </w:r>
    </w:p>
    <w:p w14:paraId="24FD736C" w14:textId="77777777" w:rsidR="00455277" w:rsidRPr="00FB3E3C" w:rsidRDefault="00455277" w:rsidP="00455277">
      <w:pPr>
        <w:spacing w:after="0" w:line="240" w:lineRule="auto"/>
        <w:jc w:val="both"/>
        <w:rPr>
          <w:rFonts w:ascii="Times New Roman" w:hAnsi="Times New Roman" w:cs="Times New Roman"/>
          <w:sz w:val="28"/>
          <w:szCs w:val="28"/>
        </w:rPr>
      </w:pPr>
    </w:p>
    <w:p w14:paraId="17E4C8EB" w14:textId="77777777" w:rsidR="00455277" w:rsidRDefault="00455277" w:rsidP="00455277">
      <w:pPr>
        <w:spacing w:after="0" w:line="240" w:lineRule="auto"/>
        <w:jc w:val="both"/>
        <w:rPr>
          <w:rFonts w:ascii="Times New Roman" w:eastAsia="Times New Roman" w:hAnsi="Times New Roman" w:cs="Times New Roman"/>
          <w:sz w:val="24"/>
          <w:szCs w:val="24"/>
          <w:lang w:eastAsia="it-IT"/>
        </w:rPr>
      </w:pPr>
      <w:r w:rsidRPr="00FB3E3C">
        <w:rPr>
          <w:rFonts w:ascii="Times New Roman" w:hAnsi="Times New Roman" w:cs="Times New Roman"/>
          <w:sz w:val="28"/>
          <w:szCs w:val="28"/>
        </w:rPr>
        <w:t xml:space="preserve">National and Household surveys provide no information on the availability of food/nutrients according to age, </w:t>
      </w:r>
      <w:proofErr w:type="gramStart"/>
      <w:r w:rsidRPr="00FB3E3C">
        <w:rPr>
          <w:rFonts w:ascii="Times New Roman" w:hAnsi="Times New Roman" w:cs="Times New Roman"/>
          <w:sz w:val="28"/>
          <w:szCs w:val="28"/>
        </w:rPr>
        <w:t>sex</w:t>
      </w:r>
      <w:proofErr w:type="gramEnd"/>
      <w:r w:rsidRPr="00FB3E3C">
        <w:rPr>
          <w:rFonts w:ascii="Times New Roman" w:hAnsi="Times New Roman" w:cs="Times New Roman"/>
          <w:sz w:val="28"/>
          <w:szCs w:val="28"/>
        </w:rPr>
        <w:t xml:space="preserve"> and physiological status. Interpreting data collected through such surveys in terms of nutritional adequacy of the diet without complementing them with data collected at individual level is highly uncertain.</w:t>
      </w:r>
      <w:r>
        <w:rPr>
          <w:rFonts w:ascii="Times New Roman" w:hAnsi="Times New Roman" w:cs="Times New Roman"/>
          <w:sz w:val="28"/>
          <w:szCs w:val="28"/>
        </w:rPr>
        <w:t xml:space="preserve"> </w:t>
      </w:r>
    </w:p>
    <w:p w14:paraId="3EFC989E" w14:textId="77777777" w:rsidR="00455277" w:rsidRDefault="00455277" w:rsidP="00455277">
      <w:pPr>
        <w:spacing w:after="0" w:line="240" w:lineRule="auto"/>
        <w:rPr>
          <w:rFonts w:ascii="Times New Roman" w:eastAsia="Times New Roman" w:hAnsi="Times New Roman" w:cs="Times New Roman"/>
          <w:sz w:val="24"/>
          <w:szCs w:val="24"/>
          <w:lang w:eastAsia="it-IT"/>
        </w:rPr>
      </w:pPr>
    </w:p>
    <w:p w14:paraId="79652B44" w14:textId="77777777" w:rsidR="007F0CAA" w:rsidRPr="0001372C" w:rsidRDefault="007F0CAA" w:rsidP="00AE4358">
      <w:pPr>
        <w:pStyle w:val="PlainText"/>
        <w:rPr>
          <w:rFonts w:ascii="Times New Roman" w:hAnsi="Times New Roman" w:cs="Times New Roman"/>
          <w:sz w:val="28"/>
          <w:szCs w:val="28"/>
        </w:rPr>
      </w:pPr>
    </w:p>
    <w:p w14:paraId="51433572" w14:textId="4F828754" w:rsidR="00AE4358" w:rsidRPr="0001372C" w:rsidRDefault="00AE4358" w:rsidP="00AE4358">
      <w:pPr>
        <w:pStyle w:val="PlainText"/>
        <w:rPr>
          <w:rFonts w:ascii="Times New Roman" w:hAnsi="Times New Roman" w:cs="Times New Roman"/>
          <w:b/>
          <w:bCs/>
          <w:sz w:val="28"/>
          <w:szCs w:val="28"/>
        </w:rPr>
      </w:pPr>
      <w:r w:rsidRPr="0001372C">
        <w:rPr>
          <w:rFonts w:ascii="Times New Roman" w:hAnsi="Times New Roman" w:cs="Times New Roman"/>
          <w:b/>
          <w:bCs/>
          <w:sz w:val="28"/>
          <w:szCs w:val="28"/>
        </w:rPr>
        <w:t>References</w:t>
      </w:r>
    </w:p>
    <w:p w14:paraId="1A664589" w14:textId="164179C1" w:rsidR="00AE4358" w:rsidRPr="0001372C" w:rsidRDefault="00AE4358" w:rsidP="00AE4358">
      <w:pPr>
        <w:pStyle w:val="PlainText"/>
        <w:rPr>
          <w:rFonts w:ascii="Times New Roman" w:hAnsi="Times New Roman" w:cs="Times New Roman"/>
          <w:sz w:val="28"/>
          <w:szCs w:val="28"/>
        </w:rPr>
      </w:pPr>
    </w:p>
    <w:p w14:paraId="3EE077AA" w14:textId="5A985C68" w:rsidR="00ED12B9" w:rsidRPr="0001372C" w:rsidRDefault="00ED12B9" w:rsidP="009D7687">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Arsenault J.E., </w:t>
      </w:r>
      <w:proofErr w:type="spellStart"/>
      <w:r w:rsidRPr="0001372C">
        <w:rPr>
          <w:rFonts w:ascii="Times New Roman" w:hAnsi="Times New Roman" w:cs="Times New Roman"/>
          <w:sz w:val="28"/>
          <w:szCs w:val="28"/>
        </w:rPr>
        <w:t>Hijmans</w:t>
      </w:r>
      <w:proofErr w:type="spellEnd"/>
      <w:r w:rsidRPr="0001372C">
        <w:rPr>
          <w:rFonts w:ascii="Times New Roman" w:hAnsi="Times New Roman" w:cs="Times New Roman"/>
          <w:sz w:val="28"/>
          <w:szCs w:val="28"/>
        </w:rPr>
        <w:t xml:space="preserve"> R.J. &amp; Brown H.K. (</w:t>
      </w:r>
      <w:r w:rsidR="009D7687" w:rsidRPr="0001372C">
        <w:rPr>
          <w:rFonts w:ascii="Times New Roman" w:hAnsi="Times New Roman" w:cs="Times New Roman"/>
          <w:sz w:val="28"/>
          <w:szCs w:val="28"/>
        </w:rPr>
        <w:t>2015</w:t>
      </w:r>
      <w:r w:rsidRPr="0001372C">
        <w:rPr>
          <w:rFonts w:ascii="Times New Roman" w:hAnsi="Times New Roman" w:cs="Times New Roman"/>
          <w:sz w:val="28"/>
          <w:szCs w:val="28"/>
        </w:rPr>
        <w:t xml:space="preserve">). Improving nutrition security through agriculture: an analytical framework based on national food balance sheets to estimate nutritional adequacy of food supplies. </w:t>
      </w:r>
      <w:r w:rsidRPr="0001372C">
        <w:rPr>
          <w:rFonts w:ascii="Times New Roman" w:hAnsi="Times New Roman" w:cs="Times New Roman"/>
          <w:i/>
          <w:iCs/>
          <w:sz w:val="28"/>
          <w:szCs w:val="28"/>
        </w:rPr>
        <w:t xml:space="preserve">Food </w:t>
      </w:r>
      <w:r w:rsidR="009D7687" w:rsidRPr="0001372C">
        <w:rPr>
          <w:rFonts w:ascii="Times New Roman" w:hAnsi="Times New Roman" w:cs="Times New Roman"/>
          <w:i/>
          <w:iCs/>
          <w:sz w:val="28"/>
          <w:szCs w:val="28"/>
        </w:rPr>
        <w:t>Security</w:t>
      </w:r>
      <w:r w:rsidR="009D7687" w:rsidRPr="0001372C">
        <w:rPr>
          <w:rFonts w:ascii="Times New Roman" w:hAnsi="Times New Roman" w:cs="Times New Roman"/>
          <w:sz w:val="28"/>
          <w:szCs w:val="28"/>
        </w:rPr>
        <w:t xml:space="preserve">. </w:t>
      </w:r>
      <w:r w:rsidRPr="0001372C">
        <w:rPr>
          <w:rFonts w:ascii="Times New Roman" w:hAnsi="Times New Roman" w:cs="Times New Roman"/>
          <w:sz w:val="28"/>
          <w:szCs w:val="28"/>
        </w:rPr>
        <w:t>DOI 10.1007/s12571-015-0452-y</w:t>
      </w:r>
      <w:r w:rsidR="00E75559" w:rsidRPr="0001372C">
        <w:rPr>
          <w:rFonts w:ascii="Times New Roman" w:hAnsi="Times New Roman" w:cs="Times New Roman"/>
          <w:sz w:val="28"/>
          <w:szCs w:val="28"/>
        </w:rPr>
        <w:t>.</w:t>
      </w:r>
      <w:r w:rsidRPr="0001372C">
        <w:rPr>
          <w:rFonts w:ascii="Times New Roman" w:hAnsi="Times New Roman" w:cs="Times New Roman"/>
          <w:sz w:val="28"/>
          <w:szCs w:val="28"/>
        </w:rPr>
        <w:t xml:space="preserve"> </w:t>
      </w:r>
    </w:p>
    <w:p w14:paraId="70DA9807" w14:textId="0D072D4C" w:rsidR="00A71198" w:rsidRPr="0001372C" w:rsidRDefault="00A71198" w:rsidP="009D7687">
      <w:pPr>
        <w:pStyle w:val="PlainText"/>
        <w:jc w:val="both"/>
        <w:rPr>
          <w:rFonts w:ascii="Times New Roman" w:hAnsi="Times New Roman" w:cs="Times New Roman"/>
          <w:sz w:val="28"/>
          <w:szCs w:val="28"/>
        </w:rPr>
      </w:pPr>
    </w:p>
    <w:p w14:paraId="2CA475DF" w14:textId="2CA86EDA" w:rsidR="00A71198" w:rsidRPr="0001372C" w:rsidRDefault="00A71198" w:rsidP="00A71198">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Beegle K., De </w:t>
      </w:r>
      <w:proofErr w:type="spellStart"/>
      <w:r w:rsidRPr="0001372C">
        <w:rPr>
          <w:rFonts w:ascii="Times New Roman" w:hAnsi="Times New Roman" w:cs="Times New Roman"/>
          <w:sz w:val="28"/>
          <w:szCs w:val="28"/>
        </w:rPr>
        <w:t>Weerdt</w:t>
      </w:r>
      <w:proofErr w:type="spellEnd"/>
      <w:r w:rsidRPr="0001372C">
        <w:rPr>
          <w:rFonts w:ascii="Times New Roman" w:hAnsi="Times New Roman" w:cs="Times New Roman"/>
          <w:sz w:val="28"/>
          <w:szCs w:val="28"/>
        </w:rPr>
        <w:t xml:space="preserve"> J., Friedman J., Gibson J. (2010). Methods of Household Consumption Measurement through Surveys. Experimental Results from Tanzania. Policy Research Working Paper 5501. The World Bank</w:t>
      </w:r>
      <w:r w:rsidR="009142B5" w:rsidRPr="0001372C">
        <w:rPr>
          <w:rFonts w:ascii="Times New Roman" w:hAnsi="Times New Roman" w:cs="Times New Roman"/>
          <w:sz w:val="28"/>
          <w:szCs w:val="28"/>
        </w:rPr>
        <w:t>.</w:t>
      </w:r>
    </w:p>
    <w:p w14:paraId="0497967F" w14:textId="44F2B016" w:rsidR="00ED12B9" w:rsidRPr="0001372C" w:rsidRDefault="00ED12B9" w:rsidP="00AE4358">
      <w:pPr>
        <w:pStyle w:val="PlainText"/>
        <w:rPr>
          <w:rFonts w:ascii="Times New Roman" w:hAnsi="Times New Roman" w:cs="Times New Roman"/>
          <w:sz w:val="28"/>
          <w:szCs w:val="28"/>
        </w:rPr>
      </w:pPr>
    </w:p>
    <w:p w14:paraId="2D5A22F2" w14:textId="26D69556" w:rsidR="00843FD0" w:rsidRPr="0001372C" w:rsidRDefault="00843FD0" w:rsidP="00843FD0">
      <w:pPr>
        <w:pStyle w:val="PlainText"/>
        <w:jc w:val="both"/>
        <w:rPr>
          <w:rFonts w:ascii="Times New Roman" w:hAnsi="Times New Roman" w:cs="Times New Roman"/>
          <w:sz w:val="28"/>
          <w:szCs w:val="28"/>
        </w:rPr>
      </w:pPr>
      <w:r w:rsidRPr="0001372C">
        <w:rPr>
          <w:rFonts w:ascii="Times New Roman" w:hAnsi="Times New Roman" w:cs="Times New Roman"/>
          <w:sz w:val="28"/>
          <w:szCs w:val="28"/>
        </w:rPr>
        <w:t>Burk MC, Pao EM. (1976). Methodology for Large Scale Surveys of Household and Individual Diets. Home Economics Research Report No. 40. U.S. Department of Agriculture, Washington, DC.</w:t>
      </w:r>
    </w:p>
    <w:p w14:paraId="112BD58B" w14:textId="77777777" w:rsidR="002A777D" w:rsidRPr="0001372C" w:rsidRDefault="002A777D" w:rsidP="00843FD0">
      <w:pPr>
        <w:pStyle w:val="PlainText"/>
        <w:jc w:val="both"/>
        <w:rPr>
          <w:rFonts w:ascii="Times New Roman" w:hAnsi="Times New Roman" w:cs="Times New Roman"/>
          <w:sz w:val="28"/>
          <w:szCs w:val="28"/>
        </w:rPr>
      </w:pPr>
    </w:p>
    <w:p w14:paraId="58448447" w14:textId="70795210" w:rsidR="007B22DF" w:rsidRPr="0001372C" w:rsidRDefault="007B22DF" w:rsidP="007B22DF">
      <w:pPr>
        <w:pStyle w:val="PlainText"/>
        <w:jc w:val="both"/>
        <w:rPr>
          <w:rFonts w:ascii="Times New Roman" w:hAnsi="Times New Roman" w:cs="Times New Roman"/>
          <w:sz w:val="28"/>
          <w:szCs w:val="28"/>
        </w:rPr>
      </w:pPr>
      <w:r w:rsidRPr="00041155">
        <w:rPr>
          <w:rFonts w:ascii="Times New Roman" w:hAnsi="Times New Roman" w:cs="Times New Roman"/>
          <w:sz w:val="28"/>
          <w:szCs w:val="28"/>
          <w:lang w:val="it-IT"/>
        </w:rPr>
        <w:lastRenderedPageBreak/>
        <w:t xml:space="preserve">Carletto C., Zezza A. &amp; Banerjee R (2013). </w:t>
      </w:r>
      <w:r w:rsidRPr="00041155">
        <w:rPr>
          <w:rFonts w:ascii="Times New Roman" w:hAnsi="Times New Roman" w:cs="Times New Roman"/>
          <w:sz w:val="28"/>
          <w:szCs w:val="28"/>
        </w:rPr>
        <w:t>Towards better measurement of household food security: Harmonizing indicators and the role of household surveys. Global Food Security, 2, 30-40.</w:t>
      </w:r>
    </w:p>
    <w:p w14:paraId="12FB571A" w14:textId="77777777" w:rsidR="007B22DF" w:rsidRPr="0001372C" w:rsidRDefault="007B22DF" w:rsidP="007330E6">
      <w:pPr>
        <w:pStyle w:val="PlainText"/>
        <w:jc w:val="both"/>
        <w:rPr>
          <w:rFonts w:ascii="Times New Roman" w:hAnsi="Times New Roman" w:cs="Times New Roman"/>
          <w:sz w:val="28"/>
          <w:szCs w:val="28"/>
        </w:rPr>
      </w:pPr>
    </w:p>
    <w:p w14:paraId="02737D18" w14:textId="7C2ADA08" w:rsidR="00AE4358" w:rsidRPr="0001372C" w:rsidRDefault="00AE4358" w:rsidP="007330E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Den </w:t>
      </w:r>
      <w:proofErr w:type="spellStart"/>
      <w:r w:rsidRPr="0001372C">
        <w:rPr>
          <w:rFonts w:ascii="Times New Roman" w:hAnsi="Times New Roman" w:cs="Times New Roman"/>
          <w:sz w:val="28"/>
          <w:szCs w:val="28"/>
        </w:rPr>
        <w:t>Hond</w:t>
      </w:r>
      <w:proofErr w:type="spellEnd"/>
      <w:r w:rsidRPr="0001372C">
        <w:rPr>
          <w:rFonts w:ascii="Times New Roman" w:hAnsi="Times New Roman" w:cs="Times New Roman"/>
          <w:sz w:val="28"/>
          <w:szCs w:val="28"/>
        </w:rPr>
        <w:t xml:space="preserve"> EM, </w:t>
      </w:r>
      <w:proofErr w:type="spellStart"/>
      <w:r w:rsidRPr="0001372C">
        <w:rPr>
          <w:rFonts w:ascii="Times New Roman" w:hAnsi="Times New Roman" w:cs="Times New Roman"/>
          <w:sz w:val="28"/>
          <w:szCs w:val="28"/>
        </w:rPr>
        <w:t>Lesaffre</w:t>
      </w:r>
      <w:proofErr w:type="spellEnd"/>
      <w:r w:rsidRPr="0001372C">
        <w:rPr>
          <w:rFonts w:ascii="Times New Roman" w:hAnsi="Times New Roman" w:cs="Times New Roman"/>
          <w:sz w:val="28"/>
          <w:szCs w:val="28"/>
        </w:rPr>
        <w:t xml:space="preserve"> E, Kesteloot HE. (1995).</w:t>
      </w:r>
      <w:r w:rsidR="008B7A44" w:rsidRPr="0001372C">
        <w:rPr>
          <w:rFonts w:ascii="Times New Roman" w:hAnsi="Times New Roman" w:cs="Times New Roman"/>
          <w:sz w:val="28"/>
          <w:szCs w:val="28"/>
        </w:rPr>
        <w:t xml:space="preserve"> </w:t>
      </w:r>
      <w:r w:rsidRPr="0001372C">
        <w:rPr>
          <w:rFonts w:ascii="Times New Roman" w:hAnsi="Times New Roman" w:cs="Times New Roman"/>
          <w:sz w:val="28"/>
          <w:szCs w:val="28"/>
        </w:rPr>
        <w:t>Regional differences in consumption of 103 fat</w:t>
      </w:r>
      <w:r w:rsidR="009C1240" w:rsidRPr="0001372C">
        <w:rPr>
          <w:rFonts w:ascii="Times New Roman" w:hAnsi="Times New Roman" w:cs="Times New Roman"/>
          <w:sz w:val="28"/>
          <w:szCs w:val="28"/>
        </w:rPr>
        <w:t xml:space="preserve"> </w:t>
      </w:r>
      <w:r w:rsidRPr="0001372C">
        <w:rPr>
          <w:rFonts w:ascii="Times New Roman" w:hAnsi="Times New Roman" w:cs="Times New Roman"/>
          <w:sz w:val="28"/>
          <w:szCs w:val="28"/>
        </w:rPr>
        <w:t>products in Belgium: a supermarket-chain sales</w:t>
      </w:r>
      <w:r w:rsidR="00E12DB7" w:rsidRPr="0001372C">
        <w:rPr>
          <w:rFonts w:ascii="Times New Roman" w:hAnsi="Times New Roman" w:cs="Times New Roman"/>
          <w:sz w:val="28"/>
          <w:szCs w:val="28"/>
        </w:rPr>
        <w:t xml:space="preserve"> </w:t>
      </w:r>
      <w:r w:rsidRPr="0001372C">
        <w:rPr>
          <w:rFonts w:ascii="Times New Roman" w:hAnsi="Times New Roman" w:cs="Times New Roman"/>
          <w:sz w:val="28"/>
          <w:szCs w:val="28"/>
        </w:rPr>
        <w:t>ap</w:t>
      </w:r>
      <w:r w:rsidR="00E12DB7" w:rsidRPr="0001372C">
        <w:rPr>
          <w:rFonts w:ascii="Times New Roman" w:hAnsi="Times New Roman" w:cs="Times New Roman"/>
          <w:sz w:val="28"/>
          <w:szCs w:val="28"/>
        </w:rPr>
        <w:t>p</w:t>
      </w:r>
      <w:r w:rsidRPr="0001372C">
        <w:rPr>
          <w:rFonts w:ascii="Times New Roman" w:hAnsi="Times New Roman" w:cs="Times New Roman"/>
          <w:sz w:val="28"/>
          <w:szCs w:val="28"/>
        </w:rPr>
        <w:t>roach. Journal of the American College of Nutrition14: 621–627.</w:t>
      </w:r>
    </w:p>
    <w:p w14:paraId="2392ADDB" w14:textId="77777777" w:rsidR="00AE4358" w:rsidRPr="0001372C" w:rsidRDefault="00AE4358" w:rsidP="00AE4358">
      <w:pPr>
        <w:pStyle w:val="PlainText"/>
        <w:rPr>
          <w:rFonts w:ascii="Times New Roman" w:hAnsi="Times New Roman" w:cs="Times New Roman"/>
          <w:sz w:val="28"/>
          <w:szCs w:val="28"/>
        </w:rPr>
      </w:pPr>
    </w:p>
    <w:p w14:paraId="077A4461" w14:textId="7BF2D2F8" w:rsidR="00FB101D" w:rsidRPr="0001372C" w:rsidRDefault="008558EC" w:rsidP="006E0DCB">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Del Gobbo L.C., </w:t>
      </w:r>
      <w:proofErr w:type="spellStart"/>
      <w:r w:rsidRPr="0001372C">
        <w:rPr>
          <w:rFonts w:ascii="Times New Roman" w:hAnsi="Times New Roman" w:cs="Times New Roman"/>
          <w:sz w:val="28"/>
          <w:szCs w:val="28"/>
        </w:rPr>
        <w:t>Khatibzadeh</w:t>
      </w:r>
      <w:proofErr w:type="spellEnd"/>
      <w:r w:rsidRPr="0001372C">
        <w:rPr>
          <w:rFonts w:ascii="Times New Roman" w:hAnsi="Times New Roman" w:cs="Times New Roman"/>
          <w:sz w:val="28"/>
          <w:szCs w:val="28"/>
        </w:rPr>
        <w:t xml:space="preserve"> S., Imamura F., Micha R., Shi P., Smith M., Myers S.S. &amp; </w:t>
      </w:r>
      <w:proofErr w:type="spellStart"/>
      <w:r w:rsidRPr="0001372C">
        <w:rPr>
          <w:rFonts w:ascii="Times New Roman" w:hAnsi="Times New Roman" w:cs="Times New Roman"/>
          <w:sz w:val="28"/>
          <w:szCs w:val="28"/>
        </w:rPr>
        <w:t>Mozaffarian</w:t>
      </w:r>
      <w:proofErr w:type="spellEnd"/>
      <w:r w:rsidRPr="0001372C">
        <w:rPr>
          <w:rFonts w:ascii="Times New Roman" w:hAnsi="Times New Roman" w:cs="Times New Roman"/>
          <w:sz w:val="28"/>
          <w:szCs w:val="28"/>
        </w:rPr>
        <w:t xml:space="preserve"> D. </w:t>
      </w:r>
      <w:r w:rsidR="006E0DCB" w:rsidRPr="0001372C">
        <w:rPr>
          <w:rFonts w:ascii="Times New Roman" w:hAnsi="Times New Roman" w:cs="Times New Roman"/>
          <w:sz w:val="28"/>
          <w:szCs w:val="28"/>
        </w:rPr>
        <w:t xml:space="preserve">(2015). </w:t>
      </w:r>
      <w:r w:rsidRPr="0001372C">
        <w:rPr>
          <w:rFonts w:ascii="Times New Roman" w:hAnsi="Times New Roman" w:cs="Times New Roman"/>
          <w:sz w:val="28"/>
          <w:szCs w:val="28"/>
        </w:rPr>
        <w:t>Assessing global dietary habits: a comparison of national estimates from the FAO and the Global Dietary Database</w:t>
      </w:r>
      <w:r w:rsidR="006E0DCB" w:rsidRPr="0001372C">
        <w:rPr>
          <w:rFonts w:ascii="Times New Roman" w:hAnsi="Times New Roman" w:cs="Times New Roman"/>
          <w:sz w:val="28"/>
          <w:szCs w:val="28"/>
        </w:rPr>
        <w:t xml:space="preserve">. </w:t>
      </w:r>
      <w:r w:rsidRPr="0001372C">
        <w:rPr>
          <w:rFonts w:ascii="Times New Roman" w:hAnsi="Times New Roman" w:cs="Times New Roman"/>
          <w:sz w:val="28"/>
          <w:szCs w:val="28"/>
        </w:rPr>
        <w:t xml:space="preserve">Am J Clin </w:t>
      </w:r>
      <w:proofErr w:type="gramStart"/>
      <w:r w:rsidRPr="0001372C">
        <w:rPr>
          <w:rFonts w:ascii="Times New Roman" w:hAnsi="Times New Roman" w:cs="Times New Roman"/>
          <w:sz w:val="28"/>
          <w:szCs w:val="28"/>
        </w:rPr>
        <w:t>Nutr</w:t>
      </w:r>
      <w:r w:rsidR="006E0DCB" w:rsidRPr="0001372C">
        <w:rPr>
          <w:rFonts w:ascii="Times New Roman" w:hAnsi="Times New Roman" w:cs="Times New Roman"/>
          <w:sz w:val="28"/>
          <w:szCs w:val="28"/>
        </w:rPr>
        <w:t xml:space="preserve">, </w:t>
      </w:r>
      <w:r w:rsidRPr="0001372C">
        <w:rPr>
          <w:rFonts w:ascii="Times New Roman" w:hAnsi="Times New Roman" w:cs="Times New Roman"/>
          <w:sz w:val="28"/>
          <w:szCs w:val="28"/>
        </w:rPr>
        <w:t xml:space="preserve"> </w:t>
      </w:r>
      <w:proofErr w:type="spellStart"/>
      <w:r w:rsidRPr="0001372C">
        <w:rPr>
          <w:rFonts w:ascii="Times New Roman" w:hAnsi="Times New Roman" w:cs="Times New Roman"/>
          <w:sz w:val="28"/>
          <w:szCs w:val="28"/>
        </w:rPr>
        <w:t>doi</w:t>
      </w:r>
      <w:proofErr w:type="spellEnd"/>
      <w:proofErr w:type="gramEnd"/>
      <w:r w:rsidRPr="0001372C">
        <w:rPr>
          <w:rFonts w:ascii="Times New Roman" w:hAnsi="Times New Roman" w:cs="Times New Roman"/>
          <w:sz w:val="28"/>
          <w:szCs w:val="28"/>
        </w:rPr>
        <w:t>: 10.3945/ajcn.114.087403.</w:t>
      </w:r>
    </w:p>
    <w:p w14:paraId="1229DC0B" w14:textId="77777777" w:rsidR="008558EC" w:rsidRPr="0001372C" w:rsidRDefault="008558EC" w:rsidP="00AE4358">
      <w:pPr>
        <w:pStyle w:val="PlainText"/>
        <w:rPr>
          <w:rFonts w:ascii="Times New Roman" w:hAnsi="Times New Roman" w:cs="Times New Roman"/>
          <w:sz w:val="28"/>
          <w:szCs w:val="28"/>
        </w:rPr>
      </w:pPr>
    </w:p>
    <w:p w14:paraId="68E56019" w14:textId="284EEEB4" w:rsidR="00AE4358" w:rsidRPr="0001372C" w:rsidRDefault="00AE4358" w:rsidP="008B7A44">
      <w:pPr>
        <w:pStyle w:val="PlainText"/>
        <w:jc w:val="both"/>
        <w:rPr>
          <w:rFonts w:ascii="Times New Roman" w:hAnsi="Times New Roman" w:cs="Times New Roman"/>
          <w:sz w:val="28"/>
          <w:szCs w:val="28"/>
        </w:rPr>
      </w:pPr>
      <w:r w:rsidRPr="0001372C">
        <w:rPr>
          <w:rFonts w:ascii="Times New Roman" w:hAnsi="Times New Roman" w:cs="Times New Roman"/>
          <w:sz w:val="28"/>
          <w:szCs w:val="28"/>
        </w:rPr>
        <w:t>FAO (2001). Food</w:t>
      </w:r>
      <w:r w:rsidR="00F32ED0" w:rsidRPr="0001372C">
        <w:rPr>
          <w:rFonts w:ascii="Times New Roman" w:hAnsi="Times New Roman" w:cs="Times New Roman"/>
          <w:sz w:val="28"/>
          <w:szCs w:val="28"/>
        </w:rPr>
        <w:t xml:space="preserve"> </w:t>
      </w:r>
      <w:r w:rsidRPr="0001372C">
        <w:rPr>
          <w:rFonts w:ascii="Times New Roman" w:hAnsi="Times New Roman" w:cs="Times New Roman"/>
          <w:sz w:val="28"/>
          <w:szCs w:val="28"/>
        </w:rPr>
        <w:t>Balance Sheets: A Handbook. Food and Agriculture</w:t>
      </w:r>
      <w:r w:rsidR="00F32ED0" w:rsidRPr="0001372C">
        <w:rPr>
          <w:rFonts w:ascii="Times New Roman" w:hAnsi="Times New Roman" w:cs="Times New Roman"/>
          <w:sz w:val="28"/>
          <w:szCs w:val="28"/>
        </w:rPr>
        <w:t xml:space="preserve"> </w:t>
      </w:r>
      <w:r w:rsidRPr="0001372C">
        <w:rPr>
          <w:rFonts w:ascii="Times New Roman" w:hAnsi="Times New Roman" w:cs="Times New Roman"/>
          <w:sz w:val="28"/>
          <w:szCs w:val="28"/>
        </w:rPr>
        <w:t>Organization of the United Nations, Rome.</w:t>
      </w:r>
      <w:r w:rsidR="008B7A44" w:rsidRPr="0001372C">
        <w:rPr>
          <w:rFonts w:ascii="Times New Roman" w:hAnsi="Times New Roman" w:cs="Times New Roman"/>
          <w:sz w:val="28"/>
          <w:szCs w:val="28"/>
        </w:rPr>
        <w:t xml:space="preserve"> </w:t>
      </w:r>
      <w:hyperlink r:id="rId30" w:history="1">
        <w:r w:rsidR="008B7A44" w:rsidRPr="0001372C">
          <w:rPr>
            <w:rStyle w:val="Hyperlink"/>
            <w:rFonts w:ascii="Times New Roman" w:hAnsi="Times New Roman" w:cs="Times New Roman"/>
            <w:sz w:val="28"/>
            <w:szCs w:val="28"/>
          </w:rPr>
          <w:t>https://www.fao.org/3/x9892e/X9892E00.htm</w:t>
        </w:r>
      </w:hyperlink>
      <w:r w:rsidR="008B7A44" w:rsidRPr="0001372C">
        <w:rPr>
          <w:rFonts w:ascii="Times New Roman" w:hAnsi="Times New Roman" w:cs="Times New Roman"/>
          <w:sz w:val="28"/>
          <w:szCs w:val="28"/>
        </w:rPr>
        <w:t xml:space="preserve"> </w:t>
      </w:r>
    </w:p>
    <w:p w14:paraId="3B99AD87" w14:textId="77777777" w:rsidR="00BA64B6" w:rsidRPr="0001372C" w:rsidRDefault="00BA64B6" w:rsidP="00AE4358">
      <w:pPr>
        <w:pStyle w:val="PlainText"/>
        <w:rPr>
          <w:rFonts w:ascii="Times New Roman" w:hAnsi="Times New Roman" w:cs="Times New Roman"/>
          <w:sz w:val="28"/>
          <w:szCs w:val="28"/>
        </w:rPr>
      </w:pPr>
    </w:p>
    <w:p w14:paraId="3E39B377" w14:textId="7FF934E6" w:rsidR="00BE5B75" w:rsidRPr="0001372C" w:rsidRDefault="00BE5B75"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FAO</w:t>
      </w:r>
      <w:r w:rsidR="00F32ED0" w:rsidRPr="0001372C">
        <w:rPr>
          <w:rFonts w:ascii="Times New Roman" w:hAnsi="Times New Roman" w:cs="Times New Roman"/>
          <w:sz w:val="28"/>
          <w:szCs w:val="28"/>
        </w:rPr>
        <w:t xml:space="preserve"> (</w:t>
      </w:r>
      <w:r w:rsidR="00563D58" w:rsidRPr="0001372C">
        <w:rPr>
          <w:rFonts w:ascii="Times New Roman" w:hAnsi="Times New Roman" w:cs="Times New Roman"/>
          <w:sz w:val="28"/>
          <w:szCs w:val="28"/>
        </w:rPr>
        <w:t>2021a</w:t>
      </w:r>
      <w:r w:rsidRPr="0001372C">
        <w:rPr>
          <w:rFonts w:ascii="Times New Roman" w:hAnsi="Times New Roman" w:cs="Times New Roman"/>
          <w:sz w:val="28"/>
          <w:szCs w:val="28"/>
        </w:rPr>
        <w:t>)</w:t>
      </w:r>
      <w:r w:rsidR="00F32ED0" w:rsidRPr="0001372C">
        <w:rPr>
          <w:rFonts w:ascii="Times New Roman" w:hAnsi="Times New Roman" w:cs="Times New Roman"/>
          <w:sz w:val="28"/>
          <w:szCs w:val="28"/>
        </w:rPr>
        <w:t xml:space="preserve">. New Food Balances. Description of utilization variables. </w:t>
      </w:r>
      <w:hyperlink r:id="rId31" w:history="1">
        <w:r w:rsidRPr="0001372C">
          <w:rPr>
            <w:rStyle w:val="Hyperlink"/>
            <w:rFonts w:ascii="Times New Roman" w:hAnsi="Times New Roman" w:cs="Times New Roman"/>
            <w:sz w:val="28"/>
            <w:szCs w:val="28"/>
          </w:rPr>
          <w:t>https://fenixservices.fao.org/faostat/static/documents/FBS/New%20FBS%20methodology.pdf</w:t>
        </w:r>
      </w:hyperlink>
      <w:r w:rsidR="00563D58" w:rsidRPr="0001372C">
        <w:rPr>
          <w:rFonts w:ascii="Times New Roman" w:hAnsi="Times New Roman" w:cs="Times New Roman"/>
          <w:sz w:val="28"/>
          <w:szCs w:val="28"/>
        </w:rPr>
        <w:t xml:space="preserve"> </w:t>
      </w:r>
      <w:r w:rsidR="00553BEB" w:rsidRPr="0001372C">
        <w:rPr>
          <w:rFonts w:ascii="Times New Roman" w:hAnsi="Times New Roman" w:cs="Times New Roman"/>
          <w:sz w:val="28"/>
          <w:szCs w:val="28"/>
        </w:rPr>
        <w:t>(</w:t>
      </w:r>
      <w:r w:rsidR="00563D58" w:rsidRPr="0001372C">
        <w:rPr>
          <w:rFonts w:ascii="Times New Roman" w:hAnsi="Times New Roman" w:cs="Times New Roman"/>
          <w:sz w:val="28"/>
          <w:szCs w:val="28"/>
        </w:rPr>
        <w:t>Accessed August 2022</w:t>
      </w:r>
      <w:r w:rsidR="00553BEB" w:rsidRPr="0001372C">
        <w:rPr>
          <w:rFonts w:ascii="Times New Roman" w:hAnsi="Times New Roman" w:cs="Times New Roman"/>
          <w:sz w:val="28"/>
          <w:szCs w:val="28"/>
        </w:rPr>
        <w:t>)</w:t>
      </w:r>
      <w:r w:rsidR="00563D58" w:rsidRPr="0001372C">
        <w:rPr>
          <w:rFonts w:ascii="Times New Roman" w:hAnsi="Times New Roman" w:cs="Times New Roman"/>
          <w:sz w:val="28"/>
          <w:szCs w:val="28"/>
        </w:rPr>
        <w:t xml:space="preserve">. </w:t>
      </w:r>
    </w:p>
    <w:p w14:paraId="7BE3D4D5" w14:textId="1C4A2891" w:rsidR="00BA64B6" w:rsidRPr="0001372C" w:rsidRDefault="00BA64B6" w:rsidP="007B41C6">
      <w:pPr>
        <w:pStyle w:val="PlainText"/>
        <w:jc w:val="both"/>
        <w:rPr>
          <w:rFonts w:ascii="Times New Roman" w:hAnsi="Times New Roman" w:cs="Times New Roman"/>
          <w:sz w:val="28"/>
          <w:szCs w:val="28"/>
        </w:rPr>
      </w:pPr>
    </w:p>
    <w:p w14:paraId="28DD69DF" w14:textId="77777777" w:rsidR="007C2242" w:rsidRPr="0001372C" w:rsidRDefault="00563D58"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FAO (2021b) Key differences between new and old Food Balance Sheet (FBS)</w:t>
      </w:r>
      <w:r w:rsidR="00553BEB" w:rsidRPr="0001372C">
        <w:rPr>
          <w:rFonts w:ascii="Times New Roman" w:hAnsi="Times New Roman" w:cs="Times New Roman"/>
          <w:sz w:val="28"/>
          <w:szCs w:val="28"/>
        </w:rPr>
        <w:t xml:space="preserve">. </w:t>
      </w:r>
      <w:hyperlink r:id="rId32" w:history="1">
        <w:r w:rsidR="00553BEB" w:rsidRPr="0001372C">
          <w:rPr>
            <w:rStyle w:val="Hyperlink"/>
            <w:rFonts w:ascii="Times New Roman" w:hAnsi="Times New Roman" w:cs="Times New Roman"/>
            <w:sz w:val="28"/>
            <w:szCs w:val="28"/>
          </w:rPr>
          <w:t>https://fenixservices.fao.org/faostat/static/documents/FBS/Key%20differences%20between%20new%20and%20old%20FBS%20June2022%20.pdf</w:t>
        </w:r>
      </w:hyperlink>
      <w:r w:rsidR="00553BEB" w:rsidRPr="0001372C">
        <w:rPr>
          <w:rFonts w:ascii="Times New Roman" w:hAnsi="Times New Roman" w:cs="Times New Roman"/>
          <w:sz w:val="28"/>
          <w:szCs w:val="28"/>
        </w:rPr>
        <w:t xml:space="preserve">  </w:t>
      </w:r>
    </w:p>
    <w:p w14:paraId="6403007D" w14:textId="07AD9297" w:rsidR="00365BE2" w:rsidRPr="0001372C" w:rsidRDefault="00553BEB"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(Accessed August 2022).  </w:t>
      </w:r>
    </w:p>
    <w:p w14:paraId="67F0B168" w14:textId="67698000" w:rsidR="00365BE2" w:rsidRPr="0001372C" w:rsidRDefault="00365BE2" w:rsidP="007B41C6">
      <w:pPr>
        <w:pStyle w:val="PlainText"/>
        <w:jc w:val="both"/>
        <w:rPr>
          <w:rFonts w:ascii="Times New Roman" w:hAnsi="Times New Roman" w:cs="Times New Roman"/>
          <w:sz w:val="28"/>
          <w:szCs w:val="28"/>
        </w:rPr>
      </w:pPr>
    </w:p>
    <w:p w14:paraId="5560720A" w14:textId="038C54F0" w:rsidR="00553BEB" w:rsidRDefault="00553BEB"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FAO (2021c)  </w:t>
      </w:r>
    </w:p>
    <w:p w14:paraId="20FD4BA2" w14:textId="4115D0EC" w:rsidR="005D201F" w:rsidRPr="0001372C" w:rsidRDefault="005D201F" w:rsidP="007B41C6">
      <w:pPr>
        <w:pStyle w:val="PlainText"/>
        <w:jc w:val="both"/>
        <w:rPr>
          <w:rFonts w:ascii="Times New Roman" w:hAnsi="Times New Roman" w:cs="Times New Roman"/>
          <w:sz w:val="28"/>
          <w:szCs w:val="28"/>
        </w:rPr>
      </w:pPr>
      <w:r w:rsidRPr="005D201F">
        <w:rPr>
          <w:rFonts w:ascii="Times New Roman" w:hAnsi="Times New Roman" w:cs="Times New Roman"/>
          <w:sz w:val="28"/>
          <w:szCs w:val="28"/>
        </w:rPr>
        <w:t>https://www.fao.org/faostat/en/#data/FBS</w:t>
      </w:r>
    </w:p>
    <w:p w14:paraId="0456947F" w14:textId="088B6FBB" w:rsidR="00113917" w:rsidRPr="0001372C" w:rsidRDefault="00113917" w:rsidP="007B41C6">
      <w:pPr>
        <w:pStyle w:val="PlainText"/>
        <w:jc w:val="both"/>
        <w:rPr>
          <w:rFonts w:ascii="Times New Roman" w:hAnsi="Times New Roman" w:cs="Times New Roman"/>
          <w:sz w:val="28"/>
          <w:szCs w:val="28"/>
        </w:rPr>
      </w:pPr>
    </w:p>
    <w:p w14:paraId="7D65F752" w14:textId="7B9DD226" w:rsidR="00113917" w:rsidRPr="0001372C" w:rsidRDefault="00113917"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FAO (2021d) FAOSTAT A</w:t>
      </w:r>
      <w:r w:rsidR="00194C60" w:rsidRPr="0001372C">
        <w:rPr>
          <w:rFonts w:ascii="Times New Roman" w:hAnsi="Times New Roman" w:cs="Times New Roman"/>
          <w:sz w:val="28"/>
          <w:szCs w:val="28"/>
        </w:rPr>
        <w:t xml:space="preserve">nalytical </w:t>
      </w:r>
      <w:r w:rsidRPr="0001372C">
        <w:rPr>
          <w:rFonts w:ascii="Times New Roman" w:hAnsi="Times New Roman" w:cs="Times New Roman"/>
          <w:sz w:val="28"/>
          <w:szCs w:val="28"/>
        </w:rPr>
        <w:t>B</w:t>
      </w:r>
      <w:r w:rsidR="00194C60" w:rsidRPr="0001372C">
        <w:rPr>
          <w:rFonts w:ascii="Times New Roman" w:hAnsi="Times New Roman" w:cs="Times New Roman"/>
          <w:sz w:val="28"/>
          <w:szCs w:val="28"/>
        </w:rPr>
        <w:t xml:space="preserve">rief </w:t>
      </w:r>
      <w:r w:rsidRPr="0001372C">
        <w:rPr>
          <w:rFonts w:ascii="Times New Roman" w:hAnsi="Times New Roman" w:cs="Times New Roman"/>
          <w:sz w:val="28"/>
          <w:szCs w:val="28"/>
        </w:rPr>
        <w:t>40. Food balances 2010–2019</w:t>
      </w:r>
    </w:p>
    <w:p w14:paraId="684A171F" w14:textId="1815224D" w:rsidR="00113917" w:rsidRPr="0001372C" w:rsidRDefault="00113917"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Global, </w:t>
      </w:r>
      <w:proofErr w:type="gramStart"/>
      <w:r w:rsidRPr="0001372C">
        <w:rPr>
          <w:rFonts w:ascii="Times New Roman" w:hAnsi="Times New Roman" w:cs="Times New Roman"/>
          <w:sz w:val="28"/>
          <w:szCs w:val="28"/>
        </w:rPr>
        <w:t>regional</w:t>
      </w:r>
      <w:proofErr w:type="gramEnd"/>
      <w:r w:rsidRPr="0001372C">
        <w:rPr>
          <w:rFonts w:ascii="Times New Roman" w:hAnsi="Times New Roman" w:cs="Times New Roman"/>
          <w:sz w:val="28"/>
          <w:szCs w:val="28"/>
        </w:rPr>
        <w:t xml:space="preserve"> and country trends. </w:t>
      </w:r>
      <w:hyperlink r:id="rId33" w:history="1">
        <w:r w:rsidRPr="0001372C">
          <w:rPr>
            <w:rStyle w:val="Hyperlink"/>
            <w:rFonts w:ascii="Times New Roman" w:hAnsi="Times New Roman" w:cs="Times New Roman"/>
            <w:sz w:val="28"/>
            <w:szCs w:val="28"/>
          </w:rPr>
          <w:t>https://www.fao.org/3/cb9574en/cb9574en.pdf</w:t>
        </w:r>
      </w:hyperlink>
      <w:r w:rsidRPr="0001372C">
        <w:rPr>
          <w:rFonts w:ascii="Times New Roman" w:hAnsi="Times New Roman" w:cs="Times New Roman"/>
          <w:sz w:val="28"/>
          <w:szCs w:val="28"/>
        </w:rPr>
        <w:t xml:space="preserve"> (Accessed August 2022).  </w:t>
      </w:r>
    </w:p>
    <w:p w14:paraId="7DD1A2E9" w14:textId="6E63B4A9" w:rsidR="00657E87" w:rsidRPr="0001372C" w:rsidRDefault="00657E87" w:rsidP="007B41C6">
      <w:pPr>
        <w:pStyle w:val="PlainText"/>
        <w:jc w:val="both"/>
        <w:rPr>
          <w:rFonts w:ascii="Times New Roman" w:hAnsi="Times New Roman" w:cs="Times New Roman"/>
          <w:sz w:val="28"/>
          <w:szCs w:val="28"/>
        </w:rPr>
      </w:pPr>
    </w:p>
    <w:p w14:paraId="0C0629F6" w14:textId="303128BA" w:rsidR="003B2DFE" w:rsidRPr="0001372C" w:rsidRDefault="003B2DFE"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FAO (2021e) Tracking progress on food and agriculture-related SDG indicators 2021: A report on the indicators under FAO custodianship. Rome. </w:t>
      </w:r>
      <w:hyperlink r:id="rId34" w:history="1">
        <w:r w:rsidRPr="0001372C">
          <w:rPr>
            <w:rStyle w:val="Hyperlink"/>
            <w:rFonts w:ascii="Times New Roman" w:hAnsi="Times New Roman" w:cs="Times New Roman"/>
            <w:sz w:val="28"/>
            <w:szCs w:val="28"/>
          </w:rPr>
          <w:t>https://doi.org/10.4060/cb6872en</w:t>
        </w:r>
      </w:hyperlink>
      <w:r w:rsidRPr="0001372C">
        <w:rPr>
          <w:rFonts w:ascii="Times New Roman" w:hAnsi="Times New Roman" w:cs="Times New Roman"/>
          <w:sz w:val="28"/>
          <w:szCs w:val="28"/>
        </w:rPr>
        <w:t xml:space="preserve"> </w:t>
      </w:r>
    </w:p>
    <w:p w14:paraId="68F441C8" w14:textId="7084465A" w:rsidR="00692AB9" w:rsidRPr="0001372C" w:rsidRDefault="00692AB9" w:rsidP="007B41C6">
      <w:pPr>
        <w:pStyle w:val="PlainText"/>
        <w:jc w:val="both"/>
        <w:rPr>
          <w:rFonts w:ascii="Times New Roman" w:hAnsi="Times New Roman" w:cs="Times New Roman"/>
          <w:sz w:val="28"/>
          <w:szCs w:val="28"/>
        </w:rPr>
      </w:pPr>
    </w:p>
    <w:p w14:paraId="1D8BCC08" w14:textId="0E394DC1" w:rsidR="00692AB9" w:rsidRPr="0001372C" w:rsidRDefault="00692AB9"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FAO (2023) Food Balance Sheets and The Food Consumption Survey: A Comparison of Methodologies and Results</w:t>
      </w:r>
      <w:hyperlink r:id="rId35" w:history="1">
        <w:r w:rsidRPr="0001372C">
          <w:rPr>
            <w:rStyle w:val="Hyperlink"/>
            <w:rFonts w:ascii="Times New Roman" w:hAnsi="Times New Roman" w:cs="Times New Roman"/>
            <w:sz w:val="28"/>
            <w:szCs w:val="28"/>
          </w:rPr>
          <w:t>https://www.fao.org/economic/the-statistics-division-ess/methodology/methodology-systems/food-balance-sheets-</w:t>
        </w:r>
        <w:r w:rsidRPr="0001372C">
          <w:rPr>
            <w:rStyle w:val="Hyperlink"/>
            <w:rFonts w:ascii="Times New Roman" w:hAnsi="Times New Roman" w:cs="Times New Roman"/>
            <w:sz w:val="28"/>
            <w:szCs w:val="28"/>
          </w:rPr>
          <w:lastRenderedPageBreak/>
          <w:t>and-the-food-consumption-survey-a-comparison-of-methodologies-and-results/en/</w:t>
        </w:r>
      </w:hyperlink>
      <w:r w:rsidRPr="0001372C">
        <w:rPr>
          <w:rFonts w:ascii="Times New Roman" w:hAnsi="Times New Roman" w:cs="Times New Roman"/>
          <w:sz w:val="28"/>
          <w:szCs w:val="28"/>
        </w:rPr>
        <w:t xml:space="preserve"> (accessed January 2023)</w:t>
      </w:r>
    </w:p>
    <w:p w14:paraId="461418BF" w14:textId="77777777" w:rsidR="003B2DFE" w:rsidRPr="0001372C" w:rsidRDefault="003B2DFE" w:rsidP="007B41C6">
      <w:pPr>
        <w:pStyle w:val="PlainText"/>
        <w:jc w:val="both"/>
        <w:rPr>
          <w:rFonts w:ascii="Times New Roman" w:hAnsi="Times New Roman" w:cs="Times New Roman"/>
          <w:sz w:val="28"/>
          <w:szCs w:val="28"/>
        </w:rPr>
      </w:pPr>
    </w:p>
    <w:p w14:paraId="0216A684" w14:textId="171CC73C" w:rsidR="00657E87" w:rsidRPr="0001372C" w:rsidRDefault="00657E87"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FAO, IFAD, UNICEF, WFP and WHO (2022). The State of Food Security and Nutrition in the World. Repurposing food and agricultural policies to make healthy diets more affordable. Rome, FAO. </w:t>
      </w:r>
      <w:hyperlink r:id="rId36" w:history="1">
        <w:r w:rsidR="004C0892" w:rsidRPr="0001372C">
          <w:rPr>
            <w:rStyle w:val="Hyperlink"/>
            <w:rFonts w:ascii="Times New Roman" w:hAnsi="Times New Roman" w:cs="Times New Roman"/>
            <w:sz w:val="28"/>
            <w:szCs w:val="28"/>
          </w:rPr>
          <w:t>https://doi.org/10.4060/cc0639en</w:t>
        </w:r>
      </w:hyperlink>
    </w:p>
    <w:p w14:paraId="7DF30ECA" w14:textId="77777777" w:rsidR="00AF54B1" w:rsidRPr="0001372C" w:rsidRDefault="00AF54B1" w:rsidP="007B41C6">
      <w:pPr>
        <w:pStyle w:val="PlainText"/>
        <w:jc w:val="both"/>
        <w:rPr>
          <w:rFonts w:ascii="Times New Roman" w:hAnsi="Times New Roman" w:cs="Times New Roman"/>
          <w:sz w:val="28"/>
          <w:szCs w:val="28"/>
        </w:rPr>
      </w:pPr>
    </w:p>
    <w:p w14:paraId="43A2BAAC" w14:textId="5AD2F4A2" w:rsidR="00AF54B1" w:rsidRPr="0001372C" w:rsidRDefault="00AF54B1"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FAO and The World Bank. 2018. Food Data Collection in Household Consumption and Expenditure Surveys. Guidelines for Low- and Middle-Income Countries. Rome.</w:t>
      </w:r>
    </w:p>
    <w:p w14:paraId="37287523" w14:textId="77777777" w:rsidR="00AF54B1" w:rsidRPr="0001372C" w:rsidRDefault="00AF54B1" w:rsidP="007B41C6">
      <w:pPr>
        <w:pStyle w:val="PlainText"/>
        <w:jc w:val="both"/>
        <w:rPr>
          <w:rFonts w:ascii="Times New Roman" w:hAnsi="Times New Roman" w:cs="Times New Roman"/>
          <w:sz w:val="28"/>
          <w:szCs w:val="28"/>
        </w:rPr>
      </w:pPr>
    </w:p>
    <w:p w14:paraId="6E841D7B" w14:textId="54E02CED" w:rsidR="005D3A6A" w:rsidRPr="0001372C" w:rsidRDefault="005D3A6A"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Fiedler J.L., Lividini K., Bermudez O.I. &amp; Smitz M-F (2012). Household Consumption and Expenditures Surveys (HCES): A primer for food and nutrition analysts in low- and middle-income countries. Food and Nutrition Bulletin, vol. 33, no. 3, S170-S184.</w:t>
      </w:r>
    </w:p>
    <w:p w14:paraId="034C051F" w14:textId="166D2D1D" w:rsidR="005D4AF5" w:rsidRPr="0001372C" w:rsidRDefault="005D4AF5" w:rsidP="007B41C6">
      <w:pPr>
        <w:pStyle w:val="PlainText"/>
        <w:jc w:val="both"/>
        <w:rPr>
          <w:rFonts w:ascii="Times New Roman" w:hAnsi="Times New Roman" w:cs="Times New Roman"/>
          <w:sz w:val="28"/>
          <w:szCs w:val="28"/>
        </w:rPr>
      </w:pPr>
    </w:p>
    <w:p w14:paraId="75687A82" w14:textId="33894251" w:rsidR="005D4AF5" w:rsidRPr="0001372C" w:rsidRDefault="005D4AF5"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Fiedler J.L. &amp; Mwangi D.M. (2016)</w:t>
      </w:r>
      <w:r w:rsidR="0001396E" w:rsidRPr="0001372C">
        <w:rPr>
          <w:rFonts w:ascii="Times New Roman" w:hAnsi="Times New Roman" w:cs="Times New Roman"/>
          <w:sz w:val="28"/>
          <w:szCs w:val="28"/>
        </w:rPr>
        <w:t>.</w:t>
      </w:r>
      <w:r w:rsidRPr="0001372C">
        <w:rPr>
          <w:rFonts w:ascii="Times New Roman" w:hAnsi="Times New Roman" w:cs="Times New Roman"/>
          <w:sz w:val="28"/>
          <w:szCs w:val="28"/>
        </w:rPr>
        <w:t xml:space="preserve"> Using household consumption and expenditure surveys to make inferences about food consumption, nutrient </w:t>
      </w:r>
      <w:proofErr w:type="gramStart"/>
      <w:r w:rsidRPr="0001372C">
        <w:rPr>
          <w:rFonts w:ascii="Times New Roman" w:hAnsi="Times New Roman" w:cs="Times New Roman"/>
          <w:sz w:val="28"/>
          <w:szCs w:val="28"/>
        </w:rPr>
        <w:t>intakes</w:t>
      </w:r>
      <w:proofErr w:type="gramEnd"/>
      <w:r w:rsidRPr="0001372C">
        <w:rPr>
          <w:rFonts w:ascii="Times New Roman" w:hAnsi="Times New Roman" w:cs="Times New Roman"/>
          <w:sz w:val="28"/>
          <w:szCs w:val="28"/>
        </w:rPr>
        <w:t xml:space="preserve"> and nutrition status. How important is it to adjust for meal partakers?</w:t>
      </w:r>
      <w:r w:rsidR="0001396E" w:rsidRPr="0001372C">
        <w:rPr>
          <w:rFonts w:ascii="Times New Roman" w:hAnsi="Times New Roman" w:cs="Times New Roman"/>
          <w:sz w:val="28"/>
          <w:szCs w:val="28"/>
        </w:rPr>
        <w:t xml:space="preserve"> </w:t>
      </w:r>
      <w:r w:rsidRPr="0001372C">
        <w:rPr>
          <w:rFonts w:ascii="Times New Roman" w:hAnsi="Times New Roman" w:cs="Times New Roman"/>
          <w:sz w:val="28"/>
          <w:szCs w:val="28"/>
        </w:rPr>
        <w:t xml:space="preserve">IFPRI </w:t>
      </w:r>
      <w:r w:rsidR="0001396E" w:rsidRPr="0001372C">
        <w:rPr>
          <w:rFonts w:ascii="Times New Roman" w:hAnsi="Times New Roman" w:cs="Times New Roman"/>
          <w:sz w:val="28"/>
          <w:szCs w:val="28"/>
        </w:rPr>
        <w:t xml:space="preserve">(International Food Policy Research Institute) Discussion paper. </w:t>
      </w:r>
      <w:r w:rsidR="00C116C0" w:rsidRPr="007B41C6">
        <w:rPr>
          <w:rFonts w:ascii="Times New Roman" w:hAnsi="Times New Roman" w:cs="Times New Roman"/>
          <w:sz w:val="28"/>
          <w:szCs w:val="28"/>
        </w:rPr>
        <w:t>(</w:t>
      </w:r>
      <w:proofErr w:type="gramStart"/>
      <w:r w:rsidR="00C116C0" w:rsidRPr="007B41C6">
        <w:rPr>
          <w:rFonts w:ascii="Times New Roman" w:hAnsi="Times New Roman" w:cs="Times New Roman"/>
          <w:sz w:val="28"/>
          <w:szCs w:val="28"/>
        </w:rPr>
        <w:t>accessed</w:t>
      </w:r>
      <w:proofErr w:type="gramEnd"/>
      <w:r w:rsidR="00C116C0" w:rsidRPr="007B41C6">
        <w:rPr>
          <w:rFonts w:ascii="Times New Roman" w:hAnsi="Times New Roman" w:cs="Times New Roman"/>
          <w:sz w:val="28"/>
          <w:szCs w:val="28"/>
        </w:rPr>
        <w:t xml:space="preserve"> January 2023)</w:t>
      </w:r>
    </w:p>
    <w:p w14:paraId="0F3D31CE" w14:textId="77777777" w:rsidR="005D3A6A" w:rsidRPr="0001372C" w:rsidRDefault="005D3A6A" w:rsidP="007B41C6">
      <w:pPr>
        <w:pStyle w:val="PlainText"/>
        <w:jc w:val="both"/>
        <w:rPr>
          <w:rFonts w:ascii="Times New Roman" w:hAnsi="Times New Roman" w:cs="Times New Roman"/>
          <w:sz w:val="28"/>
          <w:szCs w:val="28"/>
        </w:rPr>
      </w:pPr>
    </w:p>
    <w:p w14:paraId="4D111AC5" w14:textId="77777777" w:rsidR="00CD15FF" w:rsidRPr="0001372C" w:rsidRDefault="00AE4358"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Gage TB, O’Connor K. (</w:t>
      </w:r>
      <w:r w:rsidR="00CD15FF" w:rsidRPr="0001372C">
        <w:rPr>
          <w:rFonts w:ascii="Times New Roman" w:hAnsi="Times New Roman" w:cs="Times New Roman"/>
          <w:sz w:val="28"/>
          <w:szCs w:val="28"/>
        </w:rPr>
        <w:t>2009</w:t>
      </w:r>
      <w:r w:rsidRPr="0001372C">
        <w:rPr>
          <w:rFonts w:ascii="Times New Roman" w:hAnsi="Times New Roman" w:cs="Times New Roman"/>
          <w:sz w:val="28"/>
          <w:szCs w:val="28"/>
        </w:rPr>
        <w:t xml:space="preserve">). Nutrition and </w:t>
      </w:r>
      <w:r w:rsidR="00307304" w:rsidRPr="0001372C">
        <w:rPr>
          <w:rFonts w:ascii="Times New Roman" w:hAnsi="Times New Roman" w:cs="Times New Roman"/>
          <w:sz w:val="28"/>
          <w:szCs w:val="28"/>
        </w:rPr>
        <w:t xml:space="preserve">the </w:t>
      </w:r>
      <w:r w:rsidRPr="0001372C">
        <w:rPr>
          <w:rFonts w:ascii="Times New Roman" w:hAnsi="Times New Roman" w:cs="Times New Roman"/>
          <w:sz w:val="28"/>
          <w:szCs w:val="28"/>
        </w:rPr>
        <w:t>variation</w:t>
      </w:r>
      <w:r w:rsidR="00307304" w:rsidRPr="0001372C">
        <w:rPr>
          <w:rFonts w:ascii="Times New Roman" w:hAnsi="Times New Roman" w:cs="Times New Roman"/>
          <w:sz w:val="28"/>
          <w:szCs w:val="28"/>
        </w:rPr>
        <w:t xml:space="preserve"> </w:t>
      </w:r>
      <w:r w:rsidRPr="0001372C">
        <w:rPr>
          <w:rFonts w:ascii="Times New Roman" w:hAnsi="Times New Roman" w:cs="Times New Roman"/>
          <w:sz w:val="28"/>
          <w:szCs w:val="28"/>
        </w:rPr>
        <w:t>in level and age patterns of mortality. Human Biology</w:t>
      </w:r>
      <w:r w:rsidR="00307304" w:rsidRPr="0001372C">
        <w:rPr>
          <w:rFonts w:ascii="Times New Roman" w:hAnsi="Times New Roman" w:cs="Times New Roman"/>
          <w:sz w:val="28"/>
          <w:szCs w:val="28"/>
        </w:rPr>
        <w:t xml:space="preserve"> </w:t>
      </w:r>
      <w:r w:rsidR="00CD15FF" w:rsidRPr="0001372C">
        <w:rPr>
          <w:rFonts w:ascii="Times New Roman" w:hAnsi="Times New Roman" w:cs="Times New Roman"/>
          <w:sz w:val="28"/>
          <w:szCs w:val="28"/>
        </w:rPr>
        <w:t>81</w:t>
      </w:r>
      <w:r w:rsidRPr="0001372C">
        <w:rPr>
          <w:rFonts w:ascii="Times New Roman" w:hAnsi="Times New Roman" w:cs="Times New Roman"/>
          <w:sz w:val="28"/>
          <w:szCs w:val="28"/>
        </w:rPr>
        <w:t xml:space="preserve">: </w:t>
      </w:r>
      <w:r w:rsidR="00CD15FF" w:rsidRPr="0001372C">
        <w:rPr>
          <w:rFonts w:ascii="Times New Roman" w:hAnsi="Times New Roman" w:cs="Times New Roman"/>
          <w:sz w:val="28"/>
          <w:szCs w:val="28"/>
        </w:rPr>
        <w:t xml:space="preserve"> 551-574.</w:t>
      </w:r>
    </w:p>
    <w:p w14:paraId="039D4952" w14:textId="4CF80BEB" w:rsidR="00AE4358" w:rsidRPr="0001372C" w:rsidRDefault="00000000" w:rsidP="007B41C6">
      <w:pPr>
        <w:pStyle w:val="PlainText"/>
        <w:jc w:val="both"/>
        <w:rPr>
          <w:rFonts w:ascii="Times New Roman" w:hAnsi="Times New Roman" w:cs="Times New Roman"/>
          <w:sz w:val="28"/>
          <w:szCs w:val="28"/>
        </w:rPr>
      </w:pPr>
      <w:hyperlink r:id="rId37" w:history="1">
        <w:r w:rsidR="00CD15FF" w:rsidRPr="0001372C">
          <w:rPr>
            <w:rStyle w:val="Hyperlink"/>
            <w:rFonts w:ascii="Times New Roman" w:hAnsi="Times New Roman" w:cs="Times New Roman"/>
            <w:sz w:val="28"/>
            <w:szCs w:val="28"/>
          </w:rPr>
          <w:t>https://doi.org/10.3378/027.081.0605</w:t>
        </w:r>
      </w:hyperlink>
    </w:p>
    <w:p w14:paraId="44127EF8" w14:textId="77777777" w:rsidR="00AE4358" w:rsidRPr="0001372C" w:rsidRDefault="00AE4358" w:rsidP="007B41C6">
      <w:pPr>
        <w:pStyle w:val="PlainText"/>
        <w:jc w:val="both"/>
        <w:rPr>
          <w:rFonts w:ascii="Times New Roman" w:hAnsi="Times New Roman" w:cs="Times New Roman"/>
          <w:sz w:val="28"/>
          <w:szCs w:val="28"/>
        </w:rPr>
      </w:pPr>
    </w:p>
    <w:p w14:paraId="53350BB8" w14:textId="68E89DCE" w:rsidR="00D27459" w:rsidRPr="0001372C" w:rsidRDefault="00C26615"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Grünberger K. (2014) Estimating food consumption patterns by reconciling food balance Sheets and household Budget surveys. F</w:t>
      </w:r>
      <w:r w:rsidR="00D27459" w:rsidRPr="0001372C">
        <w:rPr>
          <w:rFonts w:ascii="Times New Roman" w:hAnsi="Times New Roman" w:cs="Times New Roman"/>
          <w:sz w:val="28"/>
          <w:szCs w:val="28"/>
        </w:rPr>
        <w:t>ood and Agriculture Organization of the United Nations</w:t>
      </w:r>
      <w:r w:rsidRPr="0001372C">
        <w:rPr>
          <w:rFonts w:ascii="Times New Roman" w:hAnsi="Times New Roman" w:cs="Times New Roman"/>
          <w:sz w:val="28"/>
          <w:szCs w:val="28"/>
        </w:rPr>
        <w:t>, Rome.</w:t>
      </w:r>
    </w:p>
    <w:p w14:paraId="3EFAC69F" w14:textId="35A292FC" w:rsidR="006426D1" w:rsidRPr="0001372C" w:rsidRDefault="006426D1" w:rsidP="007B41C6">
      <w:pPr>
        <w:pStyle w:val="PlainText"/>
        <w:jc w:val="both"/>
        <w:rPr>
          <w:rFonts w:ascii="Times New Roman" w:hAnsi="Times New Roman" w:cs="Times New Roman"/>
          <w:sz w:val="28"/>
          <w:szCs w:val="28"/>
        </w:rPr>
      </w:pPr>
    </w:p>
    <w:p w14:paraId="0FA5D95D" w14:textId="05767A59" w:rsidR="006426D1" w:rsidRPr="0001372C" w:rsidRDefault="006426D1"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INDDEX Project (2018), Data4Diets: Building Blocks for Diet-related Food Security Analysis.  Tufts University, Boston, MA.  </w:t>
      </w:r>
      <w:hyperlink r:id="rId38" w:history="1">
        <w:r w:rsidRPr="0001372C">
          <w:rPr>
            <w:rStyle w:val="Hyperlink"/>
            <w:rFonts w:ascii="Times New Roman" w:hAnsi="Times New Roman" w:cs="Times New Roman"/>
            <w:sz w:val="28"/>
            <w:szCs w:val="28"/>
          </w:rPr>
          <w:t>https://inddex.nutrition.tufts.edu/</w:t>
        </w:r>
      </w:hyperlink>
      <w:r w:rsidRPr="0001372C">
        <w:rPr>
          <w:rFonts w:ascii="Times New Roman" w:hAnsi="Times New Roman" w:cs="Times New Roman"/>
          <w:sz w:val="28"/>
          <w:szCs w:val="28"/>
        </w:rPr>
        <w:t xml:space="preserve"> (Accessed November 2022).</w:t>
      </w:r>
    </w:p>
    <w:p w14:paraId="14AE7264" w14:textId="5504C0E7" w:rsidR="00AE4358" w:rsidRPr="0001372C" w:rsidRDefault="00AE4358" w:rsidP="007B41C6">
      <w:pPr>
        <w:pStyle w:val="PlainText"/>
        <w:jc w:val="both"/>
        <w:rPr>
          <w:rFonts w:ascii="Times New Roman" w:hAnsi="Times New Roman" w:cs="Times New Roman"/>
          <w:sz w:val="28"/>
          <w:szCs w:val="28"/>
        </w:rPr>
      </w:pPr>
    </w:p>
    <w:p w14:paraId="59CC40F4" w14:textId="66FEA3E7" w:rsidR="00566AA3" w:rsidRPr="0001372C" w:rsidRDefault="00566AA3"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Jacobs K &amp; Sumner DA (2002) The Food Balance Sheets of the Food and Agriculture Organization: A review of Potential Ways to Broaden the Appropriate uses of the Data. Berkeley, CL: Department of Agricultural Economics, University of California</w:t>
      </w:r>
      <w:r w:rsidR="00534241" w:rsidRPr="0001372C">
        <w:rPr>
          <w:rFonts w:ascii="Times New Roman" w:hAnsi="Times New Roman" w:cs="Times New Roman"/>
          <w:sz w:val="28"/>
          <w:szCs w:val="28"/>
        </w:rPr>
        <w:t>.</w:t>
      </w:r>
    </w:p>
    <w:p w14:paraId="5CC3E8A3" w14:textId="77777777" w:rsidR="00AE4358" w:rsidRPr="0001372C" w:rsidRDefault="00AE4358" w:rsidP="007B41C6">
      <w:pPr>
        <w:pStyle w:val="PlainText"/>
        <w:jc w:val="both"/>
        <w:rPr>
          <w:rFonts w:ascii="Times New Roman" w:hAnsi="Times New Roman" w:cs="Times New Roman"/>
          <w:sz w:val="28"/>
          <w:szCs w:val="28"/>
        </w:rPr>
      </w:pPr>
    </w:p>
    <w:p w14:paraId="6C08DB73" w14:textId="6AA0D4D8" w:rsidR="00D62CFA" w:rsidRPr="0001372C" w:rsidRDefault="00D62CFA"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lastRenderedPageBreak/>
        <w:t xml:space="preserve">Maxwell D. Coates J. &amp; </w:t>
      </w:r>
      <w:proofErr w:type="spellStart"/>
      <w:r w:rsidRPr="0001372C">
        <w:rPr>
          <w:rFonts w:ascii="Times New Roman" w:hAnsi="Times New Roman" w:cs="Times New Roman"/>
          <w:sz w:val="28"/>
          <w:szCs w:val="28"/>
        </w:rPr>
        <w:t>Vaitla</w:t>
      </w:r>
      <w:proofErr w:type="spellEnd"/>
      <w:r w:rsidRPr="0001372C">
        <w:rPr>
          <w:rFonts w:ascii="Times New Roman" w:hAnsi="Times New Roman" w:cs="Times New Roman"/>
          <w:sz w:val="28"/>
          <w:szCs w:val="28"/>
        </w:rPr>
        <w:t xml:space="preserve"> B. (2013). How Do Different Indicators of Household Food Security Compare? Empirical Evidence from Tigray. Feinstein International Center, Tufts University: Medford, USA</w:t>
      </w:r>
      <w:r w:rsidR="00A71198" w:rsidRPr="0001372C">
        <w:rPr>
          <w:rFonts w:ascii="Times New Roman" w:hAnsi="Times New Roman" w:cs="Times New Roman"/>
          <w:sz w:val="28"/>
          <w:szCs w:val="28"/>
        </w:rPr>
        <w:t>.</w:t>
      </w:r>
      <w:r w:rsidR="00A71198" w:rsidRPr="0001372C">
        <w:t xml:space="preserve"> </w:t>
      </w:r>
      <w:hyperlink r:id="rId39" w:history="1">
        <w:r w:rsidR="00A71198" w:rsidRPr="0001372C">
          <w:rPr>
            <w:rStyle w:val="Hyperlink"/>
            <w:rFonts w:ascii="Times New Roman" w:hAnsi="Times New Roman" w:cs="Times New Roman"/>
            <w:sz w:val="28"/>
            <w:szCs w:val="28"/>
          </w:rPr>
          <w:t>https://fic.tufts.edu/assets/Different-Indicators-of-HFS.pdf</w:t>
        </w:r>
      </w:hyperlink>
      <w:r w:rsidR="00A71198" w:rsidRPr="0001372C">
        <w:rPr>
          <w:rFonts w:ascii="Times New Roman" w:hAnsi="Times New Roman" w:cs="Times New Roman"/>
          <w:sz w:val="28"/>
          <w:szCs w:val="28"/>
        </w:rPr>
        <w:t xml:space="preserve"> (accessed September 2022).</w:t>
      </w:r>
    </w:p>
    <w:p w14:paraId="37124BD2" w14:textId="53F3799A" w:rsidR="008B7A44" w:rsidRPr="0001372C" w:rsidRDefault="008B7A44" w:rsidP="007B41C6">
      <w:pPr>
        <w:pStyle w:val="PlainText"/>
        <w:jc w:val="both"/>
        <w:rPr>
          <w:rFonts w:ascii="Times New Roman" w:hAnsi="Times New Roman" w:cs="Times New Roman"/>
          <w:sz w:val="28"/>
          <w:szCs w:val="28"/>
        </w:rPr>
      </w:pPr>
    </w:p>
    <w:p w14:paraId="184AB541" w14:textId="15153366" w:rsidR="008B7A44" w:rsidRPr="007B41C6" w:rsidRDefault="008B7A44"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Moltedo A., Troubat N., Lokshin M. &amp; Sajaia Z. (2014). Analyzing Food Security Using Household Survey </w:t>
      </w:r>
      <w:proofErr w:type="gramStart"/>
      <w:r w:rsidRPr="0001372C">
        <w:rPr>
          <w:rFonts w:ascii="Times New Roman" w:hAnsi="Times New Roman" w:cs="Times New Roman"/>
          <w:sz w:val="28"/>
          <w:szCs w:val="28"/>
        </w:rPr>
        <w:t>Data :</w:t>
      </w:r>
      <w:proofErr w:type="gramEnd"/>
      <w:r w:rsidRPr="0001372C">
        <w:rPr>
          <w:rFonts w:ascii="Times New Roman" w:hAnsi="Times New Roman" w:cs="Times New Roman"/>
          <w:sz w:val="28"/>
          <w:szCs w:val="28"/>
        </w:rPr>
        <w:t xml:space="preserve"> Streamlined Analysis with </w:t>
      </w:r>
      <w:proofErr w:type="spellStart"/>
      <w:r w:rsidRPr="0001372C">
        <w:rPr>
          <w:rFonts w:ascii="Times New Roman" w:hAnsi="Times New Roman" w:cs="Times New Roman"/>
          <w:sz w:val="28"/>
          <w:szCs w:val="28"/>
        </w:rPr>
        <w:t>ADePT</w:t>
      </w:r>
      <w:proofErr w:type="spellEnd"/>
      <w:r w:rsidRPr="0001372C">
        <w:rPr>
          <w:rFonts w:ascii="Times New Roman" w:hAnsi="Times New Roman" w:cs="Times New Roman"/>
          <w:sz w:val="28"/>
          <w:szCs w:val="28"/>
        </w:rPr>
        <w:t xml:space="preserve"> Software. Washington, DC: World Bank. World Bank. </w:t>
      </w:r>
      <w:hyperlink r:id="rId40" w:history="1">
        <w:r w:rsidRPr="0001372C">
          <w:rPr>
            <w:rStyle w:val="Hyperlink"/>
            <w:rFonts w:ascii="Times New Roman" w:hAnsi="Times New Roman" w:cs="Times New Roman"/>
            <w:sz w:val="28"/>
            <w:szCs w:val="28"/>
          </w:rPr>
          <w:t>https://openknowledge.worldbank.org/handle/10986/18091</w:t>
        </w:r>
      </w:hyperlink>
      <w:r w:rsidR="00B80906" w:rsidRPr="0001372C">
        <w:rPr>
          <w:rStyle w:val="Hyperlink"/>
          <w:rFonts w:ascii="Times New Roman" w:hAnsi="Times New Roman" w:cs="Times New Roman"/>
          <w:sz w:val="28"/>
          <w:szCs w:val="28"/>
        </w:rPr>
        <w:t xml:space="preserve"> </w:t>
      </w:r>
      <w:r w:rsidR="00B80906" w:rsidRPr="007B41C6">
        <w:rPr>
          <w:rFonts w:ascii="Times New Roman" w:hAnsi="Times New Roman" w:cs="Times New Roman"/>
          <w:sz w:val="28"/>
          <w:szCs w:val="28"/>
        </w:rPr>
        <w:t>(accessed January 2023)</w:t>
      </w:r>
    </w:p>
    <w:p w14:paraId="69618088" w14:textId="66EC34BE" w:rsidR="00B80906" w:rsidRPr="007B41C6" w:rsidRDefault="00B80906" w:rsidP="007B41C6">
      <w:pPr>
        <w:pStyle w:val="PlainText"/>
        <w:jc w:val="both"/>
      </w:pPr>
    </w:p>
    <w:p w14:paraId="0EB05789" w14:textId="0E6A71CE" w:rsidR="00B80906" w:rsidRPr="0001372C" w:rsidRDefault="00D61BE3" w:rsidP="007B41C6">
      <w:pPr>
        <w:pStyle w:val="PlainText"/>
        <w:jc w:val="both"/>
      </w:pPr>
      <w:proofErr w:type="spellStart"/>
      <w:r w:rsidRPr="00FB3E3C">
        <w:rPr>
          <w:rFonts w:ascii="Times New Roman" w:hAnsi="Times New Roman" w:cs="Times New Roman"/>
          <w:sz w:val="28"/>
          <w:szCs w:val="28"/>
          <w:lang w:val="fr-FR"/>
        </w:rPr>
        <w:t>Moltedo</w:t>
      </w:r>
      <w:proofErr w:type="spellEnd"/>
      <w:r w:rsidRPr="00FB3E3C">
        <w:rPr>
          <w:rFonts w:ascii="Times New Roman" w:hAnsi="Times New Roman" w:cs="Times New Roman"/>
          <w:sz w:val="28"/>
          <w:szCs w:val="28"/>
          <w:lang w:val="fr-FR"/>
        </w:rPr>
        <w:t xml:space="preserve"> A., </w:t>
      </w:r>
      <w:proofErr w:type="spellStart"/>
      <w:r w:rsidRPr="00FB3E3C">
        <w:rPr>
          <w:rFonts w:ascii="Times New Roman" w:hAnsi="Times New Roman" w:cs="Times New Roman"/>
          <w:sz w:val="28"/>
          <w:szCs w:val="28"/>
          <w:lang w:val="fr-FR"/>
        </w:rPr>
        <w:t>Álvarez-Sánchez</w:t>
      </w:r>
      <w:proofErr w:type="spellEnd"/>
      <w:r w:rsidRPr="00FB3E3C">
        <w:rPr>
          <w:rFonts w:ascii="Times New Roman" w:hAnsi="Times New Roman" w:cs="Times New Roman"/>
          <w:sz w:val="28"/>
          <w:szCs w:val="28"/>
          <w:lang w:val="fr-FR"/>
        </w:rPr>
        <w:t xml:space="preserve"> C., Troubat N. &amp; Cafiero C. </w:t>
      </w:r>
      <w:r w:rsidR="00B80906" w:rsidRPr="00FB3E3C">
        <w:rPr>
          <w:rFonts w:ascii="Times New Roman" w:hAnsi="Times New Roman" w:cs="Times New Roman"/>
          <w:sz w:val="28"/>
          <w:szCs w:val="28"/>
          <w:lang w:val="fr-FR"/>
        </w:rPr>
        <w:t>(2018)</w:t>
      </w:r>
      <w:r w:rsidRPr="00FB3E3C">
        <w:rPr>
          <w:rFonts w:ascii="Times New Roman" w:hAnsi="Times New Roman" w:cs="Times New Roman"/>
          <w:sz w:val="28"/>
          <w:szCs w:val="28"/>
          <w:lang w:val="fr-FR"/>
        </w:rPr>
        <w:t xml:space="preserve">. </w:t>
      </w:r>
      <w:r w:rsidR="00B80906" w:rsidRPr="0001372C">
        <w:rPr>
          <w:rFonts w:ascii="Times New Roman" w:hAnsi="Times New Roman" w:cs="Times New Roman"/>
          <w:sz w:val="28"/>
          <w:szCs w:val="28"/>
        </w:rPr>
        <w:t xml:space="preserve">Optimizing the use of </w:t>
      </w:r>
      <w:proofErr w:type="spellStart"/>
      <w:r w:rsidR="00B80906" w:rsidRPr="0001372C">
        <w:rPr>
          <w:rFonts w:ascii="Times New Roman" w:hAnsi="Times New Roman" w:cs="Times New Roman"/>
          <w:sz w:val="28"/>
          <w:szCs w:val="28"/>
        </w:rPr>
        <w:t>ADePT</w:t>
      </w:r>
      <w:proofErr w:type="spellEnd"/>
      <w:r w:rsidR="00B80906" w:rsidRPr="0001372C">
        <w:rPr>
          <w:rFonts w:ascii="Times New Roman" w:hAnsi="Times New Roman" w:cs="Times New Roman"/>
          <w:sz w:val="28"/>
          <w:szCs w:val="28"/>
        </w:rPr>
        <w:t xml:space="preserve">-Food Security Module for Nutrient Analysis </w:t>
      </w:r>
      <w:proofErr w:type="spellStart"/>
      <w:r w:rsidR="00B80906" w:rsidRPr="0001372C">
        <w:rPr>
          <w:rFonts w:ascii="Times New Roman" w:hAnsi="Times New Roman" w:cs="Times New Roman"/>
          <w:sz w:val="28"/>
          <w:szCs w:val="28"/>
        </w:rPr>
        <w:t>ADePT</w:t>
      </w:r>
      <w:proofErr w:type="spellEnd"/>
      <w:r w:rsidR="00B80906" w:rsidRPr="0001372C">
        <w:rPr>
          <w:rFonts w:ascii="Times New Roman" w:hAnsi="Times New Roman" w:cs="Times New Roman"/>
          <w:sz w:val="28"/>
          <w:szCs w:val="28"/>
        </w:rPr>
        <w:t>-FSM Version 3</w:t>
      </w:r>
      <w:r w:rsidRPr="0001372C">
        <w:rPr>
          <w:rFonts w:ascii="Times New Roman" w:hAnsi="Times New Roman" w:cs="Times New Roman"/>
          <w:sz w:val="28"/>
          <w:szCs w:val="28"/>
        </w:rPr>
        <w:t xml:space="preserve">. </w:t>
      </w:r>
      <w:r w:rsidR="00B80906" w:rsidRPr="0001372C">
        <w:rPr>
          <w:rFonts w:ascii="Times New Roman" w:hAnsi="Times New Roman" w:cs="Times New Roman"/>
          <w:sz w:val="28"/>
          <w:szCs w:val="28"/>
        </w:rPr>
        <w:t>Statistics Division (ESS) Food and Agriculture Organization of the United Nations Rom</w:t>
      </w:r>
      <w:r w:rsidRPr="0001372C">
        <w:rPr>
          <w:rFonts w:ascii="Times New Roman" w:hAnsi="Times New Roman" w:cs="Times New Roman"/>
          <w:sz w:val="28"/>
          <w:szCs w:val="28"/>
        </w:rPr>
        <w:t xml:space="preserve">e. Available at </w:t>
      </w:r>
      <w:r w:rsidR="007B22DF" w:rsidRPr="0001372C">
        <w:rPr>
          <w:rFonts w:ascii="Times New Roman" w:hAnsi="Times New Roman" w:cs="Times New Roman"/>
          <w:sz w:val="28"/>
          <w:szCs w:val="28"/>
        </w:rPr>
        <w:t xml:space="preserve">https://www.fao.org/3/cb2465en/cb2465en.pdf </w:t>
      </w:r>
      <w:r w:rsidRPr="0001372C">
        <w:rPr>
          <w:rFonts w:ascii="Times New Roman" w:hAnsi="Times New Roman" w:cs="Times New Roman"/>
          <w:sz w:val="28"/>
          <w:szCs w:val="28"/>
        </w:rPr>
        <w:t>(accessed January 2023).</w:t>
      </w:r>
    </w:p>
    <w:p w14:paraId="27A834FE" w14:textId="7B05C365" w:rsidR="00A955BC" w:rsidRPr="0001372C" w:rsidRDefault="00A955BC" w:rsidP="007B41C6">
      <w:pPr>
        <w:pStyle w:val="PlainText"/>
        <w:jc w:val="both"/>
        <w:rPr>
          <w:rStyle w:val="Hyperlink"/>
          <w:rFonts w:ascii="Times New Roman" w:hAnsi="Times New Roman" w:cs="Times New Roman"/>
          <w:sz w:val="28"/>
          <w:szCs w:val="28"/>
        </w:rPr>
      </w:pPr>
    </w:p>
    <w:p w14:paraId="2725F2B4" w14:textId="457083A2" w:rsidR="00A955BC" w:rsidRPr="0001372C" w:rsidRDefault="00A955BC" w:rsidP="007B41C6">
      <w:pPr>
        <w:pStyle w:val="PlainText"/>
        <w:jc w:val="both"/>
        <w:rPr>
          <w:rFonts w:ascii="Times New Roman" w:hAnsi="Times New Roman" w:cs="Times New Roman"/>
          <w:sz w:val="28"/>
          <w:szCs w:val="28"/>
        </w:rPr>
      </w:pPr>
      <w:proofErr w:type="spellStart"/>
      <w:r w:rsidRPr="00FB3E3C">
        <w:rPr>
          <w:rFonts w:ascii="Times New Roman" w:hAnsi="Times New Roman" w:cs="Times New Roman"/>
          <w:sz w:val="28"/>
          <w:szCs w:val="28"/>
          <w:lang w:val="fr-FR"/>
        </w:rPr>
        <w:t>Moltedo</w:t>
      </w:r>
      <w:proofErr w:type="spellEnd"/>
      <w:r w:rsidRPr="00FB3E3C">
        <w:rPr>
          <w:rFonts w:ascii="Times New Roman" w:hAnsi="Times New Roman" w:cs="Times New Roman"/>
          <w:sz w:val="28"/>
          <w:szCs w:val="28"/>
          <w:lang w:val="fr-FR"/>
        </w:rPr>
        <w:t xml:space="preserve"> A., </w:t>
      </w:r>
      <w:proofErr w:type="spellStart"/>
      <w:r w:rsidRPr="00FB3E3C">
        <w:rPr>
          <w:rFonts w:ascii="Times New Roman" w:hAnsi="Times New Roman" w:cs="Times New Roman"/>
          <w:sz w:val="28"/>
          <w:szCs w:val="28"/>
          <w:lang w:val="fr-FR"/>
        </w:rPr>
        <w:t>Álvarez-Sánchez</w:t>
      </w:r>
      <w:proofErr w:type="spellEnd"/>
      <w:r w:rsidRPr="00FB3E3C">
        <w:rPr>
          <w:rFonts w:ascii="Times New Roman" w:hAnsi="Times New Roman" w:cs="Times New Roman"/>
          <w:sz w:val="28"/>
          <w:szCs w:val="28"/>
          <w:lang w:val="fr-FR"/>
        </w:rPr>
        <w:t xml:space="preserve"> C., Troubat N. &amp; Cafiero C. (2022). </w:t>
      </w:r>
      <w:r w:rsidRPr="0001372C">
        <w:rPr>
          <w:rFonts w:ascii="Times New Roman" w:hAnsi="Times New Roman" w:cs="Times New Roman"/>
          <w:sz w:val="28"/>
          <w:szCs w:val="28"/>
        </w:rPr>
        <w:t>Estimating the prevalence of nutrient inadequacy from household consumption and expenditure surveys. FAO Statistics Working Paper Series / 22-30 DOI: 10.4060/cc2780en.</w:t>
      </w:r>
    </w:p>
    <w:p w14:paraId="69E00766" w14:textId="77777777" w:rsidR="00AE4358" w:rsidRPr="0001372C" w:rsidRDefault="00AE4358" w:rsidP="007B41C6">
      <w:pPr>
        <w:pStyle w:val="PlainText"/>
        <w:jc w:val="both"/>
        <w:rPr>
          <w:rFonts w:ascii="Times New Roman" w:hAnsi="Times New Roman" w:cs="Times New Roman"/>
          <w:sz w:val="28"/>
          <w:szCs w:val="28"/>
        </w:rPr>
      </w:pPr>
    </w:p>
    <w:p w14:paraId="5288CA4A" w14:textId="3EF6BA52" w:rsidR="00AE4358" w:rsidRPr="0001372C" w:rsidRDefault="00AE4358" w:rsidP="007B41C6">
      <w:pPr>
        <w:pStyle w:val="PlainText"/>
        <w:jc w:val="both"/>
        <w:rPr>
          <w:rFonts w:ascii="Times New Roman" w:hAnsi="Times New Roman" w:cs="Times New Roman"/>
          <w:sz w:val="28"/>
          <w:szCs w:val="28"/>
        </w:rPr>
      </w:pPr>
      <w:proofErr w:type="spellStart"/>
      <w:r w:rsidRPr="0001372C">
        <w:rPr>
          <w:rFonts w:ascii="Times New Roman" w:hAnsi="Times New Roman" w:cs="Times New Roman"/>
          <w:sz w:val="28"/>
          <w:szCs w:val="28"/>
        </w:rPr>
        <w:t>N¨arhinen</w:t>
      </w:r>
      <w:proofErr w:type="spellEnd"/>
      <w:r w:rsidRPr="0001372C">
        <w:rPr>
          <w:rFonts w:ascii="Times New Roman" w:hAnsi="Times New Roman" w:cs="Times New Roman"/>
          <w:sz w:val="28"/>
          <w:szCs w:val="28"/>
        </w:rPr>
        <w:t xml:space="preserve"> M, Berg MA, Nissinen A, Puska P. (1999).</w:t>
      </w:r>
      <w:r w:rsidR="005F5D0E" w:rsidRPr="0001372C">
        <w:rPr>
          <w:rFonts w:ascii="Times New Roman" w:hAnsi="Times New Roman" w:cs="Times New Roman"/>
          <w:sz w:val="28"/>
          <w:szCs w:val="28"/>
        </w:rPr>
        <w:t xml:space="preserve"> </w:t>
      </w:r>
      <w:r w:rsidRPr="0001372C">
        <w:rPr>
          <w:rFonts w:ascii="Times New Roman" w:hAnsi="Times New Roman" w:cs="Times New Roman"/>
          <w:sz w:val="28"/>
          <w:szCs w:val="28"/>
        </w:rPr>
        <w:t>Supermarket sales data: a tool for measuring regional</w:t>
      </w:r>
      <w:r w:rsidR="005F5D0E" w:rsidRPr="0001372C">
        <w:rPr>
          <w:rFonts w:ascii="Times New Roman" w:hAnsi="Times New Roman" w:cs="Times New Roman"/>
          <w:sz w:val="28"/>
          <w:szCs w:val="28"/>
        </w:rPr>
        <w:t xml:space="preserve"> </w:t>
      </w:r>
      <w:r w:rsidRPr="0001372C">
        <w:rPr>
          <w:rFonts w:ascii="Times New Roman" w:hAnsi="Times New Roman" w:cs="Times New Roman"/>
          <w:sz w:val="28"/>
          <w:szCs w:val="28"/>
        </w:rPr>
        <w:t>differences in dietary habits. Public Health</w:t>
      </w:r>
      <w:r w:rsidR="005F5D0E" w:rsidRPr="0001372C">
        <w:rPr>
          <w:rFonts w:ascii="Times New Roman" w:hAnsi="Times New Roman" w:cs="Times New Roman"/>
          <w:sz w:val="28"/>
          <w:szCs w:val="28"/>
        </w:rPr>
        <w:t xml:space="preserve"> </w:t>
      </w:r>
      <w:r w:rsidRPr="0001372C">
        <w:rPr>
          <w:rFonts w:ascii="Times New Roman" w:hAnsi="Times New Roman" w:cs="Times New Roman"/>
          <w:sz w:val="28"/>
          <w:szCs w:val="28"/>
        </w:rPr>
        <w:t>Nutrition 2: 277–282.</w:t>
      </w:r>
    </w:p>
    <w:p w14:paraId="64C56AD9" w14:textId="3ED3F286" w:rsidR="00AE4358" w:rsidRPr="0001372C" w:rsidRDefault="00AE4358" w:rsidP="007B41C6">
      <w:pPr>
        <w:pStyle w:val="PlainText"/>
        <w:jc w:val="both"/>
        <w:rPr>
          <w:rFonts w:ascii="Times New Roman" w:hAnsi="Times New Roman" w:cs="Times New Roman"/>
          <w:sz w:val="28"/>
          <w:szCs w:val="28"/>
        </w:rPr>
      </w:pPr>
    </w:p>
    <w:p w14:paraId="640BCB7B" w14:textId="219A3252" w:rsidR="00DC11E8" w:rsidRPr="0001372C" w:rsidRDefault="00DC11E8"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Russell, J., Lechner, A., Hanich, Q., Delisle, A., Campbell, B., &amp; Charlton, K. (2018). Assessing food security using household consumption expenditure surveys (HCES): A scoping literature review. Public Health Nutrition, 21(12), 2200-2210. doi:10.1017/S136898001800068X</w:t>
      </w:r>
    </w:p>
    <w:p w14:paraId="55036EE7" w14:textId="77777777" w:rsidR="00AE4358" w:rsidRPr="0001372C" w:rsidRDefault="00AE4358" w:rsidP="007B41C6">
      <w:pPr>
        <w:pStyle w:val="PlainText"/>
        <w:jc w:val="both"/>
        <w:rPr>
          <w:rFonts w:ascii="Times New Roman" w:hAnsi="Times New Roman" w:cs="Times New Roman"/>
          <w:sz w:val="28"/>
          <w:szCs w:val="28"/>
        </w:rPr>
      </w:pPr>
    </w:p>
    <w:p w14:paraId="6BB24DD2" w14:textId="1FFB4966" w:rsidR="00AE4358" w:rsidRPr="0001372C" w:rsidRDefault="00AE4358"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Sasaki S</w:t>
      </w:r>
      <w:r w:rsidR="00BD34EB" w:rsidRPr="0001372C">
        <w:rPr>
          <w:rFonts w:ascii="Times New Roman" w:hAnsi="Times New Roman" w:cs="Times New Roman"/>
          <w:sz w:val="28"/>
          <w:szCs w:val="28"/>
        </w:rPr>
        <w:t>. &amp;</w:t>
      </w:r>
      <w:r w:rsidRPr="0001372C">
        <w:rPr>
          <w:rFonts w:ascii="Times New Roman" w:hAnsi="Times New Roman" w:cs="Times New Roman"/>
          <w:sz w:val="28"/>
          <w:szCs w:val="28"/>
        </w:rPr>
        <w:t xml:space="preserve"> Kesteloot</w:t>
      </w:r>
      <w:r w:rsidR="00BD34EB" w:rsidRPr="0001372C">
        <w:rPr>
          <w:rFonts w:ascii="Times New Roman" w:hAnsi="Times New Roman" w:cs="Times New Roman"/>
          <w:sz w:val="28"/>
          <w:szCs w:val="28"/>
        </w:rPr>
        <w:t xml:space="preserve"> </w:t>
      </w:r>
      <w:r w:rsidRPr="0001372C">
        <w:rPr>
          <w:rFonts w:ascii="Times New Roman" w:hAnsi="Times New Roman" w:cs="Times New Roman"/>
          <w:sz w:val="28"/>
          <w:szCs w:val="28"/>
        </w:rPr>
        <w:t>H. (1992). Value of Food and Agriculture</w:t>
      </w:r>
      <w:r w:rsidR="00BD34EB" w:rsidRPr="0001372C">
        <w:rPr>
          <w:rFonts w:ascii="Times New Roman" w:hAnsi="Times New Roman" w:cs="Times New Roman"/>
          <w:sz w:val="28"/>
          <w:szCs w:val="28"/>
        </w:rPr>
        <w:t xml:space="preserve"> </w:t>
      </w:r>
      <w:r w:rsidRPr="0001372C">
        <w:rPr>
          <w:rFonts w:ascii="Times New Roman" w:hAnsi="Times New Roman" w:cs="Times New Roman"/>
          <w:sz w:val="28"/>
          <w:szCs w:val="28"/>
        </w:rPr>
        <w:t>Organization data on food-balance sheets as</w:t>
      </w:r>
      <w:r w:rsidR="00CF78C0" w:rsidRPr="0001372C">
        <w:rPr>
          <w:rFonts w:ascii="Times New Roman" w:hAnsi="Times New Roman" w:cs="Times New Roman"/>
          <w:sz w:val="28"/>
          <w:szCs w:val="28"/>
        </w:rPr>
        <w:t xml:space="preserve"> </w:t>
      </w:r>
      <w:r w:rsidRPr="0001372C">
        <w:rPr>
          <w:rFonts w:ascii="Times New Roman" w:hAnsi="Times New Roman" w:cs="Times New Roman"/>
          <w:sz w:val="28"/>
          <w:szCs w:val="28"/>
        </w:rPr>
        <w:t>a data source for dietary fat intake in epidemiologic</w:t>
      </w:r>
      <w:r w:rsidR="00BD34EB" w:rsidRPr="0001372C">
        <w:rPr>
          <w:rFonts w:ascii="Times New Roman" w:hAnsi="Times New Roman" w:cs="Times New Roman"/>
          <w:sz w:val="28"/>
          <w:szCs w:val="28"/>
        </w:rPr>
        <w:t xml:space="preserve"> </w:t>
      </w:r>
      <w:r w:rsidRPr="0001372C">
        <w:rPr>
          <w:rFonts w:ascii="Times New Roman" w:hAnsi="Times New Roman" w:cs="Times New Roman"/>
          <w:sz w:val="28"/>
          <w:szCs w:val="28"/>
        </w:rPr>
        <w:t>studies. American Journal of Clinical Nutrition 56:716–723.</w:t>
      </w:r>
    </w:p>
    <w:p w14:paraId="063B90F8" w14:textId="36353570" w:rsidR="00996B41" w:rsidRPr="0001372C" w:rsidRDefault="00996B41" w:rsidP="007B41C6">
      <w:pPr>
        <w:pStyle w:val="PlainText"/>
        <w:jc w:val="both"/>
        <w:rPr>
          <w:rFonts w:ascii="Times New Roman" w:hAnsi="Times New Roman" w:cs="Times New Roman"/>
          <w:sz w:val="28"/>
          <w:szCs w:val="28"/>
        </w:rPr>
      </w:pPr>
    </w:p>
    <w:p w14:paraId="49DA239D" w14:textId="0F05EAFE" w:rsidR="00861F24" w:rsidRPr="0001372C" w:rsidRDefault="00861F24"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Smith, L. C. &amp; Ali S. 2007. Measuring Food Security Using Household Expenditure Surveys. Food Security in Practice technical guide series. Washington, D.C.: International Food Policy Research Institute. DOI: 10.2499/0896297675</w:t>
      </w:r>
    </w:p>
    <w:p w14:paraId="0517A327" w14:textId="77777777" w:rsidR="00861F24" w:rsidRPr="0001372C" w:rsidRDefault="00861F24" w:rsidP="007B41C6">
      <w:pPr>
        <w:pStyle w:val="PlainText"/>
        <w:jc w:val="both"/>
        <w:rPr>
          <w:rFonts w:ascii="Times New Roman" w:hAnsi="Times New Roman" w:cs="Times New Roman"/>
          <w:sz w:val="28"/>
          <w:szCs w:val="28"/>
        </w:rPr>
      </w:pPr>
    </w:p>
    <w:p w14:paraId="1B70457D" w14:textId="50952775" w:rsidR="00727B99" w:rsidRPr="0001372C" w:rsidRDefault="00996B41" w:rsidP="007B41C6">
      <w:pPr>
        <w:pStyle w:val="PlainText"/>
        <w:jc w:val="both"/>
      </w:pPr>
      <w:r w:rsidRPr="0001372C">
        <w:rPr>
          <w:rFonts w:ascii="Times New Roman" w:hAnsi="Times New Roman" w:cs="Times New Roman"/>
          <w:sz w:val="28"/>
          <w:szCs w:val="28"/>
        </w:rPr>
        <w:lastRenderedPageBreak/>
        <w:t xml:space="preserve">Smith L.C., Dupriez O. &amp; Troubat N. </w:t>
      </w:r>
      <w:r w:rsidR="005D4AF5" w:rsidRPr="0001372C">
        <w:rPr>
          <w:rFonts w:ascii="Times New Roman" w:hAnsi="Times New Roman" w:cs="Times New Roman"/>
          <w:sz w:val="28"/>
          <w:szCs w:val="28"/>
        </w:rPr>
        <w:t xml:space="preserve">(2014) </w:t>
      </w:r>
      <w:r w:rsidRPr="0001372C">
        <w:rPr>
          <w:rFonts w:ascii="Times New Roman" w:hAnsi="Times New Roman" w:cs="Times New Roman"/>
          <w:sz w:val="28"/>
          <w:szCs w:val="28"/>
        </w:rPr>
        <w:t>Assessment of the Reliability and Relevance of the Food Data Collected in National Household Consumption and Expenditure Surveys. IHSN (International Household Survey Network)</w:t>
      </w:r>
      <w:r w:rsidRPr="0001372C">
        <w:t xml:space="preserve"> </w:t>
      </w:r>
      <w:r w:rsidRPr="0001372C">
        <w:rPr>
          <w:rFonts w:ascii="Times New Roman" w:hAnsi="Times New Roman" w:cs="Times New Roman"/>
          <w:sz w:val="28"/>
          <w:szCs w:val="28"/>
        </w:rPr>
        <w:t>Working Paper No. 008</w:t>
      </w:r>
      <w:r w:rsidR="005D4AF5" w:rsidRPr="0001372C">
        <w:rPr>
          <w:rFonts w:ascii="Times New Roman" w:hAnsi="Times New Roman" w:cs="Times New Roman"/>
          <w:sz w:val="28"/>
          <w:szCs w:val="28"/>
        </w:rPr>
        <w:t xml:space="preserve">. </w:t>
      </w:r>
      <w:hyperlink r:id="rId41" w:history="1">
        <w:r w:rsidRPr="0001372C">
          <w:rPr>
            <w:rStyle w:val="Hyperlink"/>
            <w:rFonts w:ascii="Times New Roman" w:hAnsi="Times New Roman" w:cs="Times New Roman"/>
            <w:sz w:val="28"/>
            <w:szCs w:val="28"/>
          </w:rPr>
          <w:t>IHSN_WP008_EN.pdf</w:t>
        </w:r>
      </w:hyperlink>
      <w:r w:rsidR="005D4AF5" w:rsidRPr="0001372C">
        <w:rPr>
          <w:rFonts w:ascii="Times New Roman" w:hAnsi="Times New Roman" w:cs="Times New Roman"/>
          <w:sz w:val="28"/>
          <w:szCs w:val="28"/>
        </w:rPr>
        <w:t xml:space="preserve"> (accessed November 2022).</w:t>
      </w:r>
    </w:p>
    <w:p w14:paraId="0C43A0DD" w14:textId="77777777" w:rsidR="005D4AF5" w:rsidRPr="0001372C" w:rsidRDefault="005D4AF5" w:rsidP="007B41C6">
      <w:pPr>
        <w:pStyle w:val="PlainText"/>
        <w:jc w:val="both"/>
        <w:rPr>
          <w:rFonts w:ascii="Times New Roman" w:hAnsi="Times New Roman" w:cs="Times New Roman"/>
          <w:sz w:val="28"/>
          <w:szCs w:val="28"/>
        </w:rPr>
      </w:pPr>
    </w:p>
    <w:p w14:paraId="09F66E47" w14:textId="33FE21F7" w:rsidR="00727B99" w:rsidRPr="0001372C" w:rsidRDefault="00727B99"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Smith MR, Micha R, Golden CD, </w:t>
      </w:r>
      <w:proofErr w:type="spellStart"/>
      <w:r w:rsidRPr="0001372C">
        <w:rPr>
          <w:rFonts w:ascii="Times New Roman" w:hAnsi="Times New Roman" w:cs="Times New Roman"/>
          <w:sz w:val="28"/>
          <w:szCs w:val="28"/>
        </w:rPr>
        <w:t>Mozaffarian</w:t>
      </w:r>
      <w:proofErr w:type="spellEnd"/>
      <w:r w:rsidRPr="0001372C">
        <w:rPr>
          <w:rFonts w:ascii="Times New Roman" w:hAnsi="Times New Roman" w:cs="Times New Roman"/>
          <w:sz w:val="28"/>
          <w:szCs w:val="28"/>
        </w:rPr>
        <w:t xml:space="preserve"> D, Myers SS (2016) Global Expanded Nutrient Supply (</w:t>
      </w:r>
      <w:proofErr w:type="spellStart"/>
      <w:r w:rsidRPr="0001372C">
        <w:rPr>
          <w:rFonts w:ascii="Times New Roman" w:hAnsi="Times New Roman" w:cs="Times New Roman"/>
          <w:sz w:val="28"/>
          <w:szCs w:val="28"/>
        </w:rPr>
        <w:t>GENuS</w:t>
      </w:r>
      <w:proofErr w:type="spellEnd"/>
      <w:r w:rsidRPr="0001372C">
        <w:rPr>
          <w:rFonts w:ascii="Times New Roman" w:hAnsi="Times New Roman" w:cs="Times New Roman"/>
          <w:sz w:val="28"/>
          <w:szCs w:val="28"/>
        </w:rPr>
        <w:t xml:space="preserve">) Model: A New Method for Estimating the Global Dietary Supply of Nutrients. </w:t>
      </w:r>
      <w:proofErr w:type="spellStart"/>
      <w:r w:rsidRPr="0001372C">
        <w:rPr>
          <w:rFonts w:ascii="Times New Roman" w:hAnsi="Times New Roman" w:cs="Times New Roman"/>
          <w:sz w:val="28"/>
          <w:szCs w:val="28"/>
        </w:rPr>
        <w:t>PLoS</w:t>
      </w:r>
      <w:proofErr w:type="spellEnd"/>
      <w:r w:rsidRPr="0001372C">
        <w:rPr>
          <w:rFonts w:ascii="Times New Roman" w:hAnsi="Times New Roman" w:cs="Times New Roman"/>
          <w:sz w:val="28"/>
          <w:szCs w:val="28"/>
        </w:rPr>
        <w:t xml:space="preserve"> ONE 11(1): e0146976. </w:t>
      </w:r>
      <w:hyperlink r:id="rId42" w:history="1">
        <w:r w:rsidR="00230CAA" w:rsidRPr="0001372C">
          <w:rPr>
            <w:rStyle w:val="Hyperlink"/>
            <w:rFonts w:ascii="Times New Roman" w:hAnsi="Times New Roman" w:cs="Times New Roman"/>
            <w:sz w:val="28"/>
            <w:szCs w:val="28"/>
          </w:rPr>
          <w:t>https://doi.org/10.1371/journal.pone.0146976</w:t>
        </w:r>
      </w:hyperlink>
    </w:p>
    <w:p w14:paraId="04BE52C7" w14:textId="040822A3" w:rsidR="00230CAA" w:rsidRPr="0001372C" w:rsidRDefault="00230CAA" w:rsidP="007B41C6">
      <w:pPr>
        <w:pStyle w:val="PlainText"/>
        <w:jc w:val="both"/>
        <w:rPr>
          <w:rFonts w:ascii="Times New Roman" w:hAnsi="Times New Roman" w:cs="Times New Roman"/>
          <w:sz w:val="28"/>
          <w:szCs w:val="28"/>
        </w:rPr>
      </w:pPr>
    </w:p>
    <w:p w14:paraId="049451E5" w14:textId="02066996" w:rsidR="00230CAA" w:rsidRPr="0001372C" w:rsidRDefault="00230CAA"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Swindale A, Ohri-Vachaspati P. (1999). Measuring Household Food Consumption: A Technical Guide. Food and Nutrition Technical Assistance Project, Academy for Educational Development, Washington DC, pp. 1–24.</w:t>
      </w:r>
    </w:p>
    <w:p w14:paraId="4B0D60C1" w14:textId="5B45ADF8" w:rsidR="003D2CEB" w:rsidRPr="0001372C" w:rsidRDefault="003D2CEB" w:rsidP="007B41C6">
      <w:pPr>
        <w:pStyle w:val="PlainText"/>
        <w:jc w:val="both"/>
        <w:rPr>
          <w:rFonts w:ascii="Times New Roman" w:hAnsi="Times New Roman" w:cs="Times New Roman"/>
          <w:sz w:val="28"/>
          <w:szCs w:val="28"/>
        </w:rPr>
      </w:pPr>
    </w:p>
    <w:p w14:paraId="1B2FFC7B" w14:textId="00BF707D" w:rsidR="003D2CEB" w:rsidRPr="0001372C" w:rsidRDefault="003D2CEB"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lang w:val="it-IT"/>
        </w:rPr>
        <w:t xml:space="preserve">Turrini, A., Saba, A., Perrone, D. E Cialfa and A D'Amicis (2001). </w:t>
      </w:r>
      <w:r w:rsidRPr="0001372C">
        <w:rPr>
          <w:rFonts w:ascii="Times New Roman" w:hAnsi="Times New Roman" w:cs="Times New Roman"/>
          <w:sz w:val="28"/>
          <w:szCs w:val="28"/>
        </w:rPr>
        <w:t xml:space="preserve">Food consumption patterns in Italy: the INN-CA Study 1994–1996. </w:t>
      </w:r>
      <w:proofErr w:type="spellStart"/>
      <w:r w:rsidRPr="0001372C">
        <w:rPr>
          <w:rFonts w:ascii="Times New Roman" w:hAnsi="Times New Roman" w:cs="Times New Roman"/>
          <w:sz w:val="28"/>
          <w:szCs w:val="28"/>
        </w:rPr>
        <w:t>Eur</w:t>
      </w:r>
      <w:proofErr w:type="spellEnd"/>
      <w:r w:rsidRPr="0001372C">
        <w:rPr>
          <w:rFonts w:ascii="Times New Roman" w:hAnsi="Times New Roman" w:cs="Times New Roman"/>
          <w:sz w:val="28"/>
          <w:szCs w:val="28"/>
        </w:rPr>
        <w:t xml:space="preserve"> J Clin Nutr 55, 571–588. https://doi.org/10.1038/sj.ejcn.1601185.</w:t>
      </w:r>
    </w:p>
    <w:p w14:paraId="3260662E" w14:textId="77777777" w:rsidR="00AE4358" w:rsidRPr="0001372C" w:rsidRDefault="00AE4358" w:rsidP="007B41C6">
      <w:pPr>
        <w:pStyle w:val="PlainText"/>
        <w:jc w:val="both"/>
        <w:rPr>
          <w:rFonts w:ascii="Times New Roman" w:hAnsi="Times New Roman" w:cs="Times New Roman"/>
          <w:sz w:val="28"/>
          <w:szCs w:val="28"/>
        </w:rPr>
      </w:pPr>
    </w:p>
    <w:p w14:paraId="7C7E7504" w14:textId="7D193CC6" w:rsidR="00023926" w:rsidRPr="0001372C" w:rsidRDefault="009142B5" w:rsidP="007B41C6">
      <w:pPr>
        <w:pStyle w:val="PlainText"/>
        <w:jc w:val="both"/>
        <w:rPr>
          <w:rFonts w:ascii="Times New Roman" w:hAnsi="Times New Roman" w:cs="Times New Roman"/>
          <w:sz w:val="28"/>
          <w:szCs w:val="28"/>
        </w:rPr>
      </w:pPr>
      <w:proofErr w:type="spellStart"/>
      <w:r w:rsidRPr="0001372C">
        <w:rPr>
          <w:rFonts w:ascii="Times New Roman" w:hAnsi="Times New Roman" w:cs="Times New Roman"/>
          <w:sz w:val="28"/>
          <w:szCs w:val="28"/>
        </w:rPr>
        <w:t>Wanner</w:t>
      </w:r>
      <w:proofErr w:type="spellEnd"/>
      <w:r w:rsidRPr="0001372C">
        <w:rPr>
          <w:rFonts w:ascii="Times New Roman" w:hAnsi="Times New Roman" w:cs="Times New Roman"/>
          <w:sz w:val="28"/>
          <w:szCs w:val="28"/>
        </w:rPr>
        <w:t xml:space="preserve"> N., Cafiero C. Troubat N. &amp; Conforti P. (2014). Refinements to the FAO methodology for estimating the Prevalence of Undernourishment indicator. </w:t>
      </w:r>
      <w:r w:rsidR="00023926" w:rsidRPr="0001372C">
        <w:rPr>
          <w:rFonts w:ascii="Times New Roman" w:hAnsi="Times New Roman" w:cs="Times New Roman"/>
          <w:sz w:val="28"/>
          <w:szCs w:val="28"/>
        </w:rPr>
        <w:t>ESS Working Paper No. 14-05, September 2014 2 Food and Agriculture Organization of the United Nations Rome</w:t>
      </w:r>
      <w:r w:rsidRPr="0001372C">
        <w:rPr>
          <w:rFonts w:ascii="Times New Roman" w:hAnsi="Times New Roman" w:cs="Times New Roman"/>
          <w:sz w:val="28"/>
          <w:szCs w:val="28"/>
        </w:rPr>
        <w:t>.</w:t>
      </w:r>
    </w:p>
    <w:p w14:paraId="5A2F9416" w14:textId="77777777" w:rsidR="00023926" w:rsidRPr="0001372C" w:rsidRDefault="00023926" w:rsidP="007B41C6">
      <w:pPr>
        <w:pStyle w:val="PlainText"/>
        <w:jc w:val="both"/>
        <w:rPr>
          <w:rFonts w:ascii="Times New Roman" w:hAnsi="Times New Roman" w:cs="Times New Roman"/>
          <w:sz w:val="28"/>
          <w:szCs w:val="28"/>
        </w:rPr>
      </w:pPr>
    </w:p>
    <w:p w14:paraId="206C395B" w14:textId="2B593BF8" w:rsidR="00112EB9" w:rsidRPr="0001372C" w:rsidRDefault="00112EB9"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Wuehler S.E., Peerson J.M. &amp; K.H. Brown (2005) Use of national food balance data to estimate the adequacy of zinc in national food supplies: methodology and regional estimates. Public Health Nutrition: 8(7), 812–819 DOI: 10.1079/PHN2005724</w:t>
      </w:r>
    </w:p>
    <w:p w14:paraId="03A82C1F" w14:textId="65B166B8" w:rsidR="000F3FBA" w:rsidRPr="0001372C" w:rsidRDefault="000F3FBA" w:rsidP="007B41C6">
      <w:pPr>
        <w:pStyle w:val="PlainText"/>
        <w:jc w:val="both"/>
        <w:rPr>
          <w:rFonts w:ascii="Times New Roman" w:hAnsi="Times New Roman" w:cs="Times New Roman"/>
          <w:sz w:val="28"/>
          <w:szCs w:val="28"/>
        </w:rPr>
      </w:pPr>
    </w:p>
    <w:p w14:paraId="61BE894B" w14:textId="0222105B" w:rsidR="000F3FBA" w:rsidRPr="0001372C" w:rsidRDefault="00E05AC8"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WHO (</w:t>
      </w:r>
      <w:r w:rsidR="000F3FBA" w:rsidRPr="0001372C">
        <w:rPr>
          <w:rFonts w:ascii="Times New Roman" w:hAnsi="Times New Roman" w:cs="Times New Roman"/>
          <w:sz w:val="28"/>
          <w:szCs w:val="28"/>
        </w:rPr>
        <w:t>World Health Organization</w:t>
      </w:r>
      <w:r w:rsidRPr="0001372C">
        <w:rPr>
          <w:rFonts w:ascii="Times New Roman" w:hAnsi="Times New Roman" w:cs="Times New Roman"/>
          <w:sz w:val="28"/>
          <w:szCs w:val="28"/>
        </w:rPr>
        <w:t>) 1996</w:t>
      </w:r>
      <w:r w:rsidR="000F3FBA" w:rsidRPr="0001372C">
        <w:rPr>
          <w:rFonts w:ascii="Times New Roman" w:hAnsi="Times New Roman" w:cs="Times New Roman"/>
          <w:sz w:val="28"/>
          <w:szCs w:val="28"/>
        </w:rPr>
        <w:t xml:space="preserve">. Trace elements in human nutrition and health. Geneva: WHO </w:t>
      </w:r>
      <w:hyperlink r:id="rId43" w:history="1">
        <w:r w:rsidR="000F3FBA" w:rsidRPr="0001372C">
          <w:rPr>
            <w:rStyle w:val="Hyperlink"/>
            <w:rFonts w:ascii="Times New Roman" w:hAnsi="Times New Roman" w:cs="Times New Roman"/>
            <w:sz w:val="28"/>
            <w:szCs w:val="28"/>
          </w:rPr>
          <w:t>https://apps.who.int/iris/handle/10665/37931</w:t>
        </w:r>
      </w:hyperlink>
      <w:r w:rsidR="000F3FBA" w:rsidRPr="0001372C">
        <w:rPr>
          <w:rFonts w:ascii="Times New Roman" w:hAnsi="Times New Roman" w:cs="Times New Roman"/>
          <w:sz w:val="28"/>
          <w:szCs w:val="28"/>
        </w:rPr>
        <w:t xml:space="preserve"> </w:t>
      </w:r>
      <w:r w:rsidR="00887DE1" w:rsidRPr="0001372C">
        <w:rPr>
          <w:rFonts w:ascii="Times New Roman" w:hAnsi="Times New Roman" w:cs="Times New Roman"/>
          <w:sz w:val="28"/>
          <w:szCs w:val="28"/>
        </w:rPr>
        <w:t>(accessed august 2022)</w:t>
      </w:r>
    </w:p>
    <w:p w14:paraId="6FDA2D5A" w14:textId="5E03D885" w:rsidR="0001396E" w:rsidRPr="0001372C" w:rsidRDefault="0001396E" w:rsidP="007B41C6">
      <w:pPr>
        <w:pStyle w:val="PlainText"/>
        <w:jc w:val="both"/>
        <w:rPr>
          <w:rFonts w:ascii="Times New Roman" w:hAnsi="Times New Roman" w:cs="Times New Roman"/>
          <w:sz w:val="28"/>
          <w:szCs w:val="28"/>
        </w:rPr>
      </w:pPr>
    </w:p>
    <w:p w14:paraId="56CEAE7E" w14:textId="65F02265" w:rsidR="0001396E" w:rsidRPr="0001372C" w:rsidRDefault="0001396E"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 xml:space="preserve">World Bank </w:t>
      </w:r>
      <w:r w:rsidR="00B90A53" w:rsidRPr="0001372C">
        <w:rPr>
          <w:rFonts w:ascii="Times New Roman" w:hAnsi="Times New Roman" w:cs="Times New Roman"/>
          <w:sz w:val="28"/>
          <w:szCs w:val="28"/>
        </w:rPr>
        <w:t>website</w:t>
      </w:r>
      <w:r w:rsidRPr="0001372C">
        <w:rPr>
          <w:rFonts w:ascii="Times New Roman" w:hAnsi="Times New Roman" w:cs="Times New Roman"/>
          <w:sz w:val="28"/>
          <w:szCs w:val="28"/>
        </w:rPr>
        <w:t xml:space="preserve">. Microdata Library. </w:t>
      </w:r>
      <w:hyperlink r:id="rId44" w:history="1">
        <w:r w:rsidR="00B90A53" w:rsidRPr="0001372C">
          <w:rPr>
            <w:rStyle w:val="Hyperlink"/>
            <w:rFonts w:ascii="Times New Roman" w:hAnsi="Times New Roman" w:cs="Times New Roman"/>
            <w:sz w:val="28"/>
            <w:szCs w:val="28"/>
          </w:rPr>
          <w:t>https://microdata.worldbank.org/index.php/home</w:t>
        </w:r>
      </w:hyperlink>
      <w:r w:rsidRPr="0001372C">
        <w:rPr>
          <w:rFonts w:ascii="Times New Roman" w:hAnsi="Times New Roman" w:cs="Times New Roman"/>
          <w:sz w:val="28"/>
          <w:szCs w:val="28"/>
        </w:rPr>
        <w:t xml:space="preserve"> Accessed November 2022.</w:t>
      </w:r>
    </w:p>
    <w:p w14:paraId="4C5AE32C" w14:textId="77777777" w:rsidR="00AE4358" w:rsidRPr="0001372C" w:rsidRDefault="00AE4358" w:rsidP="007B41C6">
      <w:pPr>
        <w:pStyle w:val="PlainText"/>
        <w:jc w:val="both"/>
        <w:rPr>
          <w:rFonts w:ascii="Times New Roman" w:hAnsi="Times New Roman" w:cs="Times New Roman"/>
          <w:sz w:val="28"/>
          <w:szCs w:val="28"/>
        </w:rPr>
      </w:pPr>
    </w:p>
    <w:p w14:paraId="3AADD33F" w14:textId="30EA73E7" w:rsidR="00DC11E8" w:rsidRPr="0001372C" w:rsidRDefault="00DC11E8" w:rsidP="007B41C6">
      <w:pPr>
        <w:pStyle w:val="PlainText"/>
        <w:jc w:val="both"/>
        <w:rPr>
          <w:rFonts w:ascii="Times New Roman" w:hAnsi="Times New Roman" w:cs="Times New Roman"/>
          <w:sz w:val="28"/>
          <w:szCs w:val="28"/>
        </w:rPr>
      </w:pPr>
      <w:r w:rsidRPr="00FB3E3C">
        <w:rPr>
          <w:rFonts w:ascii="Times New Roman" w:hAnsi="Times New Roman" w:cs="Times New Roman"/>
          <w:sz w:val="28"/>
          <w:szCs w:val="28"/>
        </w:rPr>
        <w:t xml:space="preserve">Zezza A., Carletto C., Fiedler J.L., Gennari P., Jolliffe D. (2017). </w:t>
      </w:r>
      <w:r w:rsidRPr="0001372C">
        <w:rPr>
          <w:rFonts w:ascii="Times New Roman" w:hAnsi="Times New Roman" w:cs="Times New Roman"/>
          <w:sz w:val="28"/>
          <w:szCs w:val="28"/>
        </w:rPr>
        <w:t>Food counts. Measuring food consumption and expenditures in household consumption and expenditure surveys (HCES). Introduction to the special issue,</w:t>
      </w:r>
    </w:p>
    <w:p w14:paraId="2925D5CD" w14:textId="5BA49F88" w:rsidR="00AE4358" w:rsidRPr="001A3925" w:rsidRDefault="00DC11E8" w:rsidP="007B41C6">
      <w:pPr>
        <w:pStyle w:val="PlainText"/>
        <w:jc w:val="both"/>
        <w:rPr>
          <w:rFonts w:ascii="Times New Roman" w:hAnsi="Times New Roman" w:cs="Times New Roman"/>
          <w:sz w:val="28"/>
          <w:szCs w:val="28"/>
        </w:rPr>
      </w:pPr>
      <w:r w:rsidRPr="0001372C">
        <w:rPr>
          <w:rFonts w:ascii="Times New Roman" w:hAnsi="Times New Roman" w:cs="Times New Roman"/>
          <w:sz w:val="28"/>
          <w:szCs w:val="28"/>
        </w:rPr>
        <w:t>Food Policy, 72, 1-6. ISSN 0306-9192. https://doi.org/10.1016/j.foodpol.2017.08.007.</w:t>
      </w:r>
    </w:p>
    <w:sectPr w:rsidR="00AE4358" w:rsidRPr="001A3925" w:rsidSect="008A6214">
      <w:headerReference w:type="default" r:id="rId45"/>
      <w:footerReference w:type="default" r:id="rId4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07B38" w14:textId="77777777" w:rsidR="00133EF3" w:rsidRDefault="00133EF3" w:rsidP="001152C6">
      <w:pPr>
        <w:spacing w:after="0" w:line="240" w:lineRule="auto"/>
      </w:pPr>
      <w:r>
        <w:separator/>
      </w:r>
    </w:p>
  </w:endnote>
  <w:endnote w:type="continuationSeparator" w:id="0">
    <w:p w14:paraId="76EF88D4" w14:textId="77777777" w:rsidR="00133EF3" w:rsidRDefault="00133EF3" w:rsidP="00115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810462"/>
      <w:docPartObj>
        <w:docPartGallery w:val="Page Numbers (Bottom of Page)"/>
        <w:docPartUnique/>
      </w:docPartObj>
    </w:sdtPr>
    <w:sdtContent>
      <w:p w14:paraId="2C16D366" w14:textId="05F48785" w:rsidR="0055342B" w:rsidRDefault="0055342B">
        <w:pPr>
          <w:pStyle w:val="Footer"/>
          <w:jc w:val="center"/>
        </w:pPr>
        <w:r>
          <w:fldChar w:fldCharType="begin"/>
        </w:r>
        <w:r>
          <w:instrText>PAGE   \* MERGEFORMAT</w:instrText>
        </w:r>
        <w:r>
          <w:fldChar w:fldCharType="separate"/>
        </w:r>
        <w:r>
          <w:rPr>
            <w:lang w:val="it-IT"/>
          </w:rPr>
          <w:t>2</w:t>
        </w:r>
        <w:r>
          <w:fldChar w:fldCharType="end"/>
        </w:r>
      </w:p>
    </w:sdtContent>
  </w:sdt>
  <w:p w14:paraId="2CE719F5" w14:textId="77777777" w:rsidR="0055342B" w:rsidRDefault="00553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3E28" w14:textId="77777777" w:rsidR="00133EF3" w:rsidRDefault="00133EF3" w:rsidP="001152C6">
      <w:pPr>
        <w:spacing w:after="0" w:line="240" w:lineRule="auto"/>
      </w:pPr>
      <w:r>
        <w:separator/>
      </w:r>
    </w:p>
  </w:footnote>
  <w:footnote w:type="continuationSeparator" w:id="0">
    <w:p w14:paraId="094828C0" w14:textId="77777777" w:rsidR="00133EF3" w:rsidRDefault="00133EF3" w:rsidP="00115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F24F" w14:textId="7921132F" w:rsidR="0055342B" w:rsidRDefault="0055342B">
    <w:pPr>
      <w:pStyle w:val="Header"/>
    </w:pPr>
    <w:r>
      <w:t>07.03.2023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887"/>
    <w:multiLevelType w:val="hybridMultilevel"/>
    <w:tmpl w:val="C5A01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5788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27"/>
    <w:rsid w:val="000004D7"/>
    <w:rsid w:val="0000136B"/>
    <w:rsid w:val="000013BE"/>
    <w:rsid w:val="0000159D"/>
    <w:rsid w:val="0000184B"/>
    <w:rsid w:val="000022A5"/>
    <w:rsid w:val="00002626"/>
    <w:rsid w:val="0000290A"/>
    <w:rsid w:val="00003527"/>
    <w:rsid w:val="00004357"/>
    <w:rsid w:val="00005040"/>
    <w:rsid w:val="00005A14"/>
    <w:rsid w:val="000074D9"/>
    <w:rsid w:val="00007C11"/>
    <w:rsid w:val="000102A5"/>
    <w:rsid w:val="0001044D"/>
    <w:rsid w:val="00010558"/>
    <w:rsid w:val="000109B6"/>
    <w:rsid w:val="00010D2E"/>
    <w:rsid w:val="000115A3"/>
    <w:rsid w:val="00011A1B"/>
    <w:rsid w:val="00012EE3"/>
    <w:rsid w:val="000131E6"/>
    <w:rsid w:val="0001372C"/>
    <w:rsid w:val="0001396E"/>
    <w:rsid w:val="00013D47"/>
    <w:rsid w:val="000146DD"/>
    <w:rsid w:val="00014A9B"/>
    <w:rsid w:val="00014D4B"/>
    <w:rsid w:val="00014F06"/>
    <w:rsid w:val="00016046"/>
    <w:rsid w:val="0001734D"/>
    <w:rsid w:val="000179EE"/>
    <w:rsid w:val="00020027"/>
    <w:rsid w:val="000201DB"/>
    <w:rsid w:val="00020AD0"/>
    <w:rsid w:val="00021429"/>
    <w:rsid w:val="00022397"/>
    <w:rsid w:val="00022773"/>
    <w:rsid w:val="0002298B"/>
    <w:rsid w:val="00022A95"/>
    <w:rsid w:val="0002302B"/>
    <w:rsid w:val="0002306E"/>
    <w:rsid w:val="00023926"/>
    <w:rsid w:val="00026472"/>
    <w:rsid w:val="000276BF"/>
    <w:rsid w:val="0002784F"/>
    <w:rsid w:val="00031CAE"/>
    <w:rsid w:val="00033166"/>
    <w:rsid w:val="0003449E"/>
    <w:rsid w:val="0003478B"/>
    <w:rsid w:val="0003486A"/>
    <w:rsid w:val="00034CDC"/>
    <w:rsid w:val="000356F9"/>
    <w:rsid w:val="000375C0"/>
    <w:rsid w:val="00037E70"/>
    <w:rsid w:val="000406E8"/>
    <w:rsid w:val="00041155"/>
    <w:rsid w:val="00041B68"/>
    <w:rsid w:val="00041D3A"/>
    <w:rsid w:val="00042085"/>
    <w:rsid w:val="000427DE"/>
    <w:rsid w:val="0004286B"/>
    <w:rsid w:val="00042B13"/>
    <w:rsid w:val="00042CE0"/>
    <w:rsid w:val="00044699"/>
    <w:rsid w:val="000446EA"/>
    <w:rsid w:val="00044D30"/>
    <w:rsid w:val="0004514A"/>
    <w:rsid w:val="0004516C"/>
    <w:rsid w:val="00045622"/>
    <w:rsid w:val="00046540"/>
    <w:rsid w:val="000475BF"/>
    <w:rsid w:val="0005077D"/>
    <w:rsid w:val="000512CA"/>
    <w:rsid w:val="00051BA4"/>
    <w:rsid w:val="00051C63"/>
    <w:rsid w:val="00051D60"/>
    <w:rsid w:val="000522A1"/>
    <w:rsid w:val="00052770"/>
    <w:rsid w:val="00053679"/>
    <w:rsid w:val="0005487A"/>
    <w:rsid w:val="00055596"/>
    <w:rsid w:val="00055A7D"/>
    <w:rsid w:val="00055EEC"/>
    <w:rsid w:val="000571E1"/>
    <w:rsid w:val="00057764"/>
    <w:rsid w:val="00060354"/>
    <w:rsid w:val="0006098D"/>
    <w:rsid w:val="00060B82"/>
    <w:rsid w:val="0006264A"/>
    <w:rsid w:val="0006281A"/>
    <w:rsid w:val="000646CF"/>
    <w:rsid w:val="000654A6"/>
    <w:rsid w:val="00065670"/>
    <w:rsid w:val="00065B3E"/>
    <w:rsid w:val="000706E2"/>
    <w:rsid w:val="00070B42"/>
    <w:rsid w:val="00070BDB"/>
    <w:rsid w:val="00071396"/>
    <w:rsid w:val="00071E9A"/>
    <w:rsid w:val="00072610"/>
    <w:rsid w:val="00072644"/>
    <w:rsid w:val="000727BC"/>
    <w:rsid w:val="000733FC"/>
    <w:rsid w:val="00073A74"/>
    <w:rsid w:val="00073D61"/>
    <w:rsid w:val="00074020"/>
    <w:rsid w:val="000744A1"/>
    <w:rsid w:val="0007456C"/>
    <w:rsid w:val="00074F63"/>
    <w:rsid w:val="000751FF"/>
    <w:rsid w:val="00075D9D"/>
    <w:rsid w:val="0007639F"/>
    <w:rsid w:val="00076626"/>
    <w:rsid w:val="0007687A"/>
    <w:rsid w:val="0007711B"/>
    <w:rsid w:val="00077DB4"/>
    <w:rsid w:val="000803B6"/>
    <w:rsid w:val="00081BE9"/>
    <w:rsid w:val="000820C8"/>
    <w:rsid w:val="00082337"/>
    <w:rsid w:val="0008318E"/>
    <w:rsid w:val="00083D53"/>
    <w:rsid w:val="00083DC6"/>
    <w:rsid w:val="0008417B"/>
    <w:rsid w:val="00084C34"/>
    <w:rsid w:val="00085078"/>
    <w:rsid w:val="000850B6"/>
    <w:rsid w:val="00085538"/>
    <w:rsid w:val="00085B05"/>
    <w:rsid w:val="00085C75"/>
    <w:rsid w:val="00086026"/>
    <w:rsid w:val="000863A6"/>
    <w:rsid w:val="000871AB"/>
    <w:rsid w:val="00087482"/>
    <w:rsid w:val="0009071D"/>
    <w:rsid w:val="00091251"/>
    <w:rsid w:val="00092A89"/>
    <w:rsid w:val="00093043"/>
    <w:rsid w:val="000931BA"/>
    <w:rsid w:val="0009347C"/>
    <w:rsid w:val="00093AD8"/>
    <w:rsid w:val="0009491D"/>
    <w:rsid w:val="00095735"/>
    <w:rsid w:val="0009604C"/>
    <w:rsid w:val="00096799"/>
    <w:rsid w:val="0009683D"/>
    <w:rsid w:val="00096C34"/>
    <w:rsid w:val="000974A9"/>
    <w:rsid w:val="00097907"/>
    <w:rsid w:val="00097E53"/>
    <w:rsid w:val="000A020A"/>
    <w:rsid w:val="000A14FB"/>
    <w:rsid w:val="000A2346"/>
    <w:rsid w:val="000A2650"/>
    <w:rsid w:val="000A29AF"/>
    <w:rsid w:val="000A2E50"/>
    <w:rsid w:val="000A3B63"/>
    <w:rsid w:val="000A4353"/>
    <w:rsid w:val="000A43AD"/>
    <w:rsid w:val="000A473E"/>
    <w:rsid w:val="000A4E22"/>
    <w:rsid w:val="000A529E"/>
    <w:rsid w:val="000A5B62"/>
    <w:rsid w:val="000A5C8F"/>
    <w:rsid w:val="000A7041"/>
    <w:rsid w:val="000A7130"/>
    <w:rsid w:val="000B098B"/>
    <w:rsid w:val="000B1018"/>
    <w:rsid w:val="000B1331"/>
    <w:rsid w:val="000B18A3"/>
    <w:rsid w:val="000B1E2B"/>
    <w:rsid w:val="000B211E"/>
    <w:rsid w:val="000B2E43"/>
    <w:rsid w:val="000B36DC"/>
    <w:rsid w:val="000B3990"/>
    <w:rsid w:val="000B3D23"/>
    <w:rsid w:val="000B5157"/>
    <w:rsid w:val="000B6C7D"/>
    <w:rsid w:val="000C010B"/>
    <w:rsid w:val="000C0E13"/>
    <w:rsid w:val="000C1406"/>
    <w:rsid w:val="000C1556"/>
    <w:rsid w:val="000C1658"/>
    <w:rsid w:val="000C185D"/>
    <w:rsid w:val="000C233F"/>
    <w:rsid w:val="000C254E"/>
    <w:rsid w:val="000C2C59"/>
    <w:rsid w:val="000C3D42"/>
    <w:rsid w:val="000C3FDC"/>
    <w:rsid w:val="000C4D56"/>
    <w:rsid w:val="000C64B3"/>
    <w:rsid w:val="000C65F8"/>
    <w:rsid w:val="000C6EEC"/>
    <w:rsid w:val="000C6F5D"/>
    <w:rsid w:val="000C6F97"/>
    <w:rsid w:val="000C79AB"/>
    <w:rsid w:val="000D00A7"/>
    <w:rsid w:val="000D0835"/>
    <w:rsid w:val="000D0F91"/>
    <w:rsid w:val="000D1393"/>
    <w:rsid w:val="000D157A"/>
    <w:rsid w:val="000D2F76"/>
    <w:rsid w:val="000D30C7"/>
    <w:rsid w:val="000D30ED"/>
    <w:rsid w:val="000D3471"/>
    <w:rsid w:val="000D4330"/>
    <w:rsid w:val="000D4513"/>
    <w:rsid w:val="000D4959"/>
    <w:rsid w:val="000D55B0"/>
    <w:rsid w:val="000D5E00"/>
    <w:rsid w:val="000D6139"/>
    <w:rsid w:val="000D6458"/>
    <w:rsid w:val="000D708F"/>
    <w:rsid w:val="000D7962"/>
    <w:rsid w:val="000E0B83"/>
    <w:rsid w:val="000E0D7E"/>
    <w:rsid w:val="000E15E1"/>
    <w:rsid w:val="000E181B"/>
    <w:rsid w:val="000E274E"/>
    <w:rsid w:val="000E2CC9"/>
    <w:rsid w:val="000E3705"/>
    <w:rsid w:val="000E44EE"/>
    <w:rsid w:val="000E5654"/>
    <w:rsid w:val="000E5AB7"/>
    <w:rsid w:val="000E662B"/>
    <w:rsid w:val="000E6D77"/>
    <w:rsid w:val="000F020D"/>
    <w:rsid w:val="000F0849"/>
    <w:rsid w:val="000F0C9D"/>
    <w:rsid w:val="000F155E"/>
    <w:rsid w:val="000F1745"/>
    <w:rsid w:val="000F1859"/>
    <w:rsid w:val="000F1E51"/>
    <w:rsid w:val="000F24B9"/>
    <w:rsid w:val="000F2749"/>
    <w:rsid w:val="000F2B5C"/>
    <w:rsid w:val="000F3FBA"/>
    <w:rsid w:val="000F451B"/>
    <w:rsid w:val="000F5237"/>
    <w:rsid w:val="000F5AFA"/>
    <w:rsid w:val="000F5BBE"/>
    <w:rsid w:val="000F5E6B"/>
    <w:rsid w:val="000F62C3"/>
    <w:rsid w:val="000F6ADA"/>
    <w:rsid w:val="000F6C86"/>
    <w:rsid w:val="000F6CF0"/>
    <w:rsid w:val="000F7C44"/>
    <w:rsid w:val="001001FC"/>
    <w:rsid w:val="001003B5"/>
    <w:rsid w:val="00100A63"/>
    <w:rsid w:val="00100ECD"/>
    <w:rsid w:val="001010D1"/>
    <w:rsid w:val="001013CF"/>
    <w:rsid w:val="0010215A"/>
    <w:rsid w:val="00102818"/>
    <w:rsid w:val="00103807"/>
    <w:rsid w:val="0010383F"/>
    <w:rsid w:val="001040B7"/>
    <w:rsid w:val="0010457B"/>
    <w:rsid w:val="00104987"/>
    <w:rsid w:val="001052D0"/>
    <w:rsid w:val="00106793"/>
    <w:rsid w:val="00106C8B"/>
    <w:rsid w:val="001076E5"/>
    <w:rsid w:val="0011015D"/>
    <w:rsid w:val="001106DA"/>
    <w:rsid w:val="00110AB2"/>
    <w:rsid w:val="00110CBC"/>
    <w:rsid w:val="00111A86"/>
    <w:rsid w:val="00112EB9"/>
    <w:rsid w:val="00112FCB"/>
    <w:rsid w:val="00113169"/>
    <w:rsid w:val="00113917"/>
    <w:rsid w:val="001141AC"/>
    <w:rsid w:val="00114B34"/>
    <w:rsid w:val="00115240"/>
    <w:rsid w:val="001152C6"/>
    <w:rsid w:val="0011560F"/>
    <w:rsid w:val="00116374"/>
    <w:rsid w:val="00117332"/>
    <w:rsid w:val="001174A4"/>
    <w:rsid w:val="00117A2B"/>
    <w:rsid w:val="00120870"/>
    <w:rsid w:val="00120A61"/>
    <w:rsid w:val="00120CAF"/>
    <w:rsid w:val="00120CDA"/>
    <w:rsid w:val="001211EE"/>
    <w:rsid w:val="00121453"/>
    <w:rsid w:val="00121F77"/>
    <w:rsid w:val="00122670"/>
    <w:rsid w:val="0012315A"/>
    <w:rsid w:val="001239C5"/>
    <w:rsid w:val="00124C14"/>
    <w:rsid w:val="00124D25"/>
    <w:rsid w:val="00124DED"/>
    <w:rsid w:val="0012500F"/>
    <w:rsid w:val="00125946"/>
    <w:rsid w:val="0012613A"/>
    <w:rsid w:val="0012694B"/>
    <w:rsid w:val="00126AB3"/>
    <w:rsid w:val="001270D1"/>
    <w:rsid w:val="00127905"/>
    <w:rsid w:val="001279D3"/>
    <w:rsid w:val="00127DCF"/>
    <w:rsid w:val="001305CA"/>
    <w:rsid w:val="0013084D"/>
    <w:rsid w:val="00131217"/>
    <w:rsid w:val="00131929"/>
    <w:rsid w:val="00133396"/>
    <w:rsid w:val="00133EF3"/>
    <w:rsid w:val="00133FD4"/>
    <w:rsid w:val="00135176"/>
    <w:rsid w:val="001351C3"/>
    <w:rsid w:val="0013630B"/>
    <w:rsid w:val="00136763"/>
    <w:rsid w:val="0013691F"/>
    <w:rsid w:val="00136A42"/>
    <w:rsid w:val="00136F50"/>
    <w:rsid w:val="00141DB3"/>
    <w:rsid w:val="00142573"/>
    <w:rsid w:val="0014372D"/>
    <w:rsid w:val="00143861"/>
    <w:rsid w:val="00143A09"/>
    <w:rsid w:val="001441BD"/>
    <w:rsid w:val="00144B1E"/>
    <w:rsid w:val="00145170"/>
    <w:rsid w:val="00145469"/>
    <w:rsid w:val="00145BD6"/>
    <w:rsid w:val="0014672C"/>
    <w:rsid w:val="00147ABA"/>
    <w:rsid w:val="00150394"/>
    <w:rsid w:val="00150EEE"/>
    <w:rsid w:val="001513D8"/>
    <w:rsid w:val="00151AD6"/>
    <w:rsid w:val="00151FD0"/>
    <w:rsid w:val="00153863"/>
    <w:rsid w:val="001550F8"/>
    <w:rsid w:val="00155941"/>
    <w:rsid w:val="00155D37"/>
    <w:rsid w:val="001563EA"/>
    <w:rsid w:val="00156559"/>
    <w:rsid w:val="00156833"/>
    <w:rsid w:val="00157C91"/>
    <w:rsid w:val="001601B4"/>
    <w:rsid w:val="001615FE"/>
    <w:rsid w:val="001621D8"/>
    <w:rsid w:val="001625DE"/>
    <w:rsid w:val="00162C8E"/>
    <w:rsid w:val="001636A8"/>
    <w:rsid w:val="00163AB9"/>
    <w:rsid w:val="00163AF1"/>
    <w:rsid w:val="00163D1A"/>
    <w:rsid w:val="00164037"/>
    <w:rsid w:val="00164F52"/>
    <w:rsid w:val="0016528C"/>
    <w:rsid w:val="0016543E"/>
    <w:rsid w:val="00165CEB"/>
    <w:rsid w:val="00165E93"/>
    <w:rsid w:val="0016607E"/>
    <w:rsid w:val="00167CFA"/>
    <w:rsid w:val="00170039"/>
    <w:rsid w:val="001702A2"/>
    <w:rsid w:val="001703A8"/>
    <w:rsid w:val="001710B1"/>
    <w:rsid w:val="001726A9"/>
    <w:rsid w:val="001729B3"/>
    <w:rsid w:val="00174237"/>
    <w:rsid w:val="0017499D"/>
    <w:rsid w:val="00174DD3"/>
    <w:rsid w:val="001751E7"/>
    <w:rsid w:val="001754AC"/>
    <w:rsid w:val="001759A4"/>
    <w:rsid w:val="00175BC4"/>
    <w:rsid w:val="00176704"/>
    <w:rsid w:val="00176B81"/>
    <w:rsid w:val="0018003E"/>
    <w:rsid w:val="001808F8"/>
    <w:rsid w:val="00180EE8"/>
    <w:rsid w:val="00181BCB"/>
    <w:rsid w:val="00183ED0"/>
    <w:rsid w:val="001842BC"/>
    <w:rsid w:val="0018671A"/>
    <w:rsid w:val="00186890"/>
    <w:rsid w:val="00186B17"/>
    <w:rsid w:val="00190022"/>
    <w:rsid w:val="00192C42"/>
    <w:rsid w:val="00194C60"/>
    <w:rsid w:val="00194FA0"/>
    <w:rsid w:val="00194FA1"/>
    <w:rsid w:val="00195C9C"/>
    <w:rsid w:val="00197AF0"/>
    <w:rsid w:val="00197CCE"/>
    <w:rsid w:val="001A002C"/>
    <w:rsid w:val="001A02FC"/>
    <w:rsid w:val="001A057A"/>
    <w:rsid w:val="001A05AB"/>
    <w:rsid w:val="001A0E9B"/>
    <w:rsid w:val="001A2DE1"/>
    <w:rsid w:val="001A34FF"/>
    <w:rsid w:val="001A38FE"/>
    <w:rsid w:val="001A3925"/>
    <w:rsid w:val="001A469F"/>
    <w:rsid w:val="001A484E"/>
    <w:rsid w:val="001A4A88"/>
    <w:rsid w:val="001A5263"/>
    <w:rsid w:val="001A61DA"/>
    <w:rsid w:val="001A7680"/>
    <w:rsid w:val="001B20DC"/>
    <w:rsid w:val="001B23F9"/>
    <w:rsid w:val="001B32CB"/>
    <w:rsid w:val="001B3A4A"/>
    <w:rsid w:val="001B3CD9"/>
    <w:rsid w:val="001B3EB6"/>
    <w:rsid w:val="001B4351"/>
    <w:rsid w:val="001B4AB9"/>
    <w:rsid w:val="001B66E4"/>
    <w:rsid w:val="001B6760"/>
    <w:rsid w:val="001B6868"/>
    <w:rsid w:val="001B7143"/>
    <w:rsid w:val="001B71FF"/>
    <w:rsid w:val="001B7299"/>
    <w:rsid w:val="001C0707"/>
    <w:rsid w:val="001C095D"/>
    <w:rsid w:val="001C1994"/>
    <w:rsid w:val="001C1A12"/>
    <w:rsid w:val="001C3B11"/>
    <w:rsid w:val="001C4387"/>
    <w:rsid w:val="001C47E2"/>
    <w:rsid w:val="001C4BE9"/>
    <w:rsid w:val="001C54A5"/>
    <w:rsid w:val="001C6C77"/>
    <w:rsid w:val="001C744B"/>
    <w:rsid w:val="001C748D"/>
    <w:rsid w:val="001C74DA"/>
    <w:rsid w:val="001C7582"/>
    <w:rsid w:val="001C776F"/>
    <w:rsid w:val="001C7C9C"/>
    <w:rsid w:val="001D2393"/>
    <w:rsid w:val="001D278F"/>
    <w:rsid w:val="001D29C3"/>
    <w:rsid w:val="001D3A86"/>
    <w:rsid w:val="001D3D5E"/>
    <w:rsid w:val="001D42D1"/>
    <w:rsid w:val="001D432F"/>
    <w:rsid w:val="001D4AD7"/>
    <w:rsid w:val="001D4C0D"/>
    <w:rsid w:val="001D58AB"/>
    <w:rsid w:val="001D58C1"/>
    <w:rsid w:val="001D5AD1"/>
    <w:rsid w:val="001D5D3A"/>
    <w:rsid w:val="001D61EF"/>
    <w:rsid w:val="001D6AD7"/>
    <w:rsid w:val="001D710B"/>
    <w:rsid w:val="001D7664"/>
    <w:rsid w:val="001D77C1"/>
    <w:rsid w:val="001D7D3D"/>
    <w:rsid w:val="001E018B"/>
    <w:rsid w:val="001E02D5"/>
    <w:rsid w:val="001E1062"/>
    <w:rsid w:val="001E2690"/>
    <w:rsid w:val="001E2D6F"/>
    <w:rsid w:val="001E321B"/>
    <w:rsid w:val="001E356C"/>
    <w:rsid w:val="001E37D5"/>
    <w:rsid w:val="001E3817"/>
    <w:rsid w:val="001E4388"/>
    <w:rsid w:val="001E5A13"/>
    <w:rsid w:val="001E5F02"/>
    <w:rsid w:val="001E62BC"/>
    <w:rsid w:val="001E6E8D"/>
    <w:rsid w:val="001E7029"/>
    <w:rsid w:val="001E72D2"/>
    <w:rsid w:val="001E743E"/>
    <w:rsid w:val="001E76B8"/>
    <w:rsid w:val="001F0131"/>
    <w:rsid w:val="001F12C1"/>
    <w:rsid w:val="001F2818"/>
    <w:rsid w:val="001F2ABD"/>
    <w:rsid w:val="001F2EDC"/>
    <w:rsid w:val="001F2FA4"/>
    <w:rsid w:val="001F3A79"/>
    <w:rsid w:val="001F4208"/>
    <w:rsid w:val="001F4B60"/>
    <w:rsid w:val="001F6677"/>
    <w:rsid w:val="001F6D64"/>
    <w:rsid w:val="001F7238"/>
    <w:rsid w:val="001F737D"/>
    <w:rsid w:val="001F74A4"/>
    <w:rsid w:val="001F7643"/>
    <w:rsid w:val="001F77FC"/>
    <w:rsid w:val="001F7C98"/>
    <w:rsid w:val="001F7F7C"/>
    <w:rsid w:val="002003EE"/>
    <w:rsid w:val="00200499"/>
    <w:rsid w:val="002005B7"/>
    <w:rsid w:val="0020142A"/>
    <w:rsid w:val="002018F0"/>
    <w:rsid w:val="0020223B"/>
    <w:rsid w:val="0020334A"/>
    <w:rsid w:val="00203609"/>
    <w:rsid w:val="0020391D"/>
    <w:rsid w:val="00203EAB"/>
    <w:rsid w:val="00203FA6"/>
    <w:rsid w:val="00204581"/>
    <w:rsid w:val="0020577A"/>
    <w:rsid w:val="00205D11"/>
    <w:rsid w:val="00206138"/>
    <w:rsid w:val="00206890"/>
    <w:rsid w:val="0020721B"/>
    <w:rsid w:val="00207717"/>
    <w:rsid w:val="00207ABA"/>
    <w:rsid w:val="00210BDD"/>
    <w:rsid w:val="00211211"/>
    <w:rsid w:val="00211271"/>
    <w:rsid w:val="0021163D"/>
    <w:rsid w:val="002119BD"/>
    <w:rsid w:val="002120B1"/>
    <w:rsid w:val="002120D0"/>
    <w:rsid w:val="002125E7"/>
    <w:rsid w:val="0021276F"/>
    <w:rsid w:val="00212B07"/>
    <w:rsid w:val="00212CE0"/>
    <w:rsid w:val="00213598"/>
    <w:rsid w:val="00213F8A"/>
    <w:rsid w:val="00215C04"/>
    <w:rsid w:val="002160CB"/>
    <w:rsid w:val="0021643A"/>
    <w:rsid w:val="002164C6"/>
    <w:rsid w:val="002167A7"/>
    <w:rsid w:val="00217A42"/>
    <w:rsid w:val="0022083E"/>
    <w:rsid w:val="002208EB"/>
    <w:rsid w:val="00220AFE"/>
    <w:rsid w:val="00220D38"/>
    <w:rsid w:val="00220F2C"/>
    <w:rsid w:val="00221372"/>
    <w:rsid w:val="0022259A"/>
    <w:rsid w:val="002230DD"/>
    <w:rsid w:val="002240AD"/>
    <w:rsid w:val="002249E2"/>
    <w:rsid w:val="00224AE7"/>
    <w:rsid w:val="0022507B"/>
    <w:rsid w:val="00225320"/>
    <w:rsid w:val="00225A76"/>
    <w:rsid w:val="00225CC0"/>
    <w:rsid w:val="00226266"/>
    <w:rsid w:val="00227EBF"/>
    <w:rsid w:val="00230349"/>
    <w:rsid w:val="002304F6"/>
    <w:rsid w:val="00230CAA"/>
    <w:rsid w:val="002312CE"/>
    <w:rsid w:val="00231333"/>
    <w:rsid w:val="002320B3"/>
    <w:rsid w:val="0023234B"/>
    <w:rsid w:val="002328CC"/>
    <w:rsid w:val="00232EA5"/>
    <w:rsid w:val="00232EB3"/>
    <w:rsid w:val="0023337E"/>
    <w:rsid w:val="00233567"/>
    <w:rsid w:val="00233D12"/>
    <w:rsid w:val="002343FE"/>
    <w:rsid w:val="00234586"/>
    <w:rsid w:val="00234A85"/>
    <w:rsid w:val="00235006"/>
    <w:rsid w:val="002366AC"/>
    <w:rsid w:val="00240D54"/>
    <w:rsid w:val="0024101F"/>
    <w:rsid w:val="00241F3D"/>
    <w:rsid w:val="00242A30"/>
    <w:rsid w:val="002435DF"/>
    <w:rsid w:val="00244267"/>
    <w:rsid w:val="00244402"/>
    <w:rsid w:val="00244F3E"/>
    <w:rsid w:val="00245470"/>
    <w:rsid w:val="00246098"/>
    <w:rsid w:val="0024613E"/>
    <w:rsid w:val="00247E5A"/>
    <w:rsid w:val="00250073"/>
    <w:rsid w:val="00250908"/>
    <w:rsid w:val="00250F4F"/>
    <w:rsid w:val="00250FD0"/>
    <w:rsid w:val="00251112"/>
    <w:rsid w:val="002517B7"/>
    <w:rsid w:val="002539A9"/>
    <w:rsid w:val="00255109"/>
    <w:rsid w:val="00255603"/>
    <w:rsid w:val="00255D66"/>
    <w:rsid w:val="00256D71"/>
    <w:rsid w:val="002571D4"/>
    <w:rsid w:val="00260640"/>
    <w:rsid w:val="0026099A"/>
    <w:rsid w:val="00260B83"/>
    <w:rsid w:val="00262B3F"/>
    <w:rsid w:val="00263A7B"/>
    <w:rsid w:val="002642A0"/>
    <w:rsid w:val="002643D1"/>
    <w:rsid w:val="002646F3"/>
    <w:rsid w:val="00264AFB"/>
    <w:rsid w:val="00265990"/>
    <w:rsid w:val="00266FD5"/>
    <w:rsid w:val="00267103"/>
    <w:rsid w:val="00267EBF"/>
    <w:rsid w:val="002712CA"/>
    <w:rsid w:val="0027278D"/>
    <w:rsid w:val="00272A95"/>
    <w:rsid w:val="00272B54"/>
    <w:rsid w:val="0027303C"/>
    <w:rsid w:val="00273424"/>
    <w:rsid w:val="002737AF"/>
    <w:rsid w:val="00273BDF"/>
    <w:rsid w:val="0027477F"/>
    <w:rsid w:val="002748A8"/>
    <w:rsid w:val="00275163"/>
    <w:rsid w:val="00275CC9"/>
    <w:rsid w:val="002761E0"/>
    <w:rsid w:val="00276B00"/>
    <w:rsid w:val="00276FAA"/>
    <w:rsid w:val="0027768A"/>
    <w:rsid w:val="0027796E"/>
    <w:rsid w:val="00277C64"/>
    <w:rsid w:val="00280483"/>
    <w:rsid w:val="002822F3"/>
    <w:rsid w:val="002822FB"/>
    <w:rsid w:val="0028316F"/>
    <w:rsid w:val="0028336B"/>
    <w:rsid w:val="0028341D"/>
    <w:rsid w:val="00283610"/>
    <w:rsid w:val="00283CBC"/>
    <w:rsid w:val="00284C39"/>
    <w:rsid w:val="0028540E"/>
    <w:rsid w:val="002858D8"/>
    <w:rsid w:val="00285CE6"/>
    <w:rsid w:val="002860AD"/>
    <w:rsid w:val="00286B8D"/>
    <w:rsid w:val="00287AF4"/>
    <w:rsid w:val="0029015D"/>
    <w:rsid w:val="0029020F"/>
    <w:rsid w:val="00290FDC"/>
    <w:rsid w:val="002915E3"/>
    <w:rsid w:val="002922EA"/>
    <w:rsid w:val="0029252B"/>
    <w:rsid w:val="0029291C"/>
    <w:rsid w:val="002929A2"/>
    <w:rsid w:val="00293162"/>
    <w:rsid w:val="00293309"/>
    <w:rsid w:val="002934E1"/>
    <w:rsid w:val="002938E0"/>
    <w:rsid w:val="00293F63"/>
    <w:rsid w:val="002954B9"/>
    <w:rsid w:val="002954CD"/>
    <w:rsid w:val="00297159"/>
    <w:rsid w:val="00297376"/>
    <w:rsid w:val="002973A0"/>
    <w:rsid w:val="002975AC"/>
    <w:rsid w:val="0029765B"/>
    <w:rsid w:val="00297A03"/>
    <w:rsid w:val="002A05C4"/>
    <w:rsid w:val="002A085E"/>
    <w:rsid w:val="002A14B1"/>
    <w:rsid w:val="002A1770"/>
    <w:rsid w:val="002A1873"/>
    <w:rsid w:val="002A1D2E"/>
    <w:rsid w:val="002A250C"/>
    <w:rsid w:val="002A29AC"/>
    <w:rsid w:val="002A395E"/>
    <w:rsid w:val="002A4856"/>
    <w:rsid w:val="002A4AFB"/>
    <w:rsid w:val="002A5706"/>
    <w:rsid w:val="002A775D"/>
    <w:rsid w:val="002A777D"/>
    <w:rsid w:val="002A78CA"/>
    <w:rsid w:val="002A7D6D"/>
    <w:rsid w:val="002A7FBF"/>
    <w:rsid w:val="002B0869"/>
    <w:rsid w:val="002B0C9B"/>
    <w:rsid w:val="002B0ED7"/>
    <w:rsid w:val="002B1368"/>
    <w:rsid w:val="002B1640"/>
    <w:rsid w:val="002B1CE3"/>
    <w:rsid w:val="002B2184"/>
    <w:rsid w:val="002B2493"/>
    <w:rsid w:val="002B3131"/>
    <w:rsid w:val="002B35D9"/>
    <w:rsid w:val="002B3FA7"/>
    <w:rsid w:val="002B42B8"/>
    <w:rsid w:val="002B43DE"/>
    <w:rsid w:val="002B5536"/>
    <w:rsid w:val="002B584A"/>
    <w:rsid w:val="002B5A30"/>
    <w:rsid w:val="002B6174"/>
    <w:rsid w:val="002B6610"/>
    <w:rsid w:val="002B67A9"/>
    <w:rsid w:val="002B79F0"/>
    <w:rsid w:val="002B7A74"/>
    <w:rsid w:val="002B7A83"/>
    <w:rsid w:val="002B7B56"/>
    <w:rsid w:val="002B7B6F"/>
    <w:rsid w:val="002C187F"/>
    <w:rsid w:val="002C1ADE"/>
    <w:rsid w:val="002C1DC2"/>
    <w:rsid w:val="002C21C4"/>
    <w:rsid w:val="002C2CAD"/>
    <w:rsid w:val="002C32B3"/>
    <w:rsid w:val="002C394C"/>
    <w:rsid w:val="002C3ABB"/>
    <w:rsid w:val="002C5058"/>
    <w:rsid w:val="002C5DB5"/>
    <w:rsid w:val="002C6209"/>
    <w:rsid w:val="002C6232"/>
    <w:rsid w:val="002C6B08"/>
    <w:rsid w:val="002C70E3"/>
    <w:rsid w:val="002C7500"/>
    <w:rsid w:val="002C78A5"/>
    <w:rsid w:val="002D1E16"/>
    <w:rsid w:val="002D1FF0"/>
    <w:rsid w:val="002D2929"/>
    <w:rsid w:val="002D2BC6"/>
    <w:rsid w:val="002D3572"/>
    <w:rsid w:val="002D43EE"/>
    <w:rsid w:val="002D4E70"/>
    <w:rsid w:val="002D5028"/>
    <w:rsid w:val="002D5565"/>
    <w:rsid w:val="002D5BE7"/>
    <w:rsid w:val="002D6835"/>
    <w:rsid w:val="002D69DC"/>
    <w:rsid w:val="002D7410"/>
    <w:rsid w:val="002D7730"/>
    <w:rsid w:val="002D7AE4"/>
    <w:rsid w:val="002D7EE7"/>
    <w:rsid w:val="002E1010"/>
    <w:rsid w:val="002E1476"/>
    <w:rsid w:val="002E1A5B"/>
    <w:rsid w:val="002E1B38"/>
    <w:rsid w:val="002E1F50"/>
    <w:rsid w:val="002E21BE"/>
    <w:rsid w:val="002E2DA4"/>
    <w:rsid w:val="002E31CF"/>
    <w:rsid w:val="002E48F5"/>
    <w:rsid w:val="002E4D72"/>
    <w:rsid w:val="002E5354"/>
    <w:rsid w:val="002E56EF"/>
    <w:rsid w:val="002E5D15"/>
    <w:rsid w:val="002E6321"/>
    <w:rsid w:val="002E77CF"/>
    <w:rsid w:val="002E78B5"/>
    <w:rsid w:val="002F0945"/>
    <w:rsid w:val="002F1123"/>
    <w:rsid w:val="002F1D9A"/>
    <w:rsid w:val="002F3B01"/>
    <w:rsid w:val="002F3E8C"/>
    <w:rsid w:val="002F42E4"/>
    <w:rsid w:val="002F4428"/>
    <w:rsid w:val="002F4DE6"/>
    <w:rsid w:val="002F5E4B"/>
    <w:rsid w:val="002F623A"/>
    <w:rsid w:val="0030014E"/>
    <w:rsid w:val="00300558"/>
    <w:rsid w:val="00300636"/>
    <w:rsid w:val="00300A6C"/>
    <w:rsid w:val="00301058"/>
    <w:rsid w:val="003012D8"/>
    <w:rsid w:val="0030130A"/>
    <w:rsid w:val="003018C5"/>
    <w:rsid w:val="00301F74"/>
    <w:rsid w:val="0030243B"/>
    <w:rsid w:val="00302934"/>
    <w:rsid w:val="00302BF4"/>
    <w:rsid w:val="003030D1"/>
    <w:rsid w:val="0030320E"/>
    <w:rsid w:val="00304D07"/>
    <w:rsid w:val="00304FF3"/>
    <w:rsid w:val="00305392"/>
    <w:rsid w:val="00306A04"/>
    <w:rsid w:val="00306E3C"/>
    <w:rsid w:val="00307304"/>
    <w:rsid w:val="00307665"/>
    <w:rsid w:val="00307CCE"/>
    <w:rsid w:val="003102EC"/>
    <w:rsid w:val="00311580"/>
    <w:rsid w:val="003120FB"/>
    <w:rsid w:val="0031281A"/>
    <w:rsid w:val="00312CA5"/>
    <w:rsid w:val="00312DD3"/>
    <w:rsid w:val="003136B3"/>
    <w:rsid w:val="00313C7D"/>
    <w:rsid w:val="00314525"/>
    <w:rsid w:val="0031542E"/>
    <w:rsid w:val="003154D4"/>
    <w:rsid w:val="00315926"/>
    <w:rsid w:val="00315ABD"/>
    <w:rsid w:val="00315DFF"/>
    <w:rsid w:val="00316E98"/>
    <w:rsid w:val="00317543"/>
    <w:rsid w:val="003176EA"/>
    <w:rsid w:val="003177BE"/>
    <w:rsid w:val="00317FDE"/>
    <w:rsid w:val="00320888"/>
    <w:rsid w:val="00320B16"/>
    <w:rsid w:val="00320CF4"/>
    <w:rsid w:val="00320E99"/>
    <w:rsid w:val="003213BC"/>
    <w:rsid w:val="00321E27"/>
    <w:rsid w:val="00321FD4"/>
    <w:rsid w:val="003222D2"/>
    <w:rsid w:val="003229EA"/>
    <w:rsid w:val="00322F3D"/>
    <w:rsid w:val="00323BAC"/>
    <w:rsid w:val="00323D4A"/>
    <w:rsid w:val="00323FD3"/>
    <w:rsid w:val="00324687"/>
    <w:rsid w:val="00324BBE"/>
    <w:rsid w:val="00325027"/>
    <w:rsid w:val="00325D68"/>
    <w:rsid w:val="003261AE"/>
    <w:rsid w:val="00326C82"/>
    <w:rsid w:val="00326D55"/>
    <w:rsid w:val="00326EF7"/>
    <w:rsid w:val="0032778B"/>
    <w:rsid w:val="00327DA2"/>
    <w:rsid w:val="00330855"/>
    <w:rsid w:val="003308CD"/>
    <w:rsid w:val="00330CB4"/>
    <w:rsid w:val="0033166A"/>
    <w:rsid w:val="00331A59"/>
    <w:rsid w:val="00331B7F"/>
    <w:rsid w:val="00332752"/>
    <w:rsid w:val="003327EE"/>
    <w:rsid w:val="003339BD"/>
    <w:rsid w:val="00333AD3"/>
    <w:rsid w:val="003360FB"/>
    <w:rsid w:val="003374DB"/>
    <w:rsid w:val="00340AD4"/>
    <w:rsid w:val="00340E61"/>
    <w:rsid w:val="00340E99"/>
    <w:rsid w:val="00342E38"/>
    <w:rsid w:val="00342E71"/>
    <w:rsid w:val="003431A2"/>
    <w:rsid w:val="003445FB"/>
    <w:rsid w:val="00344657"/>
    <w:rsid w:val="003459D0"/>
    <w:rsid w:val="00346531"/>
    <w:rsid w:val="003474E5"/>
    <w:rsid w:val="003476E3"/>
    <w:rsid w:val="003506E4"/>
    <w:rsid w:val="00350888"/>
    <w:rsid w:val="00350940"/>
    <w:rsid w:val="00351264"/>
    <w:rsid w:val="003517EF"/>
    <w:rsid w:val="003519E5"/>
    <w:rsid w:val="0035272B"/>
    <w:rsid w:val="00353501"/>
    <w:rsid w:val="003537E6"/>
    <w:rsid w:val="00353E78"/>
    <w:rsid w:val="003542AB"/>
    <w:rsid w:val="0035787B"/>
    <w:rsid w:val="00357C11"/>
    <w:rsid w:val="00360713"/>
    <w:rsid w:val="00360A5F"/>
    <w:rsid w:val="003613E0"/>
    <w:rsid w:val="003616E1"/>
    <w:rsid w:val="00362930"/>
    <w:rsid w:val="00362C0C"/>
    <w:rsid w:val="00362EF8"/>
    <w:rsid w:val="003641EC"/>
    <w:rsid w:val="00364316"/>
    <w:rsid w:val="003658CA"/>
    <w:rsid w:val="00365BE2"/>
    <w:rsid w:val="00366B3B"/>
    <w:rsid w:val="00367458"/>
    <w:rsid w:val="00367FD3"/>
    <w:rsid w:val="003705FF"/>
    <w:rsid w:val="00371A14"/>
    <w:rsid w:val="00371EB5"/>
    <w:rsid w:val="0037223A"/>
    <w:rsid w:val="00372DFB"/>
    <w:rsid w:val="00373139"/>
    <w:rsid w:val="003737EB"/>
    <w:rsid w:val="00373D09"/>
    <w:rsid w:val="00374167"/>
    <w:rsid w:val="00374CF8"/>
    <w:rsid w:val="0037594B"/>
    <w:rsid w:val="003762D9"/>
    <w:rsid w:val="003763D0"/>
    <w:rsid w:val="00376BA5"/>
    <w:rsid w:val="00376CC3"/>
    <w:rsid w:val="003800A6"/>
    <w:rsid w:val="00380CC0"/>
    <w:rsid w:val="00380E47"/>
    <w:rsid w:val="003810B4"/>
    <w:rsid w:val="00381487"/>
    <w:rsid w:val="00381D2E"/>
    <w:rsid w:val="0038330D"/>
    <w:rsid w:val="00383512"/>
    <w:rsid w:val="003839F0"/>
    <w:rsid w:val="00383C1B"/>
    <w:rsid w:val="00384298"/>
    <w:rsid w:val="00384908"/>
    <w:rsid w:val="00385346"/>
    <w:rsid w:val="003855FE"/>
    <w:rsid w:val="00385B33"/>
    <w:rsid w:val="00385B4B"/>
    <w:rsid w:val="00385BFA"/>
    <w:rsid w:val="00386011"/>
    <w:rsid w:val="003869CB"/>
    <w:rsid w:val="00386BB5"/>
    <w:rsid w:val="003870A8"/>
    <w:rsid w:val="0038756A"/>
    <w:rsid w:val="0038762B"/>
    <w:rsid w:val="00387809"/>
    <w:rsid w:val="00387AC2"/>
    <w:rsid w:val="00387EBA"/>
    <w:rsid w:val="003903D5"/>
    <w:rsid w:val="0039057E"/>
    <w:rsid w:val="00391015"/>
    <w:rsid w:val="003921F6"/>
    <w:rsid w:val="0039336A"/>
    <w:rsid w:val="0039345E"/>
    <w:rsid w:val="00393971"/>
    <w:rsid w:val="00393F43"/>
    <w:rsid w:val="00394378"/>
    <w:rsid w:val="003946DC"/>
    <w:rsid w:val="00395D85"/>
    <w:rsid w:val="00395FFB"/>
    <w:rsid w:val="003963B5"/>
    <w:rsid w:val="003968D4"/>
    <w:rsid w:val="00397F1F"/>
    <w:rsid w:val="003A05F9"/>
    <w:rsid w:val="003A137B"/>
    <w:rsid w:val="003A183D"/>
    <w:rsid w:val="003A1F9F"/>
    <w:rsid w:val="003A23A6"/>
    <w:rsid w:val="003A2479"/>
    <w:rsid w:val="003A2F5B"/>
    <w:rsid w:val="003A35D5"/>
    <w:rsid w:val="003A3A78"/>
    <w:rsid w:val="003A3B1D"/>
    <w:rsid w:val="003A4A9F"/>
    <w:rsid w:val="003A4D60"/>
    <w:rsid w:val="003A4FFF"/>
    <w:rsid w:val="003A5973"/>
    <w:rsid w:val="003A7BF5"/>
    <w:rsid w:val="003A7EBA"/>
    <w:rsid w:val="003A7F75"/>
    <w:rsid w:val="003B0250"/>
    <w:rsid w:val="003B034B"/>
    <w:rsid w:val="003B095E"/>
    <w:rsid w:val="003B0D89"/>
    <w:rsid w:val="003B1053"/>
    <w:rsid w:val="003B1090"/>
    <w:rsid w:val="003B14D1"/>
    <w:rsid w:val="003B1721"/>
    <w:rsid w:val="003B1AC8"/>
    <w:rsid w:val="003B1AE0"/>
    <w:rsid w:val="003B21ED"/>
    <w:rsid w:val="003B24BE"/>
    <w:rsid w:val="003B2A09"/>
    <w:rsid w:val="003B2B87"/>
    <w:rsid w:val="003B2DFE"/>
    <w:rsid w:val="003B2F9A"/>
    <w:rsid w:val="003B3746"/>
    <w:rsid w:val="003B395E"/>
    <w:rsid w:val="003B513B"/>
    <w:rsid w:val="003B53EC"/>
    <w:rsid w:val="003B5F0F"/>
    <w:rsid w:val="003B62E2"/>
    <w:rsid w:val="003B6592"/>
    <w:rsid w:val="003B7782"/>
    <w:rsid w:val="003B7BC0"/>
    <w:rsid w:val="003C0249"/>
    <w:rsid w:val="003C0799"/>
    <w:rsid w:val="003C09C3"/>
    <w:rsid w:val="003C0AC1"/>
    <w:rsid w:val="003C1A6E"/>
    <w:rsid w:val="003C1F5F"/>
    <w:rsid w:val="003C23CA"/>
    <w:rsid w:val="003C28D7"/>
    <w:rsid w:val="003C30E1"/>
    <w:rsid w:val="003C31F6"/>
    <w:rsid w:val="003C36B9"/>
    <w:rsid w:val="003C36E6"/>
    <w:rsid w:val="003C43E9"/>
    <w:rsid w:val="003C4911"/>
    <w:rsid w:val="003C4BF8"/>
    <w:rsid w:val="003C57C4"/>
    <w:rsid w:val="003C7E7E"/>
    <w:rsid w:val="003D0185"/>
    <w:rsid w:val="003D0475"/>
    <w:rsid w:val="003D1447"/>
    <w:rsid w:val="003D1F9C"/>
    <w:rsid w:val="003D2021"/>
    <w:rsid w:val="003D2152"/>
    <w:rsid w:val="003D2939"/>
    <w:rsid w:val="003D2CEB"/>
    <w:rsid w:val="003D2D01"/>
    <w:rsid w:val="003D2E7E"/>
    <w:rsid w:val="003D3E1C"/>
    <w:rsid w:val="003D46D7"/>
    <w:rsid w:val="003D482F"/>
    <w:rsid w:val="003D491F"/>
    <w:rsid w:val="003D4933"/>
    <w:rsid w:val="003D512B"/>
    <w:rsid w:val="003D5150"/>
    <w:rsid w:val="003D5FBF"/>
    <w:rsid w:val="003D64D1"/>
    <w:rsid w:val="003D6FE0"/>
    <w:rsid w:val="003D75BD"/>
    <w:rsid w:val="003D7621"/>
    <w:rsid w:val="003E21C5"/>
    <w:rsid w:val="003E24D0"/>
    <w:rsid w:val="003E27EF"/>
    <w:rsid w:val="003E2FBB"/>
    <w:rsid w:val="003E4B57"/>
    <w:rsid w:val="003E521B"/>
    <w:rsid w:val="003E5277"/>
    <w:rsid w:val="003E5F4A"/>
    <w:rsid w:val="003E7580"/>
    <w:rsid w:val="003E7EA0"/>
    <w:rsid w:val="003F0051"/>
    <w:rsid w:val="003F0092"/>
    <w:rsid w:val="003F03FC"/>
    <w:rsid w:val="003F0D7A"/>
    <w:rsid w:val="003F0E66"/>
    <w:rsid w:val="003F11E8"/>
    <w:rsid w:val="003F1299"/>
    <w:rsid w:val="003F1BD1"/>
    <w:rsid w:val="003F26A8"/>
    <w:rsid w:val="003F2ACC"/>
    <w:rsid w:val="003F38B1"/>
    <w:rsid w:val="003F391C"/>
    <w:rsid w:val="003F4640"/>
    <w:rsid w:val="003F4981"/>
    <w:rsid w:val="003F4F2E"/>
    <w:rsid w:val="003F65E6"/>
    <w:rsid w:val="003F7B72"/>
    <w:rsid w:val="003F7F1A"/>
    <w:rsid w:val="00400B3C"/>
    <w:rsid w:val="00401550"/>
    <w:rsid w:val="004018F6"/>
    <w:rsid w:val="004022F0"/>
    <w:rsid w:val="00403AE3"/>
    <w:rsid w:val="00405200"/>
    <w:rsid w:val="0040567E"/>
    <w:rsid w:val="004061E1"/>
    <w:rsid w:val="004074BE"/>
    <w:rsid w:val="004076EE"/>
    <w:rsid w:val="00407AEE"/>
    <w:rsid w:val="00410194"/>
    <w:rsid w:val="00410400"/>
    <w:rsid w:val="004107B2"/>
    <w:rsid w:val="00411814"/>
    <w:rsid w:val="004127CC"/>
    <w:rsid w:val="004129AD"/>
    <w:rsid w:val="00412B23"/>
    <w:rsid w:val="00412EE5"/>
    <w:rsid w:val="00413B5A"/>
    <w:rsid w:val="00413D51"/>
    <w:rsid w:val="00414103"/>
    <w:rsid w:val="0041447F"/>
    <w:rsid w:val="004144A5"/>
    <w:rsid w:val="0041481E"/>
    <w:rsid w:val="004156A3"/>
    <w:rsid w:val="00415D43"/>
    <w:rsid w:val="00415DF4"/>
    <w:rsid w:val="00416721"/>
    <w:rsid w:val="00417348"/>
    <w:rsid w:val="0041771B"/>
    <w:rsid w:val="00417D1F"/>
    <w:rsid w:val="0042104D"/>
    <w:rsid w:val="004211E0"/>
    <w:rsid w:val="0042168E"/>
    <w:rsid w:val="004231D8"/>
    <w:rsid w:val="00423201"/>
    <w:rsid w:val="0042360A"/>
    <w:rsid w:val="00423FC2"/>
    <w:rsid w:val="00424129"/>
    <w:rsid w:val="004245F8"/>
    <w:rsid w:val="00424F4D"/>
    <w:rsid w:val="004258CE"/>
    <w:rsid w:val="00425C1A"/>
    <w:rsid w:val="00426612"/>
    <w:rsid w:val="00426814"/>
    <w:rsid w:val="0042693B"/>
    <w:rsid w:val="00426A52"/>
    <w:rsid w:val="00426CB8"/>
    <w:rsid w:val="00427A90"/>
    <w:rsid w:val="00431714"/>
    <w:rsid w:val="004325A7"/>
    <w:rsid w:val="004329A5"/>
    <w:rsid w:val="00432FA4"/>
    <w:rsid w:val="004347B1"/>
    <w:rsid w:val="004408D8"/>
    <w:rsid w:val="00440D05"/>
    <w:rsid w:val="00442340"/>
    <w:rsid w:val="004423D5"/>
    <w:rsid w:val="0044241E"/>
    <w:rsid w:val="00442F5A"/>
    <w:rsid w:val="004430A5"/>
    <w:rsid w:val="0044439E"/>
    <w:rsid w:val="00444909"/>
    <w:rsid w:val="00444C59"/>
    <w:rsid w:val="00445267"/>
    <w:rsid w:val="00445550"/>
    <w:rsid w:val="00445ED1"/>
    <w:rsid w:val="004468AD"/>
    <w:rsid w:val="00446D00"/>
    <w:rsid w:val="00450212"/>
    <w:rsid w:val="0045099B"/>
    <w:rsid w:val="00450BAD"/>
    <w:rsid w:val="00450ED7"/>
    <w:rsid w:val="00450F1A"/>
    <w:rsid w:val="004515A6"/>
    <w:rsid w:val="00451BB5"/>
    <w:rsid w:val="004523C2"/>
    <w:rsid w:val="00453127"/>
    <w:rsid w:val="00453666"/>
    <w:rsid w:val="00453A40"/>
    <w:rsid w:val="00453CA6"/>
    <w:rsid w:val="00454363"/>
    <w:rsid w:val="004544EA"/>
    <w:rsid w:val="00455245"/>
    <w:rsid w:val="00455277"/>
    <w:rsid w:val="0045691D"/>
    <w:rsid w:val="00456ACB"/>
    <w:rsid w:val="00456EA6"/>
    <w:rsid w:val="004605B7"/>
    <w:rsid w:val="004609CF"/>
    <w:rsid w:val="00460C5E"/>
    <w:rsid w:val="00460CA8"/>
    <w:rsid w:val="00460FC0"/>
    <w:rsid w:val="004625E9"/>
    <w:rsid w:val="00462630"/>
    <w:rsid w:val="004631CD"/>
    <w:rsid w:val="00463A77"/>
    <w:rsid w:val="00463E8C"/>
    <w:rsid w:val="004649C1"/>
    <w:rsid w:val="00464B7F"/>
    <w:rsid w:val="0046549D"/>
    <w:rsid w:val="0046652C"/>
    <w:rsid w:val="0046667E"/>
    <w:rsid w:val="004700F0"/>
    <w:rsid w:val="00470B65"/>
    <w:rsid w:val="00470BDC"/>
    <w:rsid w:val="00471367"/>
    <w:rsid w:val="00471D8C"/>
    <w:rsid w:val="0047360B"/>
    <w:rsid w:val="004740CB"/>
    <w:rsid w:val="004746D0"/>
    <w:rsid w:val="004755E0"/>
    <w:rsid w:val="00476036"/>
    <w:rsid w:val="00476ABE"/>
    <w:rsid w:val="004774FC"/>
    <w:rsid w:val="00477655"/>
    <w:rsid w:val="004777CC"/>
    <w:rsid w:val="0048068B"/>
    <w:rsid w:val="00480882"/>
    <w:rsid w:val="004808C3"/>
    <w:rsid w:val="00480A6E"/>
    <w:rsid w:val="00480E6F"/>
    <w:rsid w:val="00482009"/>
    <w:rsid w:val="00482912"/>
    <w:rsid w:val="00482987"/>
    <w:rsid w:val="00483032"/>
    <w:rsid w:val="00483350"/>
    <w:rsid w:val="00483483"/>
    <w:rsid w:val="00483B48"/>
    <w:rsid w:val="00483D08"/>
    <w:rsid w:val="00485302"/>
    <w:rsid w:val="004857CC"/>
    <w:rsid w:val="004858C1"/>
    <w:rsid w:val="00485E66"/>
    <w:rsid w:val="00486A21"/>
    <w:rsid w:val="0048708E"/>
    <w:rsid w:val="00487214"/>
    <w:rsid w:val="00487299"/>
    <w:rsid w:val="004876BE"/>
    <w:rsid w:val="004909D9"/>
    <w:rsid w:val="00491163"/>
    <w:rsid w:val="00492A30"/>
    <w:rsid w:val="00493241"/>
    <w:rsid w:val="0049420D"/>
    <w:rsid w:val="0049518A"/>
    <w:rsid w:val="004A07B8"/>
    <w:rsid w:val="004A0E97"/>
    <w:rsid w:val="004A2223"/>
    <w:rsid w:val="004A38AA"/>
    <w:rsid w:val="004A39AB"/>
    <w:rsid w:val="004A3F2D"/>
    <w:rsid w:val="004A3F71"/>
    <w:rsid w:val="004A428A"/>
    <w:rsid w:val="004A43E5"/>
    <w:rsid w:val="004A4727"/>
    <w:rsid w:val="004A4733"/>
    <w:rsid w:val="004A4739"/>
    <w:rsid w:val="004A5A4B"/>
    <w:rsid w:val="004A61A1"/>
    <w:rsid w:val="004A6E61"/>
    <w:rsid w:val="004A6F1A"/>
    <w:rsid w:val="004A7CC0"/>
    <w:rsid w:val="004A7DE0"/>
    <w:rsid w:val="004B0573"/>
    <w:rsid w:val="004B0D40"/>
    <w:rsid w:val="004B0D60"/>
    <w:rsid w:val="004B0DC2"/>
    <w:rsid w:val="004B1221"/>
    <w:rsid w:val="004B1294"/>
    <w:rsid w:val="004B13AA"/>
    <w:rsid w:val="004B140E"/>
    <w:rsid w:val="004B1519"/>
    <w:rsid w:val="004B1ACF"/>
    <w:rsid w:val="004B22E2"/>
    <w:rsid w:val="004B2659"/>
    <w:rsid w:val="004B2838"/>
    <w:rsid w:val="004B46B8"/>
    <w:rsid w:val="004B4C02"/>
    <w:rsid w:val="004B522B"/>
    <w:rsid w:val="004B5380"/>
    <w:rsid w:val="004B549E"/>
    <w:rsid w:val="004B6203"/>
    <w:rsid w:val="004C0119"/>
    <w:rsid w:val="004C0892"/>
    <w:rsid w:val="004C11AF"/>
    <w:rsid w:val="004C1ABA"/>
    <w:rsid w:val="004C20A5"/>
    <w:rsid w:val="004C22D5"/>
    <w:rsid w:val="004C24CA"/>
    <w:rsid w:val="004C26A4"/>
    <w:rsid w:val="004C2ABA"/>
    <w:rsid w:val="004C32C7"/>
    <w:rsid w:val="004C3660"/>
    <w:rsid w:val="004C3B08"/>
    <w:rsid w:val="004C537C"/>
    <w:rsid w:val="004C697F"/>
    <w:rsid w:val="004C7599"/>
    <w:rsid w:val="004C7D6B"/>
    <w:rsid w:val="004D062D"/>
    <w:rsid w:val="004D08B3"/>
    <w:rsid w:val="004D0A59"/>
    <w:rsid w:val="004D0A73"/>
    <w:rsid w:val="004D1A46"/>
    <w:rsid w:val="004D1CA1"/>
    <w:rsid w:val="004D2CC1"/>
    <w:rsid w:val="004D378E"/>
    <w:rsid w:val="004D391E"/>
    <w:rsid w:val="004D3988"/>
    <w:rsid w:val="004D39BE"/>
    <w:rsid w:val="004D3BC4"/>
    <w:rsid w:val="004D4844"/>
    <w:rsid w:val="004D50F7"/>
    <w:rsid w:val="004D52DB"/>
    <w:rsid w:val="004D5335"/>
    <w:rsid w:val="004D5345"/>
    <w:rsid w:val="004D69BB"/>
    <w:rsid w:val="004D7428"/>
    <w:rsid w:val="004D7FCA"/>
    <w:rsid w:val="004E0101"/>
    <w:rsid w:val="004E01E7"/>
    <w:rsid w:val="004E06DD"/>
    <w:rsid w:val="004E0781"/>
    <w:rsid w:val="004E0A4E"/>
    <w:rsid w:val="004E1CE8"/>
    <w:rsid w:val="004E1D59"/>
    <w:rsid w:val="004E247F"/>
    <w:rsid w:val="004E2AC4"/>
    <w:rsid w:val="004E2CE6"/>
    <w:rsid w:val="004E2EFE"/>
    <w:rsid w:val="004E3AA6"/>
    <w:rsid w:val="004E3C92"/>
    <w:rsid w:val="004E3E43"/>
    <w:rsid w:val="004E45C4"/>
    <w:rsid w:val="004E4779"/>
    <w:rsid w:val="004E51E7"/>
    <w:rsid w:val="004E60A6"/>
    <w:rsid w:val="004E62E9"/>
    <w:rsid w:val="004E6798"/>
    <w:rsid w:val="004E67DB"/>
    <w:rsid w:val="004E6E76"/>
    <w:rsid w:val="004F0130"/>
    <w:rsid w:val="004F0518"/>
    <w:rsid w:val="004F09E0"/>
    <w:rsid w:val="004F12A7"/>
    <w:rsid w:val="004F1593"/>
    <w:rsid w:val="004F2656"/>
    <w:rsid w:val="004F2662"/>
    <w:rsid w:val="004F2709"/>
    <w:rsid w:val="004F2A83"/>
    <w:rsid w:val="004F2B07"/>
    <w:rsid w:val="004F2D43"/>
    <w:rsid w:val="004F2FEC"/>
    <w:rsid w:val="004F3708"/>
    <w:rsid w:val="004F390C"/>
    <w:rsid w:val="004F3FD5"/>
    <w:rsid w:val="004F442B"/>
    <w:rsid w:val="004F46D1"/>
    <w:rsid w:val="004F4A16"/>
    <w:rsid w:val="004F5CB7"/>
    <w:rsid w:val="004F5F70"/>
    <w:rsid w:val="004F72E2"/>
    <w:rsid w:val="004F78F5"/>
    <w:rsid w:val="004F7975"/>
    <w:rsid w:val="004F7987"/>
    <w:rsid w:val="004F798E"/>
    <w:rsid w:val="004F7A55"/>
    <w:rsid w:val="004F7B74"/>
    <w:rsid w:val="00501190"/>
    <w:rsid w:val="005012B5"/>
    <w:rsid w:val="005028AE"/>
    <w:rsid w:val="00502A7E"/>
    <w:rsid w:val="00502EE2"/>
    <w:rsid w:val="00503C23"/>
    <w:rsid w:val="00503F63"/>
    <w:rsid w:val="0050471C"/>
    <w:rsid w:val="00504AB7"/>
    <w:rsid w:val="00505460"/>
    <w:rsid w:val="005064D9"/>
    <w:rsid w:val="005067C3"/>
    <w:rsid w:val="00506E35"/>
    <w:rsid w:val="005073AF"/>
    <w:rsid w:val="00507BD7"/>
    <w:rsid w:val="00507EDA"/>
    <w:rsid w:val="005104AC"/>
    <w:rsid w:val="00510643"/>
    <w:rsid w:val="005107CD"/>
    <w:rsid w:val="00510B92"/>
    <w:rsid w:val="0051173A"/>
    <w:rsid w:val="00511BD3"/>
    <w:rsid w:val="00511D19"/>
    <w:rsid w:val="005125BF"/>
    <w:rsid w:val="005133B2"/>
    <w:rsid w:val="005137F3"/>
    <w:rsid w:val="005138E9"/>
    <w:rsid w:val="005138EA"/>
    <w:rsid w:val="00514043"/>
    <w:rsid w:val="005146A3"/>
    <w:rsid w:val="005147C0"/>
    <w:rsid w:val="0051486E"/>
    <w:rsid w:val="00514B76"/>
    <w:rsid w:val="00514D2F"/>
    <w:rsid w:val="00516E77"/>
    <w:rsid w:val="005174E2"/>
    <w:rsid w:val="00520853"/>
    <w:rsid w:val="00520E2B"/>
    <w:rsid w:val="00521275"/>
    <w:rsid w:val="005218DA"/>
    <w:rsid w:val="00521CFF"/>
    <w:rsid w:val="0052244C"/>
    <w:rsid w:val="00522B48"/>
    <w:rsid w:val="00523F79"/>
    <w:rsid w:val="00524A26"/>
    <w:rsid w:val="00524AB5"/>
    <w:rsid w:val="00525D75"/>
    <w:rsid w:val="0052626B"/>
    <w:rsid w:val="005264B6"/>
    <w:rsid w:val="0052653A"/>
    <w:rsid w:val="00526D56"/>
    <w:rsid w:val="005273BE"/>
    <w:rsid w:val="0052758D"/>
    <w:rsid w:val="00527E56"/>
    <w:rsid w:val="00527EF1"/>
    <w:rsid w:val="005305F4"/>
    <w:rsid w:val="005313FB"/>
    <w:rsid w:val="005317BB"/>
    <w:rsid w:val="00531B6B"/>
    <w:rsid w:val="00531FF1"/>
    <w:rsid w:val="0053225B"/>
    <w:rsid w:val="0053274C"/>
    <w:rsid w:val="005328D5"/>
    <w:rsid w:val="005329DF"/>
    <w:rsid w:val="0053301D"/>
    <w:rsid w:val="00534241"/>
    <w:rsid w:val="00535042"/>
    <w:rsid w:val="00535082"/>
    <w:rsid w:val="0053711A"/>
    <w:rsid w:val="00537654"/>
    <w:rsid w:val="00537781"/>
    <w:rsid w:val="00537B71"/>
    <w:rsid w:val="00537C9D"/>
    <w:rsid w:val="00540606"/>
    <w:rsid w:val="0054135F"/>
    <w:rsid w:val="00541CD8"/>
    <w:rsid w:val="00541F86"/>
    <w:rsid w:val="005431B0"/>
    <w:rsid w:val="005443F8"/>
    <w:rsid w:val="00544BA5"/>
    <w:rsid w:val="00544D0E"/>
    <w:rsid w:val="00545427"/>
    <w:rsid w:val="00545510"/>
    <w:rsid w:val="00545CCE"/>
    <w:rsid w:val="00550013"/>
    <w:rsid w:val="00551542"/>
    <w:rsid w:val="00551E07"/>
    <w:rsid w:val="00552520"/>
    <w:rsid w:val="00552CB0"/>
    <w:rsid w:val="00552D4A"/>
    <w:rsid w:val="0055342B"/>
    <w:rsid w:val="00553BEB"/>
    <w:rsid w:val="00553D75"/>
    <w:rsid w:val="005542D8"/>
    <w:rsid w:val="0055436F"/>
    <w:rsid w:val="005545C8"/>
    <w:rsid w:val="00554F41"/>
    <w:rsid w:val="00555912"/>
    <w:rsid w:val="00556046"/>
    <w:rsid w:val="005560F3"/>
    <w:rsid w:val="00556141"/>
    <w:rsid w:val="005567B1"/>
    <w:rsid w:val="005570E8"/>
    <w:rsid w:val="00557530"/>
    <w:rsid w:val="005577BD"/>
    <w:rsid w:val="0056032B"/>
    <w:rsid w:val="00560406"/>
    <w:rsid w:val="005604EC"/>
    <w:rsid w:val="005608D9"/>
    <w:rsid w:val="00561BB9"/>
    <w:rsid w:val="005628F9"/>
    <w:rsid w:val="0056326F"/>
    <w:rsid w:val="0056346B"/>
    <w:rsid w:val="00563922"/>
    <w:rsid w:val="00563A1D"/>
    <w:rsid w:val="00563D58"/>
    <w:rsid w:val="00563EF8"/>
    <w:rsid w:val="00564156"/>
    <w:rsid w:val="00565F08"/>
    <w:rsid w:val="00566207"/>
    <w:rsid w:val="00566AA3"/>
    <w:rsid w:val="00570956"/>
    <w:rsid w:val="00571BE4"/>
    <w:rsid w:val="00571E05"/>
    <w:rsid w:val="00573A51"/>
    <w:rsid w:val="00573A5E"/>
    <w:rsid w:val="005748EB"/>
    <w:rsid w:val="00574C96"/>
    <w:rsid w:val="005763B2"/>
    <w:rsid w:val="005763E3"/>
    <w:rsid w:val="00576597"/>
    <w:rsid w:val="00576973"/>
    <w:rsid w:val="00576A42"/>
    <w:rsid w:val="00576C5C"/>
    <w:rsid w:val="005774D4"/>
    <w:rsid w:val="0058045B"/>
    <w:rsid w:val="005806F2"/>
    <w:rsid w:val="005808BC"/>
    <w:rsid w:val="0058189C"/>
    <w:rsid w:val="00583292"/>
    <w:rsid w:val="0058424F"/>
    <w:rsid w:val="00586275"/>
    <w:rsid w:val="005871D5"/>
    <w:rsid w:val="005876DE"/>
    <w:rsid w:val="00587B92"/>
    <w:rsid w:val="00587BC1"/>
    <w:rsid w:val="00590716"/>
    <w:rsid w:val="00591BCC"/>
    <w:rsid w:val="00591EE7"/>
    <w:rsid w:val="005923AB"/>
    <w:rsid w:val="00593163"/>
    <w:rsid w:val="00593A91"/>
    <w:rsid w:val="00594B7A"/>
    <w:rsid w:val="00595270"/>
    <w:rsid w:val="00595799"/>
    <w:rsid w:val="00595C9E"/>
    <w:rsid w:val="00595FEF"/>
    <w:rsid w:val="00596DCF"/>
    <w:rsid w:val="00596E3E"/>
    <w:rsid w:val="005971A1"/>
    <w:rsid w:val="005978BA"/>
    <w:rsid w:val="00597CA5"/>
    <w:rsid w:val="00597DAC"/>
    <w:rsid w:val="00597F73"/>
    <w:rsid w:val="00597F9E"/>
    <w:rsid w:val="005A01B1"/>
    <w:rsid w:val="005A0437"/>
    <w:rsid w:val="005A0E32"/>
    <w:rsid w:val="005A0F38"/>
    <w:rsid w:val="005A1127"/>
    <w:rsid w:val="005A1E17"/>
    <w:rsid w:val="005A22AA"/>
    <w:rsid w:val="005A25F5"/>
    <w:rsid w:val="005A2684"/>
    <w:rsid w:val="005A379A"/>
    <w:rsid w:val="005A58A1"/>
    <w:rsid w:val="005A70CF"/>
    <w:rsid w:val="005B0229"/>
    <w:rsid w:val="005B023D"/>
    <w:rsid w:val="005B0D1E"/>
    <w:rsid w:val="005B11A2"/>
    <w:rsid w:val="005B16A7"/>
    <w:rsid w:val="005B2552"/>
    <w:rsid w:val="005B2DCE"/>
    <w:rsid w:val="005B3012"/>
    <w:rsid w:val="005B3303"/>
    <w:rsid w:val="005B4069"/>
    <w:rsid w:val="005B42D1"/>
    <w:rsid w:val="005B4513"/>
    <w:rsid w:val="005B4562"/>
    <w:rsid w:val="005B4A8C"/>
    <w:rsid w:val="005B5942"/>
    <w:rsid w:val="005B6E3E"/>
    <w:rsid w:val="005B6FAE"/>
    <w:rsid w:val="005C1997"/>
    <w:rsid w:val="005C31F9"/>
    <w:rsid w:val="005C344B"/>
    <w:rsid w:val="005C3B44"/>
    <w:rsid w:val="005C4A90"/>
    <w:rsid w:val="005C4F93"/>
    <w:rsid w:val="005C51CC"/>
    <w:rsid w:val="005C5E83"/>
    <w:rsid w:val="005C6265"/>
    <w:rsid w:val="005C6370"/>
    <w:rsid w:val="005C685A"/>
    <w:rsid w:val="005C6A57"/>
    <w:rsid w:val="005C6B32"/>
    <w:rsid w:val="005C7081"/>
    <w:rsid w:val="005C71B2"/>
    <w:rsid w:val="005C7ACF"/>
    <w:rsid w:val="005C7DAA"/>
    <w:rsid w:val="005D008D"/>
    <w:rsid w:val="005D00FE"/>
    <w:rsid w:val="005D0932"/>
    <w:rsid w:val="005D0C8F"/>
    <w:rsid w:val="005D1B81"/>
    <w:rsid w:val="005D1C9C"/>
    <w:rsid w:val="005D201F"/>
    <w:rsid w:val="005D23D2"/>
    <w:rsid w:val="005D36D7"/>
    <w:rsid w:val="005D3A1D"/>
    <w:rsid w:val="005D3A6A"/>
    <w:rsid w:val="005D43AC"/>
    <w:rsid w:val="005D451B"/>
    <w:rsid w:val="005D4583"/>
    <w:rsid w:val="005D4741"/>
    <w:rsid w:val="005D4AF5"/>
    <w:rsid w:val="005D5AB0"/>
    <w:rsid w:val="005D6D6B"/>
    <w:rsid w:val="005D74AD"/>
    <w:rsid w:val="005D7746"/>
    <w:rsid w:val="005D775F"/>
    <w:rsid w:val="005E0175"/>
    <w:rsid w:val="005E0676"/>
    <w:rsid w:val="005E12C8"/>
    <w:rsid w:val="005E1FAA"/>
    <w:rsid w:val="005E23D2"/>
    <w:rsid w:val="005E2F88"/>
    <w:rsid w:val="005E3589"/>
    <w:rsid w:val="005E48D0"/>
    <w:rsid w:val="005E4E64"/>
    <w:rsid w:val="005E5CD0"/>
    <w:rsid w:val="005E6288"/>
    <w:rsid w:val="005E6BF6"/>
    <w:rsid w:val="005E6F61"/>
    <w:rsid w:val="005E726D"/>
    <w:rsid w:val="005E782C"/>
    <w:rsid w:val="005E7AC4"/>
    <w:rsid w:val="005E7D73"/>
    <w:rsid w:val="005F08E6"/>
    <w:rsid w:val="005F0AB9"/>
    <w:rsid w:val="005F0D24"/>
    <w:rsid w:val="005F0E5A"/>
    <w:rsid w:val="005F14AF"/>
    <w:rsid w:val="005F1C5F"/>
    <w:rsid w:val="005F22DA"/>
    <w:rsid w:val="005F2360"/>
    <w:rsid w:val="005F24D2"/>
    <w:rsid w:val="005F2546"/>
    <w:rsid w:val="005F26B4"/>
    <w:rsid w:val="005F2B19"/>
    <w:rsid w:val="005F31ED"/>
    <w:rsid w:val="005F3399"/>
    <w:rsid w:val="005F33AD"/>
    <w:rsid w:val="005F35FA"/>
    <w:rsid w:val="005F3888"/>
    <w:rsid w:val="005F4DAF"/>
    <w:rsid w:val="005F5036"/>
    <w:rsid w:val="005F544D"/>
    <w:rsid w:val="005F5A2D"/>
    <w:rsid w:val="005F5D0E"/>
    <w:rsid w:val="005F6494"/>
    <w:rsid w:val="005F676B"/>
    <w:rsid w:val="005F7E99"/>
    <w:rsid w:val="005F7F8A"/>
    <w:rsid w:val="006000D3"/>
    <w:rsid w:val="00601206"/>
    <w:rsid w:val="00601C9C"/>
    <w:rsid w:val="00601D97"/>
    <w:rsid w:val="00601DE4"/>
    <w:rsid w:val="006020C2"/>
    <w:rsid w:val="006023DB"/>
    <w:rsid w:val="00602504"/>
    <w:rsid w:val="00602597"/>
    <w:rsid w:val="006025D7"/>
    <w:rsid w:val="00602869"/>
    <w:rsid w:val="00602C49"/>
    <w:rsid w:val="006036BC"/>
    <w:rsid w:val="006037C5"/>
    <w:rsid w:val="006038C5"/>
    <w:rsid w:val="00603D73"/>
    <w:rsid w:val="00604306"/>
    <w:rsid w:val="00604ABC"/>
    <w:rsid w:val="00604C41"/>
    <w:rsid w:val="006062F4"/>
    <w:rsid w:val="0061043B"/>
    <w:rsid w:val="006107A7"/>
    <w:rsid w:val="00610F65"/>
    <w:rsid w:val="006117AB"/>
    <w:rsid w:val="006134D6"/>
    <w:rsid w:val="00613C1C"/>
    <w:rsid w:val="0061402C"/>
    <w:rsid w:val="00614571"/>
    <w:rsid w:val="00614C93"/>
    <w:rsid w:val="00614CE8"/>
    <w:rsid w:val="0061505B"/>
    <w:rsid w:val="00615A21"/>
    <w:rsid w:val="00615F05"/>
    <w:rsid w:val="006169A3"/>
    <w:rsid w:val="006173B9"/>
    <w:rsid w:val="00617568"/>
    <w:rsid w:val="00622664"/>
    <w:rsid w:val="00622A80"/>
    <w:rsid w:val="00622A82"/>
    <w:rsid w:val="00622B1E"/>
    <w:rsid w:val="00623491"/>
    <w:rsid w:val="00623513"/>
    <w:rsid w:val="006240F5"/>
    <w:rsid w:val="00624707"/>
    <w:rsid w:val="00625687"/>
    <w:rsid w:val="00626415"/>
    <w:rsid w:val="00626C84"/>
    <w:rsid w:val="00626E84"/>
    <w:rsid w:val="00626F02"/>
    <w:rsid w:val="00630048"/>
    <w:rsid w:val="006302D0"/>
    <w:rsid w:val="0063056D"/>
    <w:rsid w:val="006308AB"/>
    <w:rsid w:val="0063105E"/>
    <w:rsid w:val="00631398"/>
    <w:rsid w:val="00631E94"/>
    <w:rsid w:val="00632853"/>
    <w:rsid w:val="006328E5"/>
    <w:rsid w:val="00632EEF"/>
    <w:rsid w:val="006340C4"/>
    <w:rsid w:val="00634999"/>
    <w:rsid w:val="0063653C"/>
    <w:rsid w:val="00636B5C"/>
    <w:rsid w:val="00637AA1"/>
    <w:rsid w:val="00640258"/>
    <w:rsid w:val="006405FC"/>
    <w:rsid w:val="00640896"/>
    <w:rsid w:val="006409E0"/>
    <w:rsid w:val="00640DD2"/>
    <w:rsid w:val="00640DF1"/>
    <w:rsid w:val="00641515"/>
    <w:rsid w:val="006416AB"/>
    <w:rsid w:val="00641744"/>
    <w:rsid w:val="00641B5D"/>
    <w:rsid w:val="00641DA7"/>
    <w:rsid w:val="006426D1"/>
    <w:rsid w:val="00642C97"/>
    <w:rsid w:val="00643053"/>
    <w:rsid w:val="006433E7"/>
    <w:rsid w:val="00644003"/>
    <w:rsid w:val="00644756"/>
    <w:rsid w:val="00645634"/>
    <w:rsid w:val="00645A9C"/>
    <w:rsid w:val="00646499"/>
    <w:rsid w:val="00646C5E"/>
    <w:rsid w:val="00646E43"/>
    <w:rsid w:val="00647355"/>
    <w:rsid w:val="00647489"/>
    <w:rsid w:val="006478C1"/>
    <w:rsid w:val="006500A8"/>
    <w:rsid w:val="00650305"/>
    <w:rsid w:val="00650D5F"/>
    <w:rsid w:val="00651F00"/>
    <w:rsid w:val="006521E0"/>
    <w:rsid w:val="00652460"/>
    <w:rsid w:val="006524B3"/>
    <w:rsid w:val="006525E4"/>
    <w:rsid w:val="00655147"/>
    <w:rsid w:val="00655D14"/>
    <w:rsid w:val="0065625B"/>
    <w:rsid w:val="0065655A"/>
    <w:rsid w:val="00656635"/>
    <w:rsid w:val="00656DE3"/>
    <w:rsid w:val="00656FC6"/>
    <w:rsid w:val="00657B6B"/>
    <w:rsid w:val="00657E87"/>
    <w:rsid w:val="006607AE"/>
    <w:rsid w:val="00660D4B"/>
    <w:rsid w:val="0066102A"/>
    <w:rsid w:val="00661D57"/>
    <w:rsid w:val="00662797"/>
    <w:rsid w:val="00662AB7"/>
    <w:rsid w:val="00664C00"/>
    <w:rsid w:val="00664F67"/>
    <w:rsid w:val="00665022"/>
    <w:rsid w:val="006650EC"/>
    <w:rsid w:val="00665B0C"/>
    <w:rsid w:val="00665B15"/>
    <w:rsid w:val="006663BB"/>
    <w:rsid w:val="0067004B"/>
    <w:rsid w:val="0067006A"/>
    <w:rsid w:val="00670543"/>
    <w:rsid w:val="00671294"/>
    <w:rsid w:val="0067191B"/>
    <w:rsid w:val="00671B74"/>
    <w:rsid w:val="0067218C"/>
    <w:rsid w:val="00672E9D"/>
    <w:rsid w:val="00673146"/>
    <w:rsid w:val="00673FE7"/>
    <w:rsid w:val="00674082"/>
    <w:rsid w:val="006740F7"/>
    <w:rsid w:val="00674BB2"/>
    <w:rsid w:val="00675947"/>
    <w:rsid w:val="006764C9"/>
    <w:rsid w:val="00677F1F"/>
    <w:rsid w:val="0068153C"/>
    <w:rsid w:val="00681B0D"/>
    <w:rsid w:val="006820F7"/>
    <w:rsid w:val="00682735"/>
    <w:rsid w:val="006839B0"/>
    <w:rsid w:val="006844E7"/>
    <w:rsid w:val="00684AEC"/>
    <w:rsid w:val="006855BF"/>
    <w:rsid w:val="006863E3"/>
    <w:rsid w:val="00686B0E"/>
    <w:rsid w:val="00686D2F"/>
    <w:rsid w:val="00687490"/>
    <w:rsid w:val="006876B4"/>
    <w:rsid w:val="00687D78"/>
    <w:rsid w:val="006908AA"/>
    <w:rsid w:val="00690B1E"/>
    <w:rsid w:val="00690B44"/>
    <w:rsid w:val="00691169"/>
    <w:rsid w:val="006920F8"/>
    <w:rsid w:val="006922E9"/>
    <w:rsid w:val="00692619"/>
    <w:rsid w:val="006927CE"/>
    <w:rsid w:val="006929D1"/>
    <w:rsid w:val="00692AB9"/>
    <w:rsid w:val="00692C4E"/>
    <w:rsid w:val="00693F3A"/>
    <w:rsid w:val="00694C55"/>
    <w:rsid w:val="00696CDC"/>
    <w:rsid w:val="00697578"/>
    <w:rsid w:val="006A021D"/>
    <w:rsid w:val="006A0356"/>
    <w:rsid w:val="006A039C"/>
    <w:rsid w:val="006A0E76"/>
    <w:rsid w:val="006A1DC4"/>
    <w:rsid w:val="006A2617"/>
    <w:rsid w:val="006A31D2"/>
    <w:rsid w:val="006A32E5"/>
    <w:rsid w:val="006A369A"/>
    <w:rsid w:val="006A3D6E"/>
    <w:rsid w:val="006A3DD3"/>
    <w:rsid w:val="006A3F01"/>
    <w:rsid w:val="006A41E5"/>
    <w:rsid w:val="006A4229"/>
    <w:rsid w:val="006A43BB"/>
    <w:rsid w:val="006A4DAA"/>
    <w:rsid w:val="006A4EC5"/>
    <w:rsid w:val="006A530B"/>
    <w:rsid w:val="006A59E5"/>
    <w:rsid w:val="006A5B97"/>
    <w:rsid w:val="006A648A"/>
    <w:rsid w:val="006A6869"/>
    <w:rsid w:val="006A7027"/>
    <w:rsid w:val="006A75CC"/>
    <w:rsid w:val="006B00B7"/>
    <w:rsid w:val="006B0D5B"/>
    <w:rsid w:val="006B19C7"/>
    <w:rsid w:val="006B1FC0"/>
    <w:rsid w:val="006B2156"/>
    <w:rsid w:val="006B2201"/>
    <w:rsid w:val="006B36C2"/>
    <w:rsid w:val="006B386D"/>
    <w:rsid w:val="006B41E8"/>
    <w:rsid w:val="006B6063"/>
    <w:rsid w:val="006B6114"/>
    <w:rsid w:val="006B751D"/>
    <w:rsid w:val="006B76A7"/>
    <w:rsid w:val="006B78C4"/>
    <w:rsid w:val="006B7FD2"/>
    <w:rsid w:val="006C0077"/>
    <w:rsid w:val="006C02D7"/>
    <w:rsid w:val="006C09A0"/>
    <w:rsid w:val="006C178A"/>
    <w:rsid w:val="006C28F8"/>
    <w:rsid w:val="006C2F75"/>
    <w:rsid w:val="006C3529"/>
    <w:rsid w:val="006C38CC"/>
    <w:rsid w:val="006C49DB"/>
    <w:rsid w:val="006C6022"/>
    <w:rsid w:val="006C6281"/>
    <w:rsid w:val="006C7CF3"/>
    <w:rsid w:val="006D0717"/>
    <w:rsid w:val="006D0AC3"/>
    <w:rsid w:val="006D1067"/>
    <w:rsid w:val="006D1503"/>
    <w:rsid w:val="006D1DA7"/>
    <w:rsid w:val="006D21BC"/>
    <w:rsid w:val="006D2D91"/>
    <w:rsid w:val="006D2ECA"/>
    <w:rsid w:val="006D385F"/>
    <w:rsid w:val="006D3D8F"/>
    <w:rsid w:val="006D47DE"/>
    <w:rsid w:val="006D4988"/>
    <w:rsid w:val="006D4AE0"/>
    <w:rsid w:val="006D524C"/>
    <w:rsid w:val="006D5752"/>
    <w:rsid w:val="006D58EE"/>
    <w:rsid w:val="006D73A2"/>
    <w:rsid w:val="006D74B4"/>
    <w:rsid w:val="006D7A12"/>
    <w:rsid w:val="006D7AC6"/>
    <w:rsid w:val="006E0DCB"/>
    <w:rsid w:val="006E0FF2"/>
    <w:rsid w:val="006E1397"/>
    <w:rsid w:val="006E261D"/>
    <w:rsid w:val="006E262A"/>
    <w:rsid w:val="006E3113"/>
    <w:rsid w:val="006E3CAB"/>
    <w:rsid w:val="006E3FC4"/>
    <w:rsid w:val="006E4249"/>
    <w:rsid w:val="006E42ED"/>
    <w:rsid w:val="006E4749"/>
    <w:rsid w:val="006E5554"/>
    <w:rsid w:val="006E589A"/>
    <w:rsid w:val="006E58D2"/>
    <w:rsid w:val="006E5A55"/>
    <w:rsid w:val="006E68A9"/>
    <w:rsid w:val="006F073C"/>
    <w:rsid w:val="006F20C0"/>
    <w:rsid w:val="006F2BF4"/>
    <w:rsid w:val="006F3893"/>
    <w:rsid w:val="006F4203"/>
    <w:rsid w:val="006F4459"/>
    <w:rsid w:val="006F597F"/>
    <w:rsid w:val="006F646B"/>
    <w:rsid w:val="006F692C"/>
    <w:rsid w:val="006F70F2"/>
    <w:rsid w:val="006F7F81"/>
    <w:rsid w:val="00701A75"/>
    <w:rsid w:val="00702984"/>
    <w:rsid w:val="007051FC"/>
    <w:rsid w:val="007055D6"/>
    <w:rsid w:val="00706421"/>
    <w:rsid w:val="00706C6A"/>
    <w:rsid w:val="0070764F"/>
    <w:rsid w:val="007076CA"/>
    <w:rsid w:val="00707AA4"/>
    <w:rsid w:val="007101A6"/>
    <w:rsid w:val="0071129D"/>
    <w:rsid w:val="00711793"/>
    <w:rsid w:val="0071225C"/>
    <w:rsid w:val="00712811"/>
    <w:rsid w:val="0071334B"/>
    <w:rsid w:val="00713AE3"/>
    <w:rsid w:val="00713CF0"/>
    <w:rsid w:val="00714231"/>
    <w:rsid w:val="00714F87"/>
    <w:rsid w:val="00715485"/>
    <w:rsid w:val="00715F94"/>
    <w:rsid w:val="00717676"/>
    <w:rsid w:val="00717BD2"/>
    <w:rsid w:val="00720E05"/>
    <w:rsid w:val="00720F94"/>
    <w:rsid w:val="00721614"/>
    <w:rsid w:val="007216D8"/>
    <w:rsid w:val="00721C16"/>
    <w:rsid w:val="00721E4D"/>
    <w:rsid w:val="00722101"/>
    <w:rsid w:val="007233BB"/>
    <w:rsid w:val="0072375E"/>
    <w:rsid w:val="0072377D"/>
    <w:rsid w:val="00723BA9"/>
    <w:rsid w:val="00724046"/>
    <w:rsid w:val="0072471F"/>
    <w:rsid w:val="007249C8"/>
    <w:rsid w:val="00724D1C"/>
    <w:rsid w:val="007253F1"/>
    <w:rsid w:val="0072548B"/>
    <w:rsid w:val="00725831"/>
    <w:rsid w:val="00725A6C"/>
    <w:rsid w:val="00725C08"/>
    <w:rsid w:val="00725D63"/>
    <w:rsid w:val="00725D75"/>
    <w:rsid w:val="00727B99"/>
    <w:rsid w:val="00730619"/>
    <w:rsid w:val="007307EE"/>
    <w:rsid w:val="00730811"/>
    <w:rsid w:val="007309C5"/>
    <w:rsid w:val="00730AB5"/>
    <w:rsid w:val="007321B0"/>
    <w:rsid w:val="007330E6"/>
    <w:rsid w:val="007335BF"/>
    <w:rsid w:val="00733EB2"/>
    <w:rsid w:val="0073671E"/>
    <w:rsid w:val="00737677"/>
    <w:rsid w:val="007377B4"/>
    <w:rsid w:val="00741DCB"/>
    <w:rsid w:val="00741FCA"/>
    <w:rsid w:val="00743522"/>
    <w:rsid w:val="00744FFB"/>
    <w:rsid w:val="0074532C"/>
    <w:rsid w:val="007454BA"/>
    <w:rsid w:val="00745AE9"/>
    <w:rsid w:val="00746BF0"/>
    <w:rsid w:val="00747CC2"/>
    <w:rsid w:val="0075010E"/>
    <w:rsid w:val="00750662"/>
    <w:rsid w:val="0075180F"/>
    <w:rsid w:val="00751845"/>
    <w:rsid w:val="007518DF"/>
    <w:rsid w:val="007519E5"/>
    <w:rsid w:val="00751C94"/>
    <w:rsid w:val="00751DCA"/>
    <w:rsid w:val="007533E7"/>
    <w:rsid w:val="007543B3"/>
    <w:rsid w:val="00754B26"/>
    <w:rsid w:val="007557AE"/>
    <w:rsid w:val="00756087"/>
    <w:rsid w:val="00756F4A"/>
    <w:rsid w:val="007576EB"/>
    <w:rsid w:val="00760711"/>
    <w:rsid w:val="0076095B"/>
    <w:rsid w:val="00760F59"/>
    <w:rsid w:val="00761399"/>
    <w:rsid w:val="007618A4"/>
    <w:rsid w:val="00761C06"/>
    <w:rsid w:val="0076262D"/>
    <w:rsid w:val="00762FD0"/>
    <w:rsid w:val="00763BBE"/>
    <w:rsid w:val="00763F6D"/>
    <w:rsid w:val="007644E5"/>
    <w:rsid w:val="00764782"/>
    <w:rsid w:val="00765D48"/>
    <w:rsid w:val="0076695A"/>
    <w:rsid w:val="00766DB8"/>
    <w:rsid w:val="0076700A"/>
    <w:rsid w:val="00767878"/>
    <w:rsid w:val="00767E3B"/>
    <w:rsid w:val="00767FC9"/>
    <w:rsid w:val="00771A0D"/>
    <w:rsid w:val="00772180"/>
    <w:rsid w:val="007722AE"/>
    <w:rsid w:val="00772346"/>
    <w:rsid w:val="00772456"/>
    <w:rsid w:val="00772754"/>
    <w:rsid w:val="00772788"/>
    <w:rsid w:val="00772AEF"/>
    <w:rsid w:val="00772C95"/>
    <w:rsid w:val="00773173"/>
    <w:rsid w:val="007738E6"/>
    <w:rsid w:val="007740FA"/>
    <w:rsid w:val="0077434B"/>
    <w:rsid w:val="007754D2"/>
    <w:rsid w:val="007756E1"/>
    <w:rsid w:val="0077577A"/>
    <w:rsid w:val="00776283"/>
    <w:rsid w:val="00776D05"/>
    <w:rsid w:val="00777567"/>
    <w:rsid w:val="00777A8A"/>
    <w:rsid w:val="007800E5"/>
    <w:rsid w:val="0078099E"/>
    <w:rsid w:val="007812F3"/>
    <w:rsid w:val="007819BE"/>
    <w:rsid w:val="00781D5C"/>
    <w:rsid w:val="007822C9"/>
    <w:rsid w:val="0078298C"/>
    <w:rsid w:val="00782A18"/>
    <w:rsid w:val="007835B3"/>
    <w:rsid w:val="00783B2A"/>
    <w:rsid w:val="00783C6B"/>
    <w:rsid w:val="0078496D"/>
    <w:rsid w:val="0078566F"/>
    <w:rsid w:val="00785ABD"/>
    <w:rsid w:val="00785C76"/>
    <w:rsid w:val="00785D11"/>
    <w:rsid w:val="007863D5"/>
    <w:rsid w:val="007875EA"/>
    <w:rsid w:val="00787917"/>
    <w:rsid w:val="00790E9E"/>
    <w:rsid w:val="0079221B"/>
    <w:rsid w:val="00792400"/>
    <w:rsid w:val="00792576"/>
    <w:rsid w:val="00792859"/>
    <w:rsid w:val="007931BA"/>
    <w:rsid w:val="00793ACC"/>
    <w:rsid w:val="00794CDF"/>
    <w:rsid w:val="00794F0A"/>
    <w:rsid w:val="00795159"/>
    <w:rsid w:val="00795396"/>
    <w:rsid w:val="00795543"/>
    <w:rsid w:val="00796E35"/>
    <w:rsid w:val="00796EBC"/>
    <w:rsid w:val="00797168"/>
    <w:rsid w:val="0079762C"/>
    <w:rsid w:val="007979DC"/>
    <w:rsid w:val="00797FA9"/>
    <w:rsid w:val="007A0E2C"/>
    <w:rsid w:val="007A0EF3"/>
    <w:rsid w:val="007A1394"/>
    <w:rsid w:val="007A13AA"/>
    <w:rsid w:val="007A14FF"/>
    <w:rsid w:val="007A179D"/>
    <w:rsid w:val="007A1821"/>
    <w:rsid w:val="007A359C"/>
    <w:rsid w:val="007A3640"/>
    <w:rsid w:val="007A4029"/>
    <w:rsid w:val="007A6C21"/>
    <w:rsid w:val="007A70FE"/>
    <w:rsid w:val="007A738D"/>
    <w:rsid w:val="007A7F0A"/>
    <w:rsid w:val="007B00D0"/>
    <w:rsid w:val="007B03AD"/>
    <w:rsid w:val="007B0970"/>
    <w:rsid w:val="007B0BCF"/>
    <w:rsid w:val="007B141D"/>
    <w:rsid w:val="007B1433"/>
    <w:rsid w:val="007B1B11"/>
    <w:rsid w:val="007B1FF9"/>
    <w:rsid w:val="007B2067"/>
    <w:rsid w:val="007B22DF"/>
    <w:rsid w:val="007B3278"/>
    <w:rsid w:val="007B35B6"/>
    <w:rsid w:val="007B35DC"/>
    <w:rsid w:val="007B3DA7"/>
    <w:rsid w:val="007B40E2"/>
    <w:rsid w:val="007B41C6"/>
    <w:rsid w:val="007B42F0"/>
    <w:rsid w:val="007B449E"/>
    <w:rsid w:val="007B49C3"/>
    <w:rsid w:val="007B4A64"/>
    <w:rsid w:val="007B4D70"/>
    <w:rsid w:val="007B5704"/>
    <w:rsid w:val="007B57D4"/>
    <w:rsid w:val="007B5992"/>
    <w:rsid w:val="007B5A1C"/>
    <w:rsid w:val="007B5C0C"/>
    <w:rsid w:val="007B5D06"/>
    <w:rsid w:val="007B60A3"/>
    <w:rsid w:val="007B6181"/>
    <w:rsid w:val="007B68BE"/>
    <w:rsid w:val="007B6DCC"/>
    <w:rsid w:val="007B726D"/>
    <w:rsid w:val="007B7BF1"/>
    <w:rsid w:val="007C14A9"/>
    <w:rsid w:val="007C1A52"/>
    <w:rsid w:val="007C1CE8"/>
    <w:rsid w:val="007C2242"/>
    <w:rsid w:val="007C2A06"/>
    <w:rsid w:val="007C30E8"/>
    <w:rsid w:val="007C39C1"/>
    <w:rsid w:val="007C3B8F"/>
    <w:rsid w:val="007C4198"/>
    <w:rsid w:val="007C4EC8"/>
    <w:rsid w:val="007C56A7"/>
    <w:rsid w:val="007C5BAB"/>
    <w:rsid w:val="007C63BE"/>
    <w:rsid w:val="007C79FE"/>
    <w:rsid w:val="007D0230"/>
    <w:rsid w:val="007D0554"/>
    <w:rsid w:val="007D06F0"/>
    <w:rsid w:val="007D0802"/>
    <w:rsid w:val="007D2A2A"/>
    <w:rsid w:val="007D2A8E"/>
    <w:rsid w:val="007D3619"/>
    <w:rsid w:val="007D4157"/>
    <w:rsid w:val="007D5942"/>
    <w:rsid w:val="007D64E3"/>
    <w:rsid w:val="007D7033"/>
    <w:rsid w:val="007D799C"/>
    <w:rsid w:val="007E0649"/>
    <w:rsid w:val="007E130F"/>
    <w:rsid w:val="007E176E"/>
    <w:rsid w:val="007E2C7D"/>
    <w:rsid w:val="007E313E"/>
    <w:rsid w:val="007E412F"/>
    <w:rsid w:val="007E4393"/>
    <w:rsid w:val="007E52C7"/>
    <w:rsid w:val="007E53A4"/>
    <w:rsid w:val="007E6AA4"/>
    <w:rsid w:val="007E78B5"/>
    <w:rsid w:val="007F081A"/>
    <w:rsid w:val="007F0CAA"/>
    <w:rsid w:val="007F0E36"/>
    <w:rsid w:val="007F138E"/>
    <w:rsid w:val="007F2125"/>
    <w:rsid w:val="007F2F5C"/>
    <w:rsid w:val="007F437D"/>
    <w:rsid w:val="007F4D7C"/>
    <w:rsid w:val="007F4D81"/>
    <w:rsid w:val="007F4E87"/>
    <w:rsid w:val="007F54D2"/>
    <w:rsid w:val="007F5718"/>
    <w:rsid w:val="007F61B4"/>
    <w:rsid w:val="00801498"/>
    <w:rsid w:val="008014EC"/>
    <w:rsid w:val="00801870"/>
    <w:rsid w:val="0080246A"/>
    <w:rsid w:val="0080271E"/>
    <w:rsid w:val="008039BC"/>
    <w:rsid w:val="00804BDC"/>
    <w:rsid w:val="00804FEA"/>
    <w:rsid w:val="008053C7"/>
    <w:rsid w:val="00806716"/>
    <w:rsid w:val="008067B0"/>
    <w:rsid w:val="00807BFA"/>
    <w:rsid w:val="008103A1"/>
    <w:rsid w:val="0081086C"/>
    <w:rsid w:val="008109FD"/>
    <w:rsid w:val="00810C60"/>
    <w:rsid w:val="00812094"/>
    <w:rsid w:val="008128D4"/>
    <w:rsid w:val="00812B67"/>
    <w:rsid w:val="00812BDA"/>
    <w:rsid w:val="00814306"/>
    <w:rsid w:val="00815019"/>
    <w:rsid w:val="0081501B"/>
    <w:rsid w:val="008151DD"/>
    <w:rsid w:val="00816313"/>
    <w:rsid w:val="00816976"/>
    <w:rsid w:val="00816C04"/>
    <w:rsid w:val="00816D8D"/>
    <w:rsid w:val="00817832"/>
    <w:rsid w:val="008200C4"/>
    <w:rsid w:val="008208FE"/>
    <w:rsid w:val="00821878"/>
    <w:rsid w:val="0082283C"/>
    <w:rsid w:val="0082319E"/>
    <w:rsid w:val="00823442"/>
    <w:rsid w:val="00823C28"/>
    <w:rsid w:val="00823E42"/>
    <w:rsid w:val="0082496B"/>
    <w:rsid w:val="008249B0"/>
    <w:rsid w:val="00824D74"/>
    <w:rsid w:val="008252BF"/>
    <w:rsid w:val="008254CC"/>
    <w:rsid w:val="0082611E"/>
    <w:rsid w:val="008261D5"/>
    <w:rsid w:val="0082643E"/>
    <w:rsid w:val="00826C6D"/>
    <w:rsid w:val="00827813"/>
    <w:rsid w:val="00827ACE"/>
    <w:rsid w:val="00830D2B"/>
    <w:rsid w:val="00831394"/>
    <w:rsid w:val="00831984"/>
    <w:rsid w:val="008321C6"/>
    <w:rsid w:val="008324B8"/>
    <w:rsid w:val="0083276F"/>
    <w:rsid w:val="00832ADA"/>
    <w:rsid w:val="00832CEF"/>
    <w:rsid w:val="00833272"/>
    <w:rsid w:val="008334CA"/>
    <w:rsid w:val="00833BE2"/>
    <w:rsid w:val="0083449B"/>
    <w:rsid w:val="00834646"/>
    <w:rsid w:val="008349F7"/>
    <w:rsid w:val="00835FDE"/>
    <w:rsid w:val="008401BD"/>
    <w:rsid w:val="00840280"/>
    <w:rsid w:val="008402CC"/>
    <w:rsid w:val="00840FA2"/>
    <w:rsid w:val="008421E3"/>
    <w:rsid w:val="00843267"/>
    <w:rsid w:val="008439A4"/>
    <w:rsid w:val="00843AD7"/>
    <w:rsid w:val="00843FD0"/>
    <w:rsid w:val="00844479"/>
    <w:rsid w:val="00845138"/>
    <w:rsid w:val="00845AB1"/>
    <w:rsid w:val="008463FC"/>
    <w:rsid w:val="008464BA"/>
    <w:rsid w:val="008468D8"/>
    <w:rsid w:val="00846D8E"/>
    <w:rsid w:val="00847027"/>
    <w:rsid w:val="00847B44"/>
    <w:rsid w:val="0085000F"/>
    <w:rsid w:val="00850193"/>
    <w:rsid w:val="008504C0"/>
    <w:rsid w:val="00851718"/>
    <w:rsid w:val="0085171D"/>
    <w:rsid w:val="00851993"/>
    <w:rsid w:val="00852774"/>
    <w:rsid w:val="008537D2"/>
    <w:rsid w:val="00853FC5"/>
    <w:rsid w:val="008541D5"/>
    <w:rsid w:val="00854E28"/>
    <w:rsid w:val="008558DC"/>
    <w:rsid w:val="008558EC"/>
    <w:rsid w:val="00856C18"/>
    <w:rsid w:val="00857042"/>
    <w:rsid w:val="008607F0"/>
    <w:rsid w:val="00861F24"/>
    <w:rsid w:val="00862117"/>
    <w:rsid w:val="00862490"/>
    <w:rsid w:val="00863F93"/>
    <w:rsid w:val="00864793"/>
    <w:rsid w:val="0086483E"/>
    <w:rsid w:val="0086489F"/>
    <w:rsid w:val="00864936"/>
    <w:rsid w:val="00864DA7"/>
    <w:rsid w:val="00864E35"/>
    <w:rsid w:val="008651C4"/>
    <w:rsid w:val="0086576F"/>
    <w:rsid w:val="00865B3A"/>
    <w:rsid w:val="00865FFB"/>
    <w:rsid w:val="008661AD"/>
    <w:rsid w:val="0086674B"/>
    <w:rsid w:val="0086702E"/>
    <w:rsid w:val="00867479"/>
    <w:rsid w:val="00867789"/>
    <w:rsid w:val="008708A7"/>
    <w:rsid w:val="00870DBB"/>
    <w:rsid w:val="008715AB"/>
    <w:rsid w:val="008716F8"/>
    <w:rsid w:val="00871859"/>
    <w:rsid w:val="008722C9"/>
    <w:rsid w:val="00872323"/>
    <w:rsid w:val="00873780"/>
    <w:rsid w:val="00874346"/>
    <w:rsid w:val="00874510"/>
    <w:rsid w:val="00874600"/>
    <w:rsid w:val="00874974"/>
    <w:rsid w:val="008749ED"/>
    <w:rsid w:val="008755DA"/>
    <w:rsid w:val="008758C6"/>
    <w:rsid w:val="008764C7"/>
    <w:rsid w:val="0087721B"/>
    <w:rsid w:val="008778BB"/>
    <w:rsid w:val="0088075D"/>
    <w:rsid w:val="00881510"/>
    <w:rsid w:val="008820CB"/>
    <w:rsid w:val="00882C18"/>
    <w:rsid w:val="008832D8"/>
    <w:rsid w:val="00883329"/>
    <w:rsid w:val="00884A60"/>
    <w:rsid w:val="00884F8B"/>
    <w:rsid w:val="008851C2"/>
    <w:rsid w:val="0088520B"/>
    <w:rsid w:val="0088536E"/>
    <w:rsid w:val="00885EDB"/>
    <w:rsid w:val="008860EC"/>
    <w:rsid w:val="00886AEE"/>
    <w:rsid w:val="00887439"/>
    <w:rsid w:val="00887DE1"/>
    <w:rsid w:val="008920C8"/>
    <w:rsid w:val="00892578"/>
    <w:rsid w:val="00892986"/>
    <w:rsid w:val="00892D93"/>
    <w:rsid w:val="0089320C"/>
    <w:rsid w:val="0089380D"/>
    <w:rsid w:val="0089383B"/>
    <w:rsid w:val="008941E1"/>
    <w:rsid w:val="00894FD8"/>
    <w:rsid w:val="008967BE"/>
    <w:rsid w:val="00896EC9"/>
    <w:rsid w:val="00897A74"/>
    <w:rsid w:val="00897B7A"/>
    <w:rsid w:val="008A0B20"/>
    <w:rsid w:val="008A0D3C"/>
    <w:rsid w:val="008A1DDD"/>
    <w:rsid w:val="008A3695"/>
    <w:rsid w:val="008A493A"/>
    <w:rsid w:val="008A6214"/>
    <w:rsid w:val="008A7303"/>
    <w:rsid w:val="008B19B8"/>
    <w:rsid w:val="008B1EE7"/>
    <w:rsid w:val="008B208C"/>
    <w:rsid w:val="008B270D"/>
    <w:rsid w:val="008B3030"/>
    <w:rsid w:val="008B361F"/>
    <w:rsid w:val="008B37CF"/>
    <w:rsid w:val="008B39E1"/>
    <w:rsid w:val="008B3E19"/>
    <w:rsid w:val="008B4468"/>
    <w:rsid w:val="008B45B0"/>
    <w:rsid w:val="008B4972"/>
    <w:rsid w:val="008B4EF0"/>
    <w:rsid w:val="008B5434"/>
    <w:rsid w:val="008B7A44"/>
    <w:rsid w:val="008B7B64"/>
    <w:rsid w:val="008B7C8F"/>
    <w:rsid w:val="008C0985"/>
    <w:rsid w:val="008C0F8D"/>
    <w:rsid w:val="008C100F"/>
    <w:rsid w:val="008C1958"/>
    <w:rsid w:val="008C2733"/>
    <w:rsid w:val="008C2841"/>
    <w:rsid w:val="008C293F"/>
    <w:rsid w:val="008C2BEF"/>
    <w:rsid w:val="008C416C"/>
    <w:rsid w:val="008C44B9"/>
    <w:rsid w:val="008C4508"/>
    <w:rsid w:val="008C4F2F"/>
    <w:rsid w:val="008C57DB"/>
    <w:rsid w:val="008C581B"/>
    <w:rsid w:val="008C5EFF"/>
    <w:rsid w:val="008C60CF"/>
    <w:rsid w:val="008C6155"/>
    <w:rsid w:val="008C65B9"/>
    <w:rsid w:val="008C68CE"/>
    <w:rsid w:val="008C75B2"/>
    <w:rsid w:val="008C7744"/>
    <w:rsid w:val="008D0372"/>
    <w:rsid w:val="008D08A3"/>
    <w:rsid w:val="008D0ACD"/>
    <w:rsid w:val="008D16DB"/>
    <w:rsid w:val="008D1E2D"/>
    <w:rsid w:val="008D2348"/>
    <w:rsid w:val="008D2516"/>
    <w:rsid w:val="008D2A86"/>
    <w:rsid w:val="008D3851"/>
    <w:rsid w:val="008D3B24"/>
    <w:rsid w:val="008D3EE5"/>
    <w:rsid w:val="008D4E0D"/>
    <w:rsid w:val="008D5BFC"/>
    <w:rsid w:val="008D5C7F"/>
    <w:rsid w:val="008D5DD7"/>
    <w:rsid w:val="008D5E2B"/>
    <w:rsid w:val="008D65ED"/>
    <w:rsid w:val="008D6BB0"/>
    <w:rsid w:val="008D72A6"/>
    <w:rsid w:val="008D75C9"/>
    <w:rsid w:val="008D76D5"/>
    <w:rsid w:val="008D799D"/>
    <w:rsid w:val="008E00E1"/>
    <w:rsid w:val="008E04EA"/>
    <w:rsid w:val="008E10FF"/>
    <w:rsid w:val="008E14EA"/>
    <w:rsid w:val="008E1CF1"/>
    <w:rsid w:val="008E2064"/>
    <w:rsid w:val="008E20C4"/>
    <w:rsid w:val="008E2303"/>
    <w:rsid w:val="008E25CB"/>
    <w:rsid w:val="008E280D"/>
    <w:rsid w:val="008E2FC7"/>
    <w:rsid w:val="008E2FC8"/>
    <w:rsid w:val="008E344F"/>
    <w:rsid w:val="008E36D9"/>
    <w:rsid w:val="008E3B7C"/>
    <w:rsid w:val="008E3C03"/>
    <w:rsid w:val="008E3F66"/>
    <w:rsid w:val="008E481B"/>
    <w:rsid w:val="008E5117"/>
    <w:rsid w:val="008E539C"/>
    <w:rsid w:val="008E582B"/>
    <w:rsid w:val="008E5A28"/>
    <w:rsid w:val="008E5E55"/>
    <w:rsid w:val="008E667D"/>
    <w:rsid w:val="008E6FE1"/>
    <w:rsid w:val="008E71E1"/>
    <w:rsid w:val="008E723D"/>
    <w:rsid w:val="008E75AB"/>
    <w:rsid w:val="008E7B92"/>
    <w:rsid w:val="008F0545"/>
    <w:rsid w:val="008F066B"/>
    <w:rsid w:val="008F2D3C"/>
    <w:rsid w:val="008F2D89"/>
    <w:rsid w:val="008F42A7"/>
    <w:rsid w:val="008F47A1"/>
    <w:rsid w:val="008F47EE"/>
    <w:rsid w:val="008F4B05"/>
    <w:rsid w:val="008F4EC6"/>
    <w:rsid w:val="008F511B"/>
    <w:rsid w:val="008F68A9"/>
    <w:rsid w:val="008F6B7B"/>
    <w:rsid w:val="008F7AB8"/>
    <w:rsid w:val="008F7BB2"/>
    <w:rsid w:val="008F7FE2"/>
    <w:rsid w:val="009005D6"/>
    <w:rsid w:val="00900C00"/>
    <w:rsid w:val="009012E2"/>
    <w:rsid w:val="00901382"/>
    <w:rsid w:val="009016A9"/>
    <w:rsid w:val="009017F6"/>
    <w:rsid w:val="0090180B"/>
    <w:rsid w:val="00902392"/>
    <w:rsid w:val="00903397"/>
    <w:rsid w:val="00904C13"/>
    <w:rsid w:val="009060B8"/>
    <w:rsid w:val="00906159"/>
    <w:rsid w:val="00906208"/>
    <w:rsid w:val="00906F3F"/>
    <w:rsid w:val="009071EF"/>
    <w:rsid w:val="00907CF6"/>
    <w:rsid w:val="00911134"/>
    <w:rsid w:val="00911781"/>
    <w:rsid w:val="00911AC8"/>
    <w:rsid w:val="0091220F"/>
    <w:rsid w:val="0091234D"/>
    <w:rsid w:val="00912B38"/>
    <w:rsid w:val="00913158"/>
    <w:rsid w:val="009142B5"/>
    <w:rsid w:val="00914DCA"/>
    <w:rsid w:val="00914FD5"/>
    <w:rsid w:val="009151F1"/>
    <w:rsid w:val="009154AF"/>
    <w:rsid w:val="00915F4A"/>
    <w:rsid w:val="00916AA0"/>
    <w:rsid w:val="00916F96"/>
    <w:rsid w:val="0091712C"/>
    <w:rsid w:val="00917294"/>
    <w:rsid w:val="009174B5"/>
    <w:rsid w:val="009179D0"/>
    <w:rsid w:val="009206BA"/>
    <w:rsid w:val="00920D89"/>
    <w:rsid w:val="009215B5"/>
    <w:rsid w:val="00923307"/>
    <w:rsid w:val="0092387F"/>
    <w:rsid w:val="00923DCA"/>
    <w:rsid w:val="009244A0"/>
    <w:rsid w:val="00924D77"/>
    <w:rsid w:val="00925611"/>
    <w:rsid w:val="00926885"/>
    <w:rsid w:val="009270BD"/>
    <w:rsid w:val="00927203"/>
    <w:rsid w:val="00930603"/>
    <w:rsid w:val="00930F87"/>
    <w:rsid w:val="00930FFB"/>
    <w:rsid w:val="00931670"/>
    <w:rsid w:val="00931A8E"/>
    <w:rsid w:val="00931F82"/>
    <w:rsid w:val="00932199"/>
    <w:rsid w:val="00932DD1"/>
    <w:rsid w:val="00933E79"/>
    <w:rsid w:val="00934FAC"/>
    <w:rsid w:val="009364C5"/>
    <w:rsid w:val="00936678"/>
    <w:rsid w:val="00937827"/>
    <w:rsid w:val="00937A5C"/>
    <w:rsid w:val="009400C0"/>
    <w:rsid w:val="00940EFB"/>
    <w:rsid w:val="00940F3B"/>
    <w:rsid w:val="00942A00"/>
    <w:rsid w:val="0094370E"/>
    <w:rsid w:val="009444A1"/>
    <w:rsid w:val="009446D9"/>
    <w:rsid w:val="0094759D"/>
    <w:rsid w:val="00947D63"/>
    <w:rsid w:val="0095047A"/>
    <w:rsid w:val="00950672"/>
    <w:rsid w:val="00950F1A"/>
    <w:rsid w:val="009513C1"/>
    <w:rsid w:val="00951845"/>
    <w:rsid w:val="009523DF"/>
    <w:rsid w:val="0095285C"/>
    <w:rsid w:val="009528DC"/>
    <w:rsid w:val="00952D4C"/>
    <w:rsid w:val="00953355"/>
    <w:rsid w:val="009541AD"/>
    <w:rsid w:val="009543F8"/>
    <w:rsid w:val="00954BC7"/>
    <w:rsid w:val="00954DB8"/>
    <w:rsid w:val="00954F09"/>
    <w:rsid w:val="00955C7B"/>
    <w:rsid w:val="009571DC"/>
    <w:rsid w:val="00957E47"/>
    <w:rsid w:val="00960180"/>
    <w:rsid w:val="00960B0E"/>
    <w:rsid w:val="00962026"/>
    <w:rsid w:val="0096204D"/>
    <w:rsid w:val="009627A4"/>
    <w:rsid w:val="00962AEB"/>
    <w:rsid w:val="0096368B"/>
    <w:rsid w:val="00963954"/>
    <w:rsid w:val="00964D4E"/>
    <w:rsid w:val="00964F58"/>
    <w:rsid w:val="00965B87"/>
    <w:rsid w:val="00965BF1"/>
    <w:rsid w:val="00966787"/>
    <w:rsid w:val="00966871"/>
    <w:rsid w:val="00966A08"/>
    <w:rsid w:val="009671CF"/>
    <w:rsid w:val="00967399"/>
    <w:rsid w:val="00967442"/>
    <w:rsid w:val="00967C94"/>
    <w:rsid w:val="00967EAD"/>
    <w:rsid w:val="00970A11"/>
    <w:rsid w:val="00972AC8"/>
    <w:rsid w:val="00972D28"/>
    <w:rsid w:val="00973892"/>
    <w:rsid w:val="00973A09"/>
    <w:rsid w:val="00974F11"/>
    <w:rsid w:val="009753AE"/>
    <w:rsid w:val="00975F8A"/>
    <w:rsid w:val="00977ABF"/>
    <w:rsid w:val="00980EA0"/>
    <w:rsid w:val="0098118F"/>
    <w:rsid w:val="009815C1"/>
    <w:rsid w:val="00981612"/>
    <w:rsid w:val="00981A60"/>
    <w:rsid w:val="00982B02"/>
    <w:rsid w:val="0098309E"/>
    <w:rsid w:val="00983702"/>
    <w:rsid w:val="00983F59"/>
    <w:rsid w:val="009841C7"/>
    <w:rsid w:val="00984854"/>
    <w:rsid w:val="00984A73"/>
    <w:rsid w:val="00984E8C"/>
    <w:rsid w:val="009851CA"/>
    <w:rsid w:val="0098652F"/>
    <w:rsid w:val="00986738"/>
    <w:rsid w:val="00986E58"/>
    <w:rsid w:val="0098704E"/>
    <w:rsid w:val="00987263"/>
    <w:rsid w:val="00987335"/>
    <w:rsid w:val="00987F06"/>
    <w:rsid w:val="00990038"/>
    <w:rsid w:val="00992954"/>
    <w:rsid w:val="00994526"/>
    <w:rsid w:val="009953F0"/>
    <w:rsid w:val="00995C41"/>
    <w:rsid w:val="00996B41"/>
    <w:rsid w:val="009978F9"/>
    <w:rsid w:val="00997EC1"/>
    <w:rsid w:val="009A0E82"/>
    <w:rsid w:val="009A1513"/>
    <w:rsid w:val="009A19BA"/>
    <w:rsid w:val="009A1BE3"/>
    <w:rsid w:val="009A271B"/>
    <w:rsid w:val="009A2834"/>
    <w:rsid w:val="009A3204"/>
    <w:rsid w:val="009A3332"/>
    <w:rsid w:val="009A3371"/>
    <w:rsid w:val="009A38DE"/>
    <w:rsid w:val="009A4550"/>
    <w:rsid w:val="009A5CE9"/>
    <w:rsid w:val="009A6585"/>
    <w:rsid w:val="009A6E45"/>
    <w:rsid w:val="009A73CF"/>
    <w:rsid w:val="009B05CD"/>
    <w:rsid w:val="009B0B77"/>
    <w:rsid w:val="009B160C"/>
    <w:rsid w:val="009B180B"/>
    <w:rsid w:val="009B2562"/>
    <w:rsid w:val="009B275A"/>
    <w:rsid w:val="009B2A70"/>
    <w:rsid w:val="009B2F71"/>
    <w:rsid w:val="009B3852"/>
    <w:rsid w:val="009B3B9E"/>
    <w:rsid w:val="009B4B11"/>
    <w:rsid w:val="009B4C55"/>
    <w:rsid w:val="009B4E63"/>
    <w:rsid w:val="009B57C4"/>
    <w:rsid w:val="009B5A8D"/>
    <w:rsid w:val="009B63D9"/>
    <w:rsid w:val="009B70F5"/>
    <w:rsid w:val="009B74D4"/>
    <w:rsid w:val="009B7513"/>
    <w:rsid w:val="009B7777"/>
    <w:rsid w:val="009B7AEC"/>
    <w:rsid w:val="009C020A"/>
    <w:rsid w:val="009C05D0"/>
    <w:rsid w:val="009C0815"/>
    <w:rsid w:val="009C0B14"/>
    <w:rsid w:val="009C0B81"/>
    <w:rsid w:val="009C0C5F"/>
    <w:rsid w:val="009C101B"/>
    <w:rsid w:val="009C103C"/>
    <w:rsid w:val="009C1240"/>
    <w:rsid w:val="009C145D"/>
    <w:rsid w:val="009C185A"/>
    <w:rsid w:val="009C1893"/>
    <w:rsid w:val="009C21FA"/>
    <w:rsid w:val="009C225F"/>
    <w:rsid w:val="009C24AD"/>
    <w:rsid w:val="009C2FC8"/>
    <w:rsid w:val="009C3D4C"/>
    <w:rsid w:val="009C3E80"/>
    <w:rsid w:val="009C403B"/>
    <w:rsid w:val="009C5040"/>
    <w:rsid w:val="009C53CB"/>
    <w:rsid w:val="009C5707"/>
    <w:rsid w:val="009C601F"/>
    <w:rsid w:val="009C65EB"/>
    <w:rsid w:val="009C76AD"/>
    <w:rsid w:val="009C7CC1"/>
    <w:rsid w:val="009D20B8"/>
    <w:rsid w:val="009D2D46"/>
    <w:rsid w:val="009D3250"/>
    <w:rsid w:val="009D369D"/>
    <w:rsid w:val="009D3702"/>
    <w:rsid w:val="009D61D7"/>
    <w:rsid w:val="009D6DA2"/>
    <w:rsid w:val="009D738C"/>
    <w:rsid w:val="009D744D"/>
    <w:rsid w:val="009D7687"/>
    <w:rsid w:val="009D7695"/>
    <w:rsid w:val="009D77AC"/>
    <w:rsid w:val="009E13D3"/>
    <w:rsid w:val="009E1CC8"/>
    <w:rsid w:val="009E1D6D"/>
    <w:rsid w:val="009E30EF"/>
    <w:rsid w:val="009E367A"/>
    <w:rsid w:val="009E3741"/>
    <w:rsid w:val="009E38FB"/>
    <w:rsid w:val="009E39D3"/>
    <w:rsid w:val="009E4D9D"/>
    <w:rsid w:val="009E7129"/>
    <w:rsid w:val="009E72EB"/>
    <w:rsid w:val="009F0E1F"/>
    <w:rsid w:val="009F100B"/>
    <w:rsid w:val="009F176E"/>
    <w:rsid w:val="009F1D02"/>
    <w:rsid w:val="009F1DDD"/>
    <w:rsid w:val="009F235E"/>
    <w:rsid w:val="009F2427"/>
    <w:rsid w:val="009F3315"/>
    <w:rsid w:val="009F3378"/>
    <w:rsid w:val="009F34AE"/>
    <w:rsid w:val="009F3E5E"/>
    <w:rsid w:val="009F4BE9"/>
    <w:rsid w:val="009F5233"/>
    <w:rsid w:val="009F5BB4"/>
    <w:rsid w:val="009F69BD"/>
    <w:rsid w:val="009F6BCA"/>
    <w:rsid w:val="009F6F94"/>
    <w:rsid w:val="009F6FEE"/>
    <w:rsid w:val="009F792B"/>
    <w:rsid w:val="009F7D8C"/>
    <w:rsid w:val="00A00F54"/>
    <w:rsid w:val="00A01429"/>
    <w:rsid w:val="00A019A4"/>
    <w:rsid w:val="00A01A08"/>
    <w:rsid w:val="00A01B85"/>
    <w:rsid w:val="00A01D0E"/>
    <w:rsid w:val="00A01D5B"/>
    <w:rsid w:val="00A01FBD"/>
    <w:rsid w:val="00A039A4"/>
    <w:rsid w:val="00A03FA7"/>
    <w:rsid w:val="00A048BF"/>
    <w:rsid w:val="00A04992"/>
    <w:rsid w:val="00A06222"/>
    <w:rsid w:val="00A06E31"/>
    <w:rsid w:val="00A0715F"/>
    <w:rsid w:val="00A0745F"/>
    <w:rsid w:val="00A10878"/>
    <w:rsid w:val="00A10D8C"/>
    <w:rsid w:val="00A114C7"/>
    <w:rsid w:val="00A118D1"/>
    <w:rsid w:val="00A122FE"/>
    <w:rsid w:val="00A12802"/>
    <w:rsid w:val="00A1286C"/>
    <w:rsid w:val="00A13638"/>
    <w:rsid w:val="00A14361"/>
    <w:rsid w:val="00A14E4E"/>
    <w:rsid w:val="00A157F6"/>
    <w:rsid w:val="00A1583F"/>
    <w:rsid w:val="00A1697B"/>
    <w:rsid w:val="00A17A99"/>
    <w:rsid w:val="00A20047"/>
    <w:rsid w:val="00A203C0"/>
    <w:rsid w:val="00A2121F"/>
    <w:rsid w:val="00A22692"/>
    <w:rsid w:val="00A22FFC"/>
    <w:rsid w:val="00A23147"/>
    <w:rsid w:val="00A237C1"/>
    <w:rsid w:val="00A25B82"/>
    <w:rsid w:val="00A25C9E"/>
    <w:rsid w:val="00A2667D"/>
    <w:rsid w:val="00A26B91"/>
    <w:rsid w:val="00A26BA7"/>
    <w:rsid w:val="00A26CD8"/>
    <w:rsid w:val="00A26DC2"/>
    <w:rsid w:val="00A27772"/>
    <w:rsid w:val="00A3077B"/>
    <w:rsid w:val="00A313A8"/>
    <w:rsid w:val="00A31B47"/>
    <w:rsid w:val="00A3270E"/>
    <w:rsid w:val="00A33B0F"/>
    <w:rsid w:val="00A340FB"/>
    <w:rsid w:val="00A341D1"/>
    <w:rsid w:val="00A342B4"/>
    <w:rsid w:val="00A342C7"/>
    <w:rsid w:val="00A34680"/>
    <w:rsid w:val="00A35A52"/>
    <w:rsid w:val="00A361CB"/>
    <w:rsid w:val="00A36345"/>
    <w:rsid w:val="00A36E77"/>
    <w:rsid w:val="00A3701E"/>
    <w:rsid w:val="00A40908"/>
    <w:rsid w:val="00A4092F"/>
    <w:rsid w:val="00A412B5"/>
    <w:rsid w:val="00A424FA"/>
    <w:rsid w:val="00A42ABA"/>
    <w:rsid w:val="00A42B77"/>
    <w:rsid w:val="00A43438"/>
    <w:rsid w:val="00A43718"/>
    <w:rsid w:val="00A43CB2"/>
    <w:rsid w:val="00A44340"/>
    <w:rsid w:val="00A4498F"/>
    <w:rsid w:val="00A44BB4"/>
    <w:rsid w:val="00A462C6"/>
    <w:rsid w:val="00A46D06"/>
    <w:rsid w:val="00A50358"/>
    <w:rsid w:val="00A50450"/>
    <w:rsid w:val="00A50980"/>
    <w:rsid w:val="00A51C1F"/>
    <w:rsid w:val="00A52381"/>
    <w:rsid w:val="00A524AE"/>
    <w:rsid w:val="00A52BEA"/>
    <w:rsid w:val="00A53F1C"/>
    <w:rsid w:val="00A540FB"/>
    <w:rsid w:val="00A5441A"/>
    <w:rsid w:val="00A546E3"/>
    <w:rsid w:val="00A5487B"/>
    <w:rsid w:val="00A553A2"/>
    <w:rsid w:val="00A56547"/>
    <w:rsid w:val="00A57988"/>
    <w:rsid w:val="00A579F4"/>
    <w:rsid w:val="00A60421"/>
    <w:rsid w:val="00A60F7F"/>
    <w:rsid w:val="00A6165C"/>
    <w:rsid w:val="00A624D7"/>
    <w:rsid w:val="00A62BA4"/>
    <w:rsid w:val="00A630C6"/>
    <w:rsid w:val="00A6337E"/>
    <w:rsid w:val="00A640FD"/>
    <w:rsid w:val="00A660C3"/>
    <w:rsid w:val="00A664E1"/>
    <w:rsid w:val="00A66AF9"/>
    <w:rsid w:val="00A66C77"/>
    <w:rsid w:val="00A66DB5"/>
    <w:rsid w:val="00A67680"/>
    <w:rsid w:val="00A67B10"/>
    <w:rsid w:val="00A71198"/>
    <w:rsid w:val="00A71317"/>
    <w:rsid w:val="00A71656"/>
    <w:rsid w:val="00A72ECC"/>
    <w:rsid w:val="00A733AC"/>
    <w:rsid w:val="00A733D4"/>
    <w:rsid w:val="00A73553"/>
    <w:rsid w:val="00A73E89"/>
    <w:rsid w:val="00A74232"/>
    <w:rsid w:val="00A742BB"/>
    <w:rsid w:val="00A74474"/>
    <w:rsid w:val="00A75019"/>
    <w:rsid w:val="00A751AB"/>
    <w:rsid w:val="00A7567D"/>
    <w:rsid w:val="00A756A4"/>
    <w:rsid w:val="00A76B87"/>
    <w:rsid w:val="00A7721B"/>
    <w:rsid w:val="00A7722D"/>
    <w:rsid w:val="00A774BF"/>
    <w:rsid w:val="00A8087A"/>
    <w:rsid w:val="00A80BCE"/>
    <w:rsid w:val="00A81929"/>
    <w:rsid w:val="00A81F58"/>
    <w:rsid w:val="00A8274F"/>
    <w:rsid w:val="00A829C2"/>
    <w:rsid w:val="00A831F5"/>
    <w:rsid w:val="00A83F46"/>
    <w:rsid w:val="00A841B2"/>
    <w:rsid w:val="00A849F9"/>
    <w:rsid w:val="00A84A03"/>
    <w:rsid w:val="00A84A8D"/>
    <w:rsid w:val="00A84FD3"/>
    <w:rsid w:val="00A85500"/>
    <w:rsid w:val="00A85B26"/>
    <w:rsid w:val="00A877D4"/>
    <w:rsid w:val="00A87B0D"/>
    <w:rsid w:val="00A903C1"/>
    <w:rsid w:val="00A90B56"/>
    <w:rsid w:val="00A914CB"/>
    <w:rsid w:val="00A93452"/>
    <w:rsid w:val="00A935CE"/>
    <w:rsid w:val="00A93FAB"/>
    <w:rsid w:val="00A94430"/>
    <w:rsid w:val="00A946E7"/>
    <w:rsid w:val="00A94B26"/>
    <w:rsid w:val="00A94C7B"/>
    <w:rsid w:val="00A94F6C"/>
    <w:rsid w:val="00A95413"/>
    <w:rsid w:val="00A955BC"/>
    <w:rsid w:val="00A959C9"/>
    <w:rsid w:val="00A963C1"/>
    <w:rsid w:val="00A9684D"/>
    <w:rsid w:val="00A96898"/>
    <w:rsid w:val="00A9786F"/>
    <w:rsid w:val="00A97D1D"/>
    <w:rsid w:val="00AA1550"/>
    <w:rsid w:val="00AA291D"/>
    <w:rsid w:val="00AA2C8D"/>
    <w:rsid w:val="00AA3547"/>
    <w:rsid w:val="00AA3B66"/>
    <w:rsid w:val="00AA3D2B"/>
    <w:rsid w:val="00AA3DE0"/>
    <w:rsid w:val="00AA4431"/>
    <w:rsid w:val="00AA4B40"/>
    <w:rsid w:val="00AA51B4"/>
    <w:rsid w:val="00AA5F69"/>
    <w:rsid w:val="00AA67FF"/>
    <w:rsid w:val="00AA6B14"/>
    <w:rsid w:val="00AA733C"/>
    <w:rsid w:val="00AA7959"/>
    <w:rsid w:val="00AB1261"/>
    <w:rsid w:val="00AB1A09"/>
    <w:rsid w:val="00AB1A50"/>
    <w:rsid w:val="00AB23F1"/>
    <w:rsid w:val="00AB2B5D"/>
    <w:rsid w:val="00AB303C"/>
    <w:rsid w:val="00AB30B2"/>
    <w:rsid w:val="00AB3388"/>
    <w:rsid w:val="00AB3605"/>
    <w:rsid w:val="00AB37DC"/>
    <w:rsid w:val="00AB3912"/>
    <w:rsid w:val="00AB4DE0"/>
    <w:rsid w:val="00AB56AB"/>
    <w:rsid w:val="00AB5B0B"/>
    <w:rsid w:val="00AB5C8C"/>
    <w:rsid w:val="00AB5D9C"/>
    <w:rsid w:val="00AB63F1"/>
    <w:rsid w:val="00AB7396"/>
    <w:rsid w:val="00AB75DA"/>
    <w:rsid w:val="00AB79B3"/>
    <w:rsid w:val="00AB7B16"/>
    <w:rsid w:val="00AC0776"/>
    <w:rsid w:val="00AC0978"/>
    <w:rsid w:val="00AC11D4"/>
    <w:rsid w:val="00AC1A6D"/>
    <w:rsid w:val="00AC267A"/>
    <w:rsid w:val="00AC2F28"/>
    <w:rsid w:val="00AC367B"/>
    <w:rsid w:val="00AC537C"/>
    <w:rsid w:val="00AC5A32"/>
    <w:rsid w:val="00AC5DD5"/>
    <w:rsid w:val="00AC61DE"/>
    <w:rsid w:val="00AC63BB"/>
    <w:rsid w:val="00AC65E1"/>
    <w:rsid w:val="00AC6C1D"/>
    <w:rsid w:val="00AC6C7E"/>
    <w:rsid w:val="00AC6CB2"/>
    <w:rsid w:val="00AC6D76"/>
    <w:rsid w:val="00AC719E"/>
    <w:rsid w:val="00AD0172"/>
    <w:rsid w:val="00AD04DA"/>
    <w:rsid w:val="00AD1091"/>
    <w:rsid w:val="00AD11CD"/>
    <w:rsid w:val="00AD163D"/>
    <w:rsid w:val="00AD19D4"/>
    <w:rsid w:val="00AD1DBD"/>
    <w:rsid w:val="00AD337A"/>
    <w:rsid w:val="00AD33C4"/>
    <w:rsid w:val="00AD3493"/>
    <w:rsid w:val="00AD4021"/>
    <w:rsid w:val="00AD4401"/>
    <w:rsid w:val="00AD4791"/>
    <w:rsid w:val="00AD4EA5"/>
    <w:rsid w:val="00AD5F7A"/>
    <w:rsid w:val="00AD6E80"/>
    <w:rsid w:val="00AD7898"/>
    <w:rsid w:val="00AE0304"/>
    <w:rsid w:val="00AE14B6"/>
    <w:rsid w:val="00AE1764"/>
    <w:rsid w:val="00AE1C4E"/>
    <w:rsid w:val="00AE23E0"/>
    <w:rsid w:val="00AE2F4B"/>
    <w:rsid w:val="00AE3746"/>
    <w:rsid w:val="00AE38C4"/>
    <w:rsid w:val="00AE3A02"/>
    <w:rsid w:val="00AE4358"/>
    <w:rsid w:val="00AE46D4"/>
    <w:rsid w:val="00AE476F"/>
    <w:rsid w:val="00AE4E12"/>
    <w:rsid w:val="00AE5357"/>
    <w:rsid w:val="00AE57CE"/>
    <w:rsid w:val="00AE7131"/>
    <w:rsid w:val="00AE73B2"/>
    <w:rsid w:val="00AF0219"/>
    <w:rsid w:val="00AF0CAD"/>
    <w:rsid w:val="00AF0CCB"/>
    <w:rsid w:val="00AF1298"/>
    <w:rsid w:val="00AF2082"/>
    <w:rsid w:val="00AF2166"/>
    <w:rsid w:val="00AF291E"/>
    <w:rsid w:val="00AF2AD6"/>
    <w:rsid w:val="00AF4D53"/>
    <w:rsid w:val="00AF54B1"/>
    <w:rsid w:val="00AF553C"/>
    <w:rsid w:val="00AF55C7"/>
    <w:rsid w:val="00AF5A2A"/>
    <w:rsid w:val="00AF5DA0"/>
    <w:rsid w:val="00AF76E3"/>
    <w:rsid w:val="00AF7750"/>
    <w:rsid w:val="00AF7DCD"/>
    <w:rsid w:val="00B0054C"/>
    <w:rsid w:val="00B008A3"/>
    <w:rsid w:val="00B0197F"/>
    <w:rsid w:val="00B01FC8"/>
    <w:rsid w:val="00B02BD1"/>
    <w:rsid w:val="00B03733"/>
    <w:rsid w:val="00B03BEC"/>
    <w:rsid w:val="00B03D6C"/>
    <w:rsid w:val="00B06137"/>
    <w:rsid w:val="00B0623C"/>
    <w:rsid w:val="00B06A87"/>
    <w:rsid w:val="00B06F1E"/>
    <w:rsid w:val="00B06FD1"/>
    <w:rsid w:val="00B07F9B"/>
    <w:rsid w:val="00B10A91"/>
    <w:rsid w:val="00B10EB1"/>
    <w:rsid w:val="00B11A63"/>
    <w:rsid w:val="00B11AB5"/>
    <w:rsid w:val="00B11F95"/>
    <w:rsid w:val="00B12417"/>
    <w:rsid w:val="00B12C5C"/>
    <w:rsid w:val="00B12F18"/>
    <w:rsid w:val="00B13B0E"/>
    <w:rsid w:val="00B13B8E"/>
    <w:rsid w:val="00B144A7"/>
    <w:rsid w:val="00B14871"/>
    <w:rsid w:val="00B15951"/>
    <w:rsid w:val="00B15C60"/>
    <w:rsid w:val="00B16115"/>
    <w:rsid w:val="00B16D4D"/>
    <w:rsid w:val="00B20ACB"/>
    <w:rsid w:val="00B21097"/>
    <w:rsid w:val="00B214C4"/>
    <w:rsid w:val="00B22057"/>
    <w:rsid w:val="00B23C7C"/>
    <w:rsid w:val="00B245A3"/>
    <w:rsid w:val="00B24784"/>
    <w:rsid w:val="00B249E1"/>
    <w:rsid w:val="00B24EFC"/>
    <w:rsid w:val="00B2541F"/>
    <w:rsid w:val="00B25AFC"/>
    <w:rsid w:val="00B2647E"/>
    <w:rsid w:val="00B27897"/>
    <w:rsid w:val="00B300CD"/>
    <w:rsid w:val="00B3021A"/>
    <w:rsid w:val="00B30227"/>
    <w:rsid w:val="00B305B9"/>
    <w:rsid w:val="00B30A6B"/>
    <w:rsid w:val="00B3225B"/>
    <w:rsid w:val="00B32578"/>
    <w:rsid w:val="00B33170"/>
    <w:rsid w:val="00B33602"/>
    <w:rsid w:val="00B34446"/>
    <w:rsid w:val="00B351E8"/>
    <w:rsid w:val="00B35EC7"/>
    <w:rsid w:val="00B365E3"/>
    <w:rsid w:val="00B36D28"/>
    <w:rsid w:val="00B41C66"/>
    <w:rsid w:val="00B4300D"/>
    <w:rsid w:val="00B43515"/>
    <w:rsid w:val="00B4352F"/>
    <w:rsid w:val="00B458F9"/>
    <w:rsid w:val="00B45C1F"/>
    <w:rsid w:val="00B464CA"/>
    <w:rsid w:val="00B46C8B"/>
    <w:rsid w:val="00B470B3"/>
    <w:rsid w:val="00B4732B"/>
    <w:rsid w:val="00B477CA"/>
    <w:rsid w:val="00B47E5B"/>
    <w:rsid w:val="00B501C0"/>
    <w:rsid w:val="00B5058F"/>
    <w:rsid w:val="00B505C8"/>
    <w:rsid w:val="00B50D1A"/>
    <w:rsid w:val="00B50DFC"/>
    <w:rsid w:val="00B51AB1"/>
    <w:rsid w:val="00B51C5A"/>
    <w:rsid w:val="00B524C9"/>
    <w:rsid w:val="00B5251A"/>
    <w:rsid w:val="00B52E93"/>
    <w:rsid w:val="00B52F46"/>
    <w:rsid w:val="00B54B23"/>
    <w:rsid w:val="00B552DA"/>
    <w:rsid w:val="00B554EA"/>
    <w:rsid w:val="00B556D4"/>
    <w:rsid w:val="00B55AA0"/>
    <w:rsid w:val="00B55ECC"/>
    <w:rsid w:val="00B57B8E"/>
    <w:rsid w:val="00B60D2E"/>
    <w:rsid w:val="00B60DBC"/>
    <w:rsid w:val="00B615ED"/>
    <w:rsid w:val="00B61C97"/>
    <w:rsid w:val="00B623D0"/>
    <w:rsid w:val="00B625BE"/>
    <w:rsid w:val="00B6264D"/>
    <w:rsid w:val="00B626C6"/>
    <w:rsid w:val="00B627BF"/>
    <w:rsid w:val="00B62AAB"/>
    <w:rsid w:val="00B6316E"/>
    <w:rsid w:val="00B63532"/>
    <w:rsid w:val="00B6472F"/>
    <w:rsid w:val="00B64FDE"/>
    <w:rsid w:val="00B65291"/>
    <w:rsid w:val="00B661B5"/>
    <w:rsid w:val="00B66270"/>
    <w:rsid w:val="00B66912"/>
    <w:rsid w:val="00B66DC3"/>
    <w:rsid w:val="00B67467"/>
    <w:rsid w:val="00B675DC"/>
    <w:rsid w:val="00B71927"/>
    <w:rsid w:val="00B71C27"/>
    <w:rsid w:val="00B72066"/>
    <w:rsid w:val="00B723A4"/>
    <w:rsid w:val="00B7263E"/>
    <w:rsid w:val="00B72720"/>
    <w:rsid w:val="00B72D03"/>
    <w:rsid w:val="00B739A8"/>
    <w:rsid w:val="00B73D85"/>
    <w:rsid w:val="00B73FAB"/>
    <w:rsid w:val="00B75687"/>
    <w:rsid w:val="00B75DA6"/>
    <w:rsid w:val="00B75E81"/>
    <w:rsid w:val="00B768AC"/>
    <w:rsid w:val="00B76D0D"/>
    <w:rsid w:val="00B77B5C"/>
    <w:rsid w:val="00B77B94"/>
    <w:rsid w:val="00B807B3"/>
    <w:rsid w:val="00B80906"/>
    <w:rsid w:val="00B80F2B"/>
    <w:rsid w:val="00B8161C"/>
    <w:rsid w:val="00B819EF"/>
    <w:rsid w:val="00B81C89"/>
    <w:rsid w:val="00B82F19"/>
    <w:rsid w:val="00B83284"/>
    <w:rsid w:val="00B844B3"/>
    <w:rsid w:val="00B848D2"/>
    <w:rsid w:val="00B84D2C"/>
    <w:rsid w:val="00B85EFC"/>
    <w:rsid w:val="00B86F05"/>
    <w:rsid w:val="00B8747B"/>
    <w:rsid w:val="00B879CC"/>
    <w:rsid w:val="00B87CC5"/>
    <w:rsid w:val="00B90874"/>
    <w:rsid w:val="00B90A53"/>
    <w:rsid w:val="00B922A4"/>
    <w:rsid w:val="00B92E22"/>
    <w:rsid w:val="00B935DD"/>
    <w:rsid w:val="00B93E6F"/>
    <w:rsid w:val="00B93F3A"/>
    <w:rsid w:val="00B948AA"/>
    <w:rsid w:val="00B94C94"/>
    <w:rsid w:val="00B9510F"/>
    <w:rsid w:val="00B95835"/>
    <w:rsid w:val="00B9588A"/>
    <w:rsid w:val="00B9599E"/>
    <w:rsid w:val="00B9644C"/>
    <w:rsid w:val="00B96A14"/>
    <w:rsid w:val="00B96EF2"/>
    <w:rsid w:val="00B977BC"/>
    <w:rsid w:val="00BA0910"/>
    <w:rsid w:val="00BA0AF3"/>
    <w:rsid w:val="00BA0F1C"/>
    <w:rsid w:val="00BA32E7"/>
    <w:rsid w:val="00BA4A0C"/>
    <w:rsid w:val="00BA4B58"/>
    <w:rsid w:val="00BA5527"/>
    <w:rsid w:val="00BA55FE"/>
    <w:rsid w:val="00BA5B93"/>
    <w:rsid w:val="00BA60EA"/>
    <w:rsid w:val="00BA64B6"/>
    <w:rsid w:val="00BA766A"/>
    <w:rsid w:val="00BA7ADB"/>
    <w:rsid w:val="00BB05EF"/>
    <w:rsid w:val="00BB1146"/>
    <w:rsid w:val="00BB1CC5"/>
    <w:rsid w:val="00BB2652"/>
    <w:rsid w:val="00BB2A41"/>
    <w:rsid w:val="00BB2AEA"/>
    <w:rsid w:val="00BB2C50"/>
    <w:rsid w:val="00BB38B0"/>
    <w:rsid w:val="00BB3B5F"/>
    <w:rsid w:val="00BB3F39"/>
    <w:rsid w:val="00BB41A3"/>
    <w:rsid w:val="00BB45ED"/>
    <w:rsid w:val="00BB47F2"/>
    <w:rsid w:val="00BB498E"/>
    <w:rsid w:val="00BB4CCE"/>
    <w:rsid w:val="00BB534B"/>
    <w:rsid w:val="00BB56A4"/>
    <w:rsid w:val="00BB5B22"/>
    <w:rsid w:val="00BB60FD"/>
    <w:rsid w:val="00BB76A5"/>
    <w:rsid w:val="00BB7910"/>
    <w:rsid w:val="00BC015E"/>
    <w:rsid w:val="00BC071D"/>
    <w:rsid w:val="00BC0C14"/>
    <w:rsid w:val="00BC0F52"/>
    <w:rsid w:val="00BC1735"/>
    <w:rsid w:val="00BC1C67"/>
    <w:rsid w:val="00BC2D5D"/>
    <w:rsid w:val="00BC31F5"/>
    <w:rsid w:val="00BC35C9"/>
    <w:rsid w:val="00BC4297"/>
    <w:rsid w:val="00BC4350"/>
    <w:rsid w:val="00BC47DE"/>
    <w:rsid w:val="00BC532B"/>
    <w:rsid w:val="00BC6117"/>
    <w:rsid w:val="00BC6263"/>
    <w:rsid w:val="00BC6BD8"/>
    <w:rsid w:val="00BC7925"/>
    <w:rsid w:val="00BC7ED9"/>
    <w:rsid w:val="00BC7F12"/>
    <w:rsid w:val="00BD09A5"/>
    <w:rsid w:val="00BD1311"/>
    <w:rsid w:val="00BD1C35"/>
    <w:rsid w:val="00BD208E"/>
    <w:rsid w:val="00BD2103"/>
    <w:rsid w:val="00BD331B"/>
    <w:rsid w:val="00BD34EB"/>
    <w:rsid w:val="00BD351B"/>
    <w:rsid w:val="00BD39BF"/>
    <w:rsid w:val="00BD4296"/>
    <w:rsid w:val="00BD464F"/>
    <w:rsid w:val="00BD4E06"/>
    <w:rsid w:val="00BD5696"/>
    <w:rsid w:val="00BD56D1"/>
    <w:rsid w:val="00BD6463"/>
    <w:rsid w:val="00BD6852"/>
    <w:rsid w:val="00BD772A"/>
    <w:rsid w:val="00BD7882"/>
    <w:rsid w:val="00BD7A00"/>
    <w:rsid w:val="00BD7F44"/>
    <w:rsid w:val="00BE0507"/>
    <w:rsid w:val="00BE0903"/>
    <w:rsid w:val="00BE0D7D"/>
    <w:rsid w:val="00BE1D65"/>
    <w:rsid w:val="00BE1E9F"/>
    <w:rsid w:val="00BE1F04"/>
    <w:rsid w:val="00BE1FF1"/>
    <w:rsid w:val="00BE22D7"/>
    <w:rsid w:val="00BE2F94"/>
    <w:rsid w:val="00BE306C"/>
    <w:rsid w:val="00BE3486"/>
    <w:rsid w:val="00BE35D7"/>
    <w:rsid w:val="00BE3A4B"/>
    <w:rsid w:val="00BE4020"/>
    <w:rsid w:val="00BE4259"/>
    <w:rsid w:val="00BE4C55"/>
    <w:rsid w:val="00BE519F"/>
    <w:rsid w:val="00BE523C"/>
    <w:rsid w:val="00BE5599"/>
    <w:rsid w:val="00BE5B75"/>
    <w:rsid w:val="00BE5FF6"/>
    <w:rsid w:val="00BE66AE"/>
    <w:rsid w:val="00BE6972"/>
    <w:rsid w:val="00BE7700"/>
    <w:rsid w:val="00BE795A"/>
    <w:rsid w:val="00BE7A14"/>
    <w:rsid w:val="00BF0921"/>
    <w:rsid w:val="00BF0D2B"/>
    <w:rsid w:val="00BF0F2D"/>
    <w:rsid w:val="00BF123C"/>
    <w:rsid w:val="00BF137E"/>
    <w:rsid w:val="00BF15AD"/>
    <w:rsid w:val="00BF30F3"/>
    <w:rsid w:val="00BF3405"/>
    <w:rsid w:val="00BF36C4"/>
    <w:rsid w:val="00BF3BC7"/>
    <w:rsid w:val="00BF405E"/>
    <w:rsid w:val="00BF5F53"/>
    <w:rsid w:val="00BF6004"/>
    <w:rsid w:val="00BF6719"/>
    <w:rsid w:val="00BF70F2"/>
    <w:rsid w:val="00BF73E9"/>
    <w:rsid w:val="00BF7E9D"/>
    <w:rsid w:val="00C0012F"/>
    <w:rsid w:val="00C0157E"/>
    <w:rsid w:val="00C0166E"/>
    <w:rsid w:val="00C018CA"/>
    <w:rsid w:val="00C029AC"/>
    <w:rsid w:val="00C032E2"/>
    <w:rsid w:val="00C03331"/>
    <w:rsid w:val="00C035CA"/>
    <w:rsid w:val="00C03665"/>
    <w:rsid w:val="00C03B88"/>
    <w:rsid w:val="00C03E15"/>
    <w:rsid w:val="00C0416D"/>
    <w:rsid w:val="00C04499"/>
    <w:rsid w:val="00C05B16"/>
    <w:rsid w:val="00C05E3C"/>
    <w:rsid w:val="00C05F05"/>
    <w:rsid w:val="00C0670B"/>
    <w:rsid w:val="00C06D42"/>
    <w:rsid w:val="00C06D4C"/>
    <w:rsid w:val="00C06E33"/>
    <w:rsid w:val="00C0719F"/>
    <w:rsid w:val="00C07536"/>
    <w:rsid w:val="00C07C44"/>
    <w:rsid w:val="00C07EC4"/>
    <w:rsid w:val="00C116C0"/>
    <w:rsid w:val="00C1171C"/>
    <w:rsid w:val="00C11AF5"/>
    <w:rsid w:val="00C144AB"/>
    <w:rsid w:val="00C145B4"/>
    <w:rsid w:val="00C14BFA"/>
    <w:rsid w:val="00C15077"/>
    <w:rsid w:val="00C1615D"/>
    <w:rsid w:val="00C161ED"/>
    <w:rsid w:val="00C16763"/>
    <w:rsid w:val="00C17EBD"/>
    <w:rsid w:val="00C20E07"/>
    <w:rsid w:val="00C221C5"/>
    <w:rsid w:val="00C231AE"/>
    <w:rsid w:val="00C24176"/>
    <w:rsid w:val="00C24729"/>
    <w:rsid w:val="00C2598D"/>
    <w:rsid w:val="00C25A92"/>
    <w:rsid w:val="00C25D6D"/>
    <w:rsid w:val="00C2646C"/>
    <w:rsid w:val="00C26615"/>
    <w:rsid w:val="00C276A2"/>
    <w:rsid w:val="00C300EA"/>
    <w:rsid w:val="00C307BE"/>
    <w:rsid w:val="00C3107A"/>
    <w:rsid w:val="00C318F1"/>
    <w:rsid w:val="00C32339"/>
    <w:rsid w:val="00C32443"/>
    <w:rsid w:val="00C336AA"/>
    <w:rsid w:val="00C34B2A"/>
    <w:rsid w:val="00C351F0"/>
    <w:rsid w:val="00C355AA"/>
    <w:rsid w:val="00C36736"/>
    <w:rsid w:val="00C3680F"/>
    <w:rsid w:val="00C3687B"/>
    <w:rsid w:val="00C3734B"/>
    <w:rsid w:val="00C3762A"/>
    <w:rsid w:val="00C37D53"/>
    <w:rsid w:val="00C40404"/>
    <w:rsid w:val="00C41A58"/>
    <w:rsid w:val="00C41C17"/>
    <w:rsid w:val="00C434F7"/>
    <w:rsid w:val="00C43A78"/>
    <w:rsid w:val="00C44A19"/>
    <w:rsid w:val="00C44BA3"/>
    <w:rsid w:val="00C44F44"/>
    <w:rsid w:val="00C454E9"/>
    <w:rsid w:val="00C4554C"/>
    <w:rsid w:val="00C46172"/>
    <w:rsid w:val="00C46623"/>
    <w:rsid w:val="00C46845"/>
    <w:rsid w:val="00C46C06"/>
    <w:rsid w:val="00C46E7B"/>
    <w:rsid w:val="00C47821"/>
    <w:rsid w:val="00C502F5"/>
    <w:rsid w:val="00C506F9"/>
    <w:rsid w:val="00C507D5"/>
    <w:rsid w:val="00C50C89"/>
    <w:rsid w:val="00C518E2"/>
    <w:rsid w:val="00C52136"/>
    <w:rsid w:val="00C526CF"/>
    <w:rsid w:val="00C52C49"/>
    <w:rsid w:val="00C54A21"/>
    <w:rsid w:val="00C54CFD"/>
    <w:rsid w:val="00C5501C"/>
    <w:rsid w:val="00C5525F"/>
    <w:rsid w:val="00C559AE"/>
    <w:rsid w:val="00C56000"/>
    <w:rsid w:val="00C56549"/>
    <w:rsid w:val="00C5669B"/>
    <w:rsid w:val="00C56F50"/>
    <w:rsid w:val="00C57B6D"/>
    <w:rsid w:val="00C606E7"/>
    <w:rsid w:val="00C61E3C"/>
    <w:rsid w:val="00C62C3F"/>
    <w:rsid w:val="00C63FB1"/>
    <w:rsid w:val="00C651B6"/>
    <w:rsid w:val="00C65F11"/>
    <w:rsid w:val="00C66AA1"/>
    <w:rsid w:val="00C67179"/>
    <w:rsid w:val="00C674DB"/>
    <w:rsid w:val="00C67D67"/>
    <w:rsid w:val="00C70656"/>
    <w:rsid w:val="00C71C91"/>
    <w:rsid w:val="00C72546"/>
    <w:rsid w:val="00C731E0"/>
    <w:rsid w:val="00C732B5"/>
    <w:rsid w:val="00C73C61"/>
    <w:rsid w:val="00C73FA2"/>
    <w:rsid w:val="00C7494F"/>
    <w:rsid w:val="00C74E91"/>
    <w:rsid w:val="00C75C80"/>
    <w:rsid w:val="00C75CD9"/>
    <w:rsid w:val="00C75DB3"/>
    <w:rsid w:val="00C77658"/>
    <w:rsid w:val="00C778EF"/>
    <w:rsid w:val="00C779D1"/>
    <w:rsid w:val="00C779FF"/>
    <w:rsid w:val="00C77C1C"/>
    <w:rsid w:val="00C800E8"/>
    <w:rsid w:val="00C80EC5"/>
    <w:rsid w:val="00C80FDE"/>
    <w:rsid w:val="00C81450"/>
    <w:rsid w:val="00C81AA7"/>
    <w:rsid w:val="00C81C06"/>
    <w:rsid w:val="00C84F13"/>
    <w:rsid w:val="00C85B75"/>
    <w:rsid w:val="00C8624C"/>
    <w:rsid w:val="00C86F67"/>
    <w:rsid w:val="00C878F7"/>
    <w:rsid w:val="00C87FBF"/>
    <w:rsid w:val="00C91429"/>
    <w:rsid w:val="00C920E7"/>
    <w:rsid w:val="00C921BB"/>
    <w:rsid w:val="00C925B9"/>
    <w:rsid w:val="00C9278D"/>
    <w:rsid w:val="00C92E54"/>
    <w:rsid w:val="00C94332"/>
    <w:rsid w:val="00C94EBB"/>
    <w:rsid w:val="00C94FCA"/>
    <w:rsid w:val="00C95170"/>
    <w:rsid w:val="00C95B93"/>
    <w:rsid w:val="00C95F80"/>
    <w:rsid w:val="00C97064"/>
    <w:rsid w:val="00C97811"/>
    <w:rsid w:val="00CA2E57"/>
    <w:rsid w:val="00CA5543"/>
    <w:rsid w:val="00CA555E"/>
    <w:rsid w:val="00CA5904"/>
    <w:rsid w:val="00CA5A89"/>
    <w:rsid w:val="00CA6077"/>
    <w:rsid w:val="00CA62F3"/>
    <w:rsid w:val="00CA78C1"/>
    <w:rsid w:val="00CB06EE"/>
    <w:rsid w:val="00CB08F6"/>
    <w:rsid w:val="00CB0C9C"/>
    <w:rsid w:val="00CB0D05"/>
    <w:rsid w:val="00CB1408"/>
    <w:rsid w:val="00CB1442"/>
    <w:rsid w:val="00CB179F"/>
    <w:rsid w:val="00CB1CCF"/>
    <w:rsid w:val="00CB1ECB"/>
    <w:rsid w:val="00CB2BFA"/>
    <w:rsid w:val="00CB49D1"/>
    <w:rsid w:val="00CB5D16"/>
    <w:rsid w:val="00CB608D"/>
    <w:rsid w:val="00CB68B6"/>
    <w:rsid w:val="00CB6B97"/>
    <w:rsid w:val="00CC078A"/>
    <w:rsid w:val="00CC0D9B"/>
    <w:rsid w:val="00CC17B1"/>
    <w:rsid w:val="00CC2BD6"/>
    <w:rsid w:val="00CC2E4F"/>
    <w:rsid w:val="00CC3A92"/>
    <w:rsid w:val="00CC3D73"/>
    <w:rsid w:val="00CC3DFB"/>
    <w:rsid w:val="00CC3FFF"/>
    <w:rsid w:val="00CC420D"/>
    <w:rsid w:val="00CC6707"/>
    <w:rsid w:val="00CC6C2D"/>
    <w:rsid w:val="00CC777A"/>
    <w:rsid w:val="00CC790C"/>
    <w:rsid w:val="00CD02DF"/>
    <w:rsid w:val="00CD0532"/>
    <w:rsid w:val="00CD1535"/>
    <w:rsid w:val="00CD15FF"/>
    <w:rsid w:val="00CD1B9B"/>
    <w:rsid w:val="00CD3023"/>
    <w:rsid w:val="00CD34F5"/>
    <w:rsid w:val="00CD3A6F"/>
    <w:rsid w:val="00CD3B70"/>
    <w:rsid w:val="00CD3BA9"/>
    <w:rsid w:val="00CD4FCE"/>
    <w:rsid w:val="00CD5485"/>
    <w:rsid w:val="00CD54A5"/>
    <w:rsid w:val="00CD5E0C"/>
    <w:rsid w:val="00CD67D1"/>
    <w:rsid w:val="00CD68E9"/>
    <w:rsid w:val="00CD7033"/>
    <w:rsid w:val="00CD7B2D"/>
    <w:rsid w:val="00CD7EED"/>
    <w:rsid w:val="00CE0644"/>
    <w:rsid w:val="00CE09C8"/>
    <w:rsid w:val="00CE16C0"/>
    <w:rsid w:val="00CE191A"/>
    <w:rsid w:val="00CE1945"/>
    <w:rsid w:val="00CE1CCD"/>
    <w:rsid w:val="00CE1FC7"/>
    <w:rsid w:val="00CE2D31"/>
    <w:rsid w:val="00CE2E5F"/>
    <w:rsid w:val="00CE302F"/>
    <w:rsid w:val="00CE512B"/>
    <w:rsid w:val="00CE51C6"/>
    <w:rsid w:val="00CE5250"/>
    <w:rsid w:val="00CE5608"/>
    <w:rsid w:val="00CE691C"/>
    <w:rsid w:val="00CE6BE2"/>
    <w:rsid w:val="00CE71CE"/>
    <w:rsid w:val="00CF0690"/>
    <w:rsid w:val="00CF09E3"/>
    <w:rsid w:val="00CF0F93"/>
    <w:rsid w:val="00CF1098"/>
    <w:rsid w:val="00CF1388"/>
    <w:rsid w:val="00CF1C30"/>
    <w:rsid w:val="00CF1D56"/>
    <w:rsid w:val="00CF29AC"/>
    <w:rsid w:val="00CF3A30"/>
    <w:rsid w:val="00CF3F6D"/>
    <w:rsid w:val="00CF46B9"/>
    <w:rsid w:val="00CF47E9"/>
    <w:rsid w:val="00CF5206"/>
    <w:rsid w:val="00CF53EA"/>
    <w:rsid w:val="00CF584C"/>
    <w:rsid w:val="00CF59D0"/>
    <w:rsid w:val="00CF5BEF"/>
    <w:rsid w:val="00CF6BCA"/>
    <w:rsid w:val="00CF78C0"/>
    <w:rsid w:val="00CF7B11"/>
    <w:rsid w:val="00D003C9"/>
    <w:rsid w:val="00D0059D"/>
    <w:rsid w:val="00D014DC"/>
    <w:rsid w:val="00D01DD3"/>
    <w:rsid w:val="00D02306"/>
    <w:rsid w:val="00D02905"/>
    <w:rsid w:val="00D02A67"/>
    <w:rsid w:val="00D035EA"/>
    <w:rsid w:val="00D03A7F"/>
    <w:rsid w:val="00D041F9"/>
    <w:rsid w:val="00D0595D"/>
    <w:rsid w:val="00D06654"/>
    <w:rsid w:val="00D06771"/>
    <w:rsid w:val="00D106D9"/>
    <w:rsid w:val="00D1070D"/>
    <w:rsid w:val="00D10895"/>
    <w:rsid w:val="00D11C66"/>
    <w:rsid w:val="00D11E02"/>
    <w:rsid w:val="00D1367A"/>
    <w:rsid w:val="00D146FE"/>
    <w:rsid w:val="00D14E16"/>
    <w:rsid w:val="00D1558C"/>
    <w:rsid w:val="00D15927"/>
    <w:rsid w:val="00D174F3"/>
    <w:rsid w:val="00D20065"/>
    <w:rsid w:val="00D20AFF"/>
    <w:rsid w:val="00D20B51"/>
    <w:rsid w:val="00D224BC"/>
    <w:rsid w:val="00D2274C"/>
    <w:rsid w:val="00D23116"/>
    <w:rsid w:val="00D253DB"/>
    <w:rsid w:val="00D27459"/>
    <w:rsid w:val="00D274F7"/>
    <w:rsid w:val="00D2787B"/>
    <w:rsid w:val="00D31866"/>
    <w:rsid w:val="00D31998"/>
    <w:rsid w:val="00D31C7F"/>
    <w:rsid w:val="00D32ABA"/>
    <w:rsid w:val="00D335FF"/>
    <w:rsid w:val="00D33C52"/>
    <w:rsid w:val="00D33F6B"/>
    <w:rsid w:val="00D35141"/>
    <w:rsid w:val="00D35423"/>
    <w:rsid w:val="00D35AAE"/>
    <w:rsid w:val="00D364BE"/>
    <w:rsid w:val="00D364EE"/>
    <w:rsid w:val="00D36D19"/>
    <w:rsid w:val="00D3712F"/>
    <w:rsid w:val="00D377AD"/>
    <w:rsid w:val="00D37C57"/>
    <w:rsid w:val="00D40CB5"/>
    <w:rsid w:val="00D415A3"/>
    <w:rsid w:val="00D42A7B"/>
    <w:rsid w:val="00D42D3E"/>
    <w:rsid w:val="00D43757"/>
    <w:rsid w:val="00D43E5E"/>
    <w:rsid w:val="00D44137"/>
    <w:rsid w:val="00D44E3F"/>
    <w:rsid w:val="00D468D5"/>
    <w:rsid w:val="00D4734A"/>
    <w:rsid w:val="00D474EC"/>
    <w:rsid w:val="00D47BF9"/>
    <w:rsid w:val="00D47E38"/>
    <w:rsid w:val="00D50A22"/>
    <w:rsid w:val="00D50CC6"/>
    <w:rsid w:val="00D51055"/>
    <w:rsid w:val="00D52577"/>
    <w:rsid w:val="00D52752"/>
    <w:rsid w:val="00D5401B"/>
    <w:rsid w:val="00D54A2F"/>
    <w:rsid w:val="00D56390"/>
    <w:rsid w:val="00D56727"/>
    <w:rsid w:val="00D5742E"/>
    <w:rsid w:val="00D57FAD"/>
    <w:rsid w:val="00D60183"/>
    <w:rsid w:val="00D6037E"/>
    <w:rsid w:val="00D60898"/>
    <w:rsid w:val="00D60957"/>
    <w:rsid w:val="00D617E2"/>
    <w:rsid w:val="00D61B31"/>
    <w:rsid w:val="00D61BE3"/>
    <w:rsid w:val="00D62371"/>
    <w:rsid w:val="00D624F7"/>
    <w:rsid w:val="00D62533"/>
    <w:rsid w:val="00D6265B"/>
    <w:rsid w:val="00D62801"/>
    <w:rsid w:val="00D62CFA"/>
    <w:rsid w:val="00D63D93"/>
    <w:rsid w:val="00D640C1"/>
    <w:rsid w:val="00D645CD"/>
    <w:rsid w:val="00D647E6"/>
    <w:rsid w:val="00D64BEB"/>
    <w:rsid w:val="00D65924"/>
    <w:rsid w:val="00D65A27"/>
    <w:rsid w:val="00D660D6"/>
    <w:rsid w:val="00D66216"/>
    <w:rsid w:val="00D66AE9"/>
    <w:rsid w:val="00D66BAC"/>
    <w:rsid w:val="00D67125"/>
    <w:rsid w:val="00D67BCE"/>
    <w:rsid w:val="00D67D70"/>
    <w:rsid w:val="00D7135B"/>
    <w:rsid w:val="00D713D1"/>
    <w:rsid w:val="00D719F2"/>
    <w:rsid w:val="00D71D14"/>
    <w:rsid w:val="00D720E4"/>
    <w:rsid w:val="00D72684"/>
    <w:rsid w:val="00D727C7"/>
    <w:rsid w:val="00D7394A"/>
    <w:rsid w:val="00D73C5C"/>
    <w:rsid w:val="00D7456B"/>
    <w:rsid w:val="00D74627"/>
    <w:rsid w:val="00D74BF4"/>
    <w:rsid w:val="00D74E8F"/>
    <w:rsid w:val="00D759B5"/>
    <w:rsid w:val="00D76E58"/>
    <w:rsid w:val="00D77A2C"/>
    <w:rsid w:val="00D80887"/>
    <w:rsid w:val="00D80AFD"/>
    <w:rsid w:val="00D8155E"/>
    <w:rsid w:val="00D81912"/>
    <w:rsid w:val="00D81F09"/>
    <w:rsid w:val="00D83638"/>
    <w:rsid w:val="00D846B7"/>
    <w:rsid w:val="00D84786"/>
    <w:rsid w:val="00D85B99"/>
    <w:rsid w:val="00D85E51"/>
    <w:rsid w:val="00D86DE9"/>
    <w:rsid w:val="00D87973"/>
    <w:rsid w:val="00D87DA1"/>
    <w:rsid w:val="00D90825"/>
    <w:rsid w:val="00D90CE9"/>
    <w:rsid w:val="00D92A25"/>
    <w:rsid w:val="00D9345C"/>
    <w:rsid w:val="00D93B6C"/>
    <w:rsid w:val="00D93EC2"/>
    <w:rsid w:val="00D93F76"/>
    <w:rsid w:val="00D94127"/>
    <w:rsid w:val="00D94257"/>
    <w:rsid w:val="00D94750"/>
    <w:rsid w:val="00D94822"/>
    <w:rsid w:val="00D9489C"/>
    <w:rsid w:val="00D949FE"/>
    <w:rsid w:val="00D95072"/>
    <w:rsid w:val="00D9594A"/>
    <w:rsid w:val="00D95EE1"/>
    <w:rsid w:val="00D96FB0"/>
    <w:rsid w:val="00D97021"/>
    <w:rsid w:val="00D975A3"/>
    <w:rsid w:val="00DA0178"/>
    <w:rsid w:val="00DA0665"/>
    <w:rsid w:val="00DA1434"/>
    <w:rsid w:val="00DA1A6E"/>
    <w:rsid w:val="00DA1B68"/>
    <w:rsid w:val="00DA21B4"/>
    <w:rsid w:val="00DA2481"/>
    <w:rsid w:val="00DA29D8"/>
    <w:rsid w:val="00DA37C0"/>
    <w:rsid w:val="00DA3AAC"/>
    <w:rsid w:val="00DA3C9B"/>
    <w:rsid w:val="00DA4318"/>
    <w:rsid w:val="00DA44ED"/>
    <w:rsid w:val="00DA514D"/>
    <w:rsid w:val="00DA5312"/>
    <w:rsid w:val="00DA5E20"/>
    <w:rsid w:val="00DA674C"/>
    <w:rsid w:val="00DA7C89"/>
    <w:rsid w:val="00DB0231"/>
    <w:rsid w:val="00DB02BF"/>
    <w:rsid w:val="00DB0D33"/>
    <w:rsid w:val="00DB0DA7"/>
    <w:rsid w:val="00DB238A"/>
    <w:rsid w:val="00DB259E"/>
    <w:rsid w:val="00DB2FAD"/>
    <w:rsid w:val="00DB38BD"/>
    <w:rsid w:val="00DB3983"/>
    <w:rsid w:val="00DB415A"/>
    <w:rsid w:val="00DB48E6"/>
    <w:rsid w:val="00DB4CBD"/>
    <w:rsid w:val="00DB5454"/>
    <w:rsid w:val="00DB56A8"/>
    <w:rsid w:val="00DB5F30"/>
    <w:rsid w:val="00DB61FB"/>
    <w:rsid w:val="00DB683E"/>
    <w:rsid w:val="00DC07E8"/>
    <w:rsid w:val="00DC11E8"/>
    <w:rsid w:val="00DC231E"/>
    <w:rsid w:val="00DC2B0D"/>
    <w:rsid w:val="00DC3364"/>
    <w:rsid w:val="00DC3AC1"/>
    <w:rsid w:val="00DC402A"/>
    <w:rsid w:val="00DC4382"/>
    <w:rsid w:val="00DC4993"/>
    <w:rsid w:val="00DC4D71"/>
    <w:rsid w:val="00DC4EC6"/>
    <w:rsid w:val="00DC4F28"/>
    <w:rsid w:val="00DC5007"/>
    <w:rsid w:val="00DC5941"/>
    <w:rsid w:val="00DC60E0"/>
    <w:rsid w:val="00DC7F04"/>
    <w:rsid w:val="00DD0902"/>
    <w:rsid w:val="00DD0E70"/>
    <w:rsid w:val="00DD17EA"/>
    <w:rsid w:val="00DD1B92"/>
    <w:rsid w:val="00DD1BC8"/>
    <w:rsid w:val="00DD1C9D"/>
    <w:rsid w:val="00DD2145"/>
    <w:rsid w:val="00DD2E20"/>
    <w:rsid w:val="00DD3793"/>
    <w:rsid w:val="00DD3A9F"/>
    <w:rsid w:val="00DD3D19"/>
    <w:rsid w:val="00DD3E6C"/>
    <w:rsid w:val="00DD455E"/>
    <w:rsid w:val="00DD4CFE"/>
    <w:rsid w:val="00DD5E4A"/>
    <w:rsid w:val="00DD65D6"/>
    <w:rsid w:val="00DD66B5"/>
    <w:rsid w:val="00DD71DF"/>
    <w:rsid w:val="00DE0096"/>
    <w:rsid w:val="00DE044B"/>
    <w:rsid w:val="00DE1305"/>
    <w:rsid w:val="00DE29B9"/>
    <w:rsid w:val="00DE2B01"/>
    <w:rsid w:val="00DE3132"/>
    <w:rsid w:val="00DE35C4"/>
    <w:rsid w:val="00DE4285"/>
    <w:rsid w:val="00DE5DB8"/>
    <w:rsid w:val="00DE6454"/>
    <w:rsid w:val="00DE6530"/>
    <w:rsid w:val="00DE6AFA"/>
    <w:rsid w:val="00DE6E82"/>
    <w:rsid w:val="00DE7544"/>
    <w:rsid w:val="00DE7C72"/>
    <w:rsid w:val="00DE7D52"/>
    <w:rsid w:val="00DF039D"/>
    <w:rsid w:val="00DF0A83"/>
    <w:rsid w:val="00DF2030"/>
    <w:rsid w:val="00DF20FA"/>
    <w:rsid w:val="00DF21D4"/>
    <w:rsid w:val="00DF2D77"/>
    <w:rsid w:val="00DF4233"/>
    <w:rsid w:val="00DF4461"/>
    <w:rsid w:val="00DF509C"/>
    <w:rsid w:val="00DF5992"/>
    <w:rsid w:val="00DF64EA"/>
    <w:rsid w:val="00DF66BE"/>
    <w:rsid w:val="00DF768D"/>
    <w:rsid w:val="00E003A5"/>
    <w:rsid w:val="00E007FF"/>
    <w:rsid w:val="00E00B87"/>
    <w:rsid w:val="00E01714"/>
    <w:rsid w:val="00E018DF"/>
    <w:rsid w:val="00E01DB0"/>
    <w:rsid w:val="00E01DD6"/>
    <w:rsid w:val="00E02103"/>
    <w:rsid w:val="00E0257C"/>
    <w:rsid w:val="00E0311A"/>
    <w:rsid w:val="00E04A27"/>
    <w:rsid w:val="00E04C2F"/>
    <w:rsid w:val="00E04CE2"/>
    <w:rsid w:val="00E05A18"/>
    <w:rsid w:val="00E05AC8"/>
    <w:rsid w:val="00E0622C"/>
    <w:rsid w:val="00E06254"/>
    <w:rsid w:val="00E066E3"/>
    <w:rsid w:val="00E068D6"/>
    <w:rsid w:val="00E06FD0"/>
    <w:rsid w:val="00E073D6"/>
    <w:rsid w:val="00E101D1"/>
    <w:rsid w:val="00E10AB0"/>
    <w:rsid w:val="00E10BF3"/>
    <w:rsid w:val="00E1188F"/>
    <w:rsid w:val="00E11A7C"/>
    <w:rsid w:val="00E12173"/>
    <w:rsid w:val="00E1220E"/>
    <w:rsid w:val="00E12DB7"/>
    <w:rsid w:val="00E13FA8"/>
    <w:rsid w:val="00E145C2"/>
    <w:rsid w:val="00E146C6"/>
    <w:rsid w:val="00E14992"/>
    <w:rsid w:val="00E21108"/>
    <w:rsid w:val="00E21F9D"/>
    <w:rsid w:val="00E225AF"/>
    <w:rsid w:val="00E2320D"/>
    <w:rsid w:val="00E24436"/>
    <w:rsid w:val="00E2461C"/>
    <w:rsid w:val="00E25276"/>
    <w:rsid w:val="00E257D9"/>
    <w:rsid w:val="00E25E78"/>
    <w:rsid w:val="00E263F8"/>
    <w:rsid w:val="00E26B94"/>
    <w:rsid w:val="00E26F97"/>
    <w:rsid w:val="00E272F0"/>
    <w:rsid w:val="00E27973"/>
    <w:rsid w:val="00E301E0"/>
    <w:rsid w:val="00E303DC"/>
    <w:rsid w:val="00E30923"/>
    <w:rsid w:val="00E30B11"/>
    <w:rsid w:val="00E30FCB"/>
    <w:rsid w:val="00E31672"/>
    <w:rsid w:val="00E31B3E"/>
    <w:rsid w:val="00E3208D"/>
    <w:rsid w:val="00E32169"/>
    <w:rsid w:val="00E32289"/>
    <w:rsid w:val="00E32A70"/>
    <w:rsid w:val="00E339B2"/>
    <w:rsid w:val="00E33B51"/>
    <w:rsid w:val="00E349EE"/>
    <w:rsid w:val="00E359E5"/>
    <w:rsid w:val="00E35CC4"/>
    <w:rsid w:val="00E35D41"/>
    <w:rsid w:val="00E3603D"/>
    <w:rsid w:val="00E36BC9"/>
    <w:rsid w:val="00E3706E"/>
    <w:rsid w:val="00E3768E"/>
    <w:rsid w:val="00E37791"/>
    <w:rsid w:val="00E4035D"/>
    <w:rsid w:val="00E405E4"/>
    <w:rsid w:val="00E41564"/>
    <w:rsid w:val="00E41B8C"/>
    <w:rsid w:val="00E423F9"/>
    <w:rsid w:val="00E43405"/>
    <w:rsid w:val="00E4355A"/>
    <w:rsid w:val="00E435EB"/>
    <w:rsid w:val="00E43D20"/>
    <w:rsid w:val="00E444A8"/>
    <w:rsid w:val="00E446B3"/>
    <w:rsid w:val="00E45C8E"/>
    <w:rsid w:val="00E46450"/>
    <w:rsid w:val="00E46968"/>
    <w:rsid w:val="00E473A6"/>
    <w:rsid w:val="00E47F69"/>
    <w:rsid w:val="00E514A9"/>
    <w:rsid w:val="00E51B1D"/>
    <w:rsid w:val="00E51C82"/>
    <w:rsid w:val="00E52038"/>
    <w:rsid w:val="00E521DD"/>
    <w:rsid w:val="00E52D07"/>
    <w:rsid w:val="00E53AC2"/>
    <w:rsid w:val="00E53AE5"/>
    <w:rsid w:val="00E53F41"/>
    <w:rsid w:val="00E54885"/>
    <w:rsid w:val="00E55570"/>
    <w:rsid w:val="00E55809"/>
    <w:rsid w:val="00E5631A"/>
    <w:rsid w:val="00E56867"/>
    <w:rsid w:val="00E56BBB"/>
    <w:rsid w:val="00E57505"/>
    <w:rsid w:val="00E57546"/>
    <w:rsid w:val="00E5763A"/>
    <w:rsid w:val="00E576AE"/>
    <w:rsid w:val="00E60425"/>
    <w:rsid w:val="00E61912"/>
    <w:rsid w:val="00E62E1C"/>
    <w:rsid w:val="00E6316D"/>
    <w:rsid w:val="00E6406D"/>
    <w:rsid w:val="00E64C59"/>
    <w:rsid w:val="00E65AFE"/>
    <w:rsid w:val="00E65EBC"/>
    <w:rsid w:val="00E666CD"/>
    <w:rsid w:val="00E6783C"/>
    <w:rsid w:val="00E70217"/>
    <w:rsid w:val="00E71E30"/>
    <w:rsid w:val="00E72DF7"/>
    <w:rsid w:val="00E73247"/>
    <w:rsid w:val="00E7336D"/>
    <w:rsid w:val="00E73D2A"/>
    <w:rsid w:val="00E74277"/>
    <w:rsid w:val="00E75559"/>
    <w:rsid w:val="00E75D4F"/>
    <w:rsid w:val="00E76A65"/>
    <w:rsid w:val="00E76CB7"/>
    <w:rsid w:val="00E76DD1"/>
    <w:rsid w:val="00E77101"/>
    <w:rsid w:val="00E774D1"/>
    <w:rsid w:val="00E803AD"/>
    <w:rsid w:val="00E8160D"/>
    <w:rsid w:val="00E82056"/>
    <w:rsid w:val="00E8253C"/>
    <w:rsid w:val="00E82FA7"/>
    <w:rsid w:val="00E830BA"/>
    <w:rsid w:val="00E831B1"/>
    <w:rsid w:val="00E8349C"/>
    <w:rsid w:val="00E8376E"/>
    <w:rsid w:val="00E83E9D"/>
    <w:rsid w:val="00E8452A"/>
    <w:rsid w:val="00E8513A"/>
    <w:rsid w:val="00E87786"/>
    <w:rsid w:val="00E87897"/>
    <w:rsid w:val="00E87CEF"/>
    <w:rsid w:val="00E87E08"/>
    <w:rsid w:val="00E906A7"/>
    <w:rsid w:val="00E90C27"/>
    <w:rsid w:val="00E914D9"/>
    <w:rsid w:val="00E917C4"/>
    <w:rsid w:val="00E919A3"/>
    <w:rsid w:val="00E92AFA"/>
    <w:rsid w:val="00E92B51"/>
    <w:rsid w:val="00E92CDB"/>
    <w:rsid w:val="00E93516"/>
    <w:rsid w:val="00E9372E"/>
    <w:rsid w:val="00E9440C"/>
    <w:rsid w:val="00E94472"/>
    <w:rsid w:val="00E94608"/>
    <w:rsid w:val="00E96120"/>
    <w:rsid w:val="00E96164"/>
    <w:rsid w:val="00E96341"/>
    <w:rsid w:val="00E97587"/>
    <w:rsid w:val="00E975C2"/>
    <w:rsid w:val="00E97AD3"/>
    <w:rsid w:val="00EA041C"/>
    <w:rsid w:val="00EA0487"/>
    <w:rsid w:val="00EA085A"/>
    <w:rsid w:val="00EA0F5F"/>
    <w:rsid w:val="00EA0F79"/>
    <w:rsid w:val="00EA1586"/>
    <w:rsid w:val="00EA163A"/>
    <w:rsid w:val="00EA1C01"/>
    <w:rsid w:val="00EA26DC"/>
    <w:rsid w:val="00EA33C5"/>
    <w:rsid w:val="00EA3624"/>
    <w:rsid w:val="00EA3E63"/>
    <w:rsid w:val="00EA3FAE"/>
    <w:rsid w:val="00EA5116"/>
    <w:rsid w:val="00EA55F4"/>
    <w:rsid w:val="00EA5660"/>
    <w:rsid w:val="00EA5698"/>
    <w:rsid w:val="00EA6AE8"/>
    <w:rsid w:val="00EA6CCD"/>
    <w:rsid w:val="00EA7256"/>
    <w:rsid w:val="00EA73ED"/>
    <w:rsid w:val="00EA74A5"/>
    <w:rsid w:val="00EB008E"/>
    <w:rsid w:val="00EB0AB7"/>
    <w:rsid w:val="00EB0B1A"/>
    <w:rsid w:val="00EB1A3E"/>
    <w:rsid w:val="00EB28F5"/>
    <w:rsid w:val="00EB3E09"/>
    <w:rsid w:val="00EB3E7D"/>
    <w:rsid w:val="00EB452B"/>
    <w:rsid w:val="00EB4782"/>
    <w:rsid w:val="00EB561D"/>
    <w:rsid w:val="00EB5677"/>
    <w:rsid w:val="00EB5A8A"/>
    <w:rsid w:val="00EB7B0A"/>
    <w:rsid w:val="00EB7D9E"/>
    <w:rsid w:val="00EC091E"/>
    <w:rsid w:val="00EC09F1"/>
    <w:rsid w:val="00EC16D9"/>
    <w:rsid w:val="00EC2092"/>
    <w:rsid w:val="00EC2D33"/>
    <w:rsid w:val="00EC4BC4"/>
    <w:rsid w:val="00EC529A"/>
    <w:rsid w:val="00EC55E0"/>
    <w:rsid w:val="00EC651B"/>
    <w:rsid w:val="00EC6557"/>
    <w:rsid w:val="00EC6886"/>
    <w:rsid w:val="00EC75D7"/>
    <w:rsid w:val="00EC77AF"/>
    <w:rsid w:val="00ED052B"/>
    <w:rsid w:val="00ED12B9"/>
    <w:rsid w:val="00ED15AD"/>
    <w:rsid w:val="00ED2E65"/>
    <w:rsid w:val="00ED3218"/>
    <w:rsid w:val="00ED38D2"/>
    <w:rsid w:val="00ED4469"/>
    <w:rsid w:val="00ED4709"/>
    <w:rsid w:val="00ED4CCE"/>
    <w:rsid w:val="00ED4DEC"/>
    <w:rsid w:val="00ED51D6"/>
    <w:rsid w:val="00ED537C"/>
    <w:rsid w:val="00ED5A40"/>
    <w:rsid w:val="00ED6B5D"/>
    <w:rsid w:val="00ED6D24"/>
    <w:rsid w:val="00ED73BA"/>
    <w:rsid w:val="00ED76FA"/>
    <w:rsid w:val="00ED7926"/>
    <w:rsid w:val="00EE1145"/>
    <w:rsid w:val="00EE2188"/>
    <w:rsid w:val="00EE2458"/>
    <w:rsid w:val="00EE2CF6"/>
    <w:rsid w:val="00EE3234"/>
    <w:rsid w:val="00EE3886"/>
    <w:rsid w:val="00EE4221"/>
    <w:rsid w:val="00EE422A"/>
    <w:rsid w:val="00EE425D"/>
    <w:rsid w:val="00EE5148"/>
    <w:rsid w:val="00EE66C7"/>
    <w:rsid w:val="00EE6789"/>
    <w:rsid w:val="00EE6E0D"/>
    <w:rsid w:val="00EE7002"/>
    <w:rsid w:val="00EF01E8"/>
    <w:rsid w:val="00EF0242"/>
    <w:rsid w:val="00EF0415"/>
    <w:rsid w:val="00EF0CC6"/>
    <w:rsid w:val="00EF19B3"/>
    <w:rsid w:val="00EF229A"/>
    <w:rsid w:val="00EF4BD5"/>
    <w:rsid w:val="00EF5EB2"/>
    <w:rsid w:val="00EF6088"/>
    <w:rsid w:val="00EF6415"/>
    <w:rsid w:val="00EF69D3"/>
    <w:rsid w:val="00EF7147"/>
    <w:rsid w:val="00EF718C"/>
    <w:rsid w:val="00EF7B57"/>
    <w:rsid w:val="00F0007E"/>
    <w:rsid w:val="00F018C7"/>
    <w:rsid w:val="00F019D5"/>
    <w:rsid w:val="00F033EE"/>
    <w:rsid w:val="00F03948"/>
    <w:rsid w:val="00F03FD0"/>
    <w:rsid w:val="00F059DB"/>
    <w:rsid w:val="00F07414"/>
    <w:rsid w:val="00F077AF"/>
    <w:rsid w:val="00F07B6E"/>
    <w:rsid w:val="00F101FB"/>
    <w:rsid w:val="00F10F40"/>
    <w:rsid w:val="00F11225"/>
    <w:rsid w:val="00F11C5F"/>
    <w:rsid w:val="00F11D9E"/>
    <w:rsid w:val="00F11DBC"/>
    <w:rsid w:val="00F14480"/>
    <w:rsid w:val="00F149A4"/>
    <w:rsid w:val="00F14A0C"/>
    <w:rsid w:val="00F14DCB"/>
    <w:rsid w:val="00F1651A"/>
    <w:rsid w:val="00F17A55"/>
    <w:rsid w:val="00F17CD8"/>
    <w:rsid w:val="00F200EC"/>
    <w:rsid w:val="00F2031C"/>
    <w:rsid w:val="00F21E78"/>
    <w:rsid w:val="00F21F7B"/>
    <w:rsid w:val="00F22341"/>
    <w:rsid w:val="00F2255D"/>
    <w:rsid w:val="00F22AB9"/>
    <w:rsid w:val="00F23A30"/>
    <w:rsid w:val="00F24079"/>
    <w:rsid w:val="00F2433B"/>
    <w:rsid w:val="00F2453F"/>
    <w:rsid w:val="00F2455C"/>
    <w:rsid w:val="00F24BBE"/>
    <w:rsid w:val="00F2606E"/>
    <w:rsid w:val="00F261FD"/>
    <w:rsid w:val="00F2735C"/>
    <w:rsid w:val="00F30202"/>
    <w:rsid w:val="00F30DF1"/>
    <w:rsid w:val="00F31779"/>
    <w:rsid w:val="00F32152"/>
    <w:rsid w:val="00F32966"/>
    <w:rsid w:val="00F32ED0"/>
    <w:rsid w:val="00F331A4"/>
    <w:rsid w:val="00F33276"/>
    <w:rsid w:val="00F3518A"/>
    <w:rsid w:val="00F36632"/>
    <w:rsid w:val="00F366E7"/>
    <w:rsid w:val="00F36796"/>
    <w:rsid w:val="00F367C3"/>
    <w:rsid w:val="00F37327"/>
    <w:rsid w:val="00F37AD4"/>
    <w:rsid w:val="00F37E48"/>
    <w:rsid w:val="00F40B2C"/>
    <w:rsid w:val="00F40C40"/>
    <w:rsid w:val="00F40CB8"/>
    <w:rsid w:val="00F40FD3"/>
    <w:rsid w:val="00F416AC"/>
    <w:rsid w:val="00F41A3E"/>
    <w:rsid w:val="00F42399"/>
    <w:rsid w:val="00F42547"/>
    <w:rsid w:val="00F42622"/>
    <w:rsid w:val="00F43729"/>
    <w:rsid w:val="00F4381C"/>
    <w:rsid w:val="00F4404C"/>
    <w:rsid w:val="00F444A9"/>
    <w:rsid w:val="00F44736"/>
    <w:rsid w:val="00F44D05"/>
    <w:rsid w:val="00F457F1"/>
    <w:rsid w:val="00F46566"/>
    <w:rsid w:val="00F4679D"/>
    <w:rsid w:val="00F46B45"/>
    <w:rsid w:val="00F47405"/>
    <w:rsid w:val="00F476D5"/>
    <w:rsid w:val="00F50DC5"/>
    <w:rsid w:val="00F51071"/>
    <w:rsid w:val="00F51180"/>
    <w:rsid w:val="00F512B1"/>
    <w:rsid w:val="00F51F27"/>
    <w:rsid w:val="00F51F9F"/>
    <w:rsid w:val="00F5371F"/>
    <w:rsid w:val="00F53B4A"/>
    <w:rsid w:val="00F5435C"/>
    <w:rsid w:val="00F55532"/>
    <w:rsid w:val="00F55BAD"/>
    <w:rsid w:val="00F55D97"/>
    <w:rsid w:val="00F56220"/>
    <w:rsid w:val="00F56712"/>
    <w:rsid w:val="00F60544"/>
    <w:rsid w:val="00F606EE"/>
    <w:rsid w:val="00F60A6E"/>
    <w:rsid w:val="00F616C6"/>
    <w:rsid w:val="00F622EC"/>
    <w:rsid w:val="00F62960"/>
    <w:rsid w:val="00F62E9A"/>
    <w:rsid w:val="00F632FB"/>
    <w:rsid w:val="00F6351E"/>
    <w:rsid w:val="00F64E89"/>
    <w:rsid w:val="00F655FA"/>
    <w:rsid w:val="00F668BD"/>
    <w:rsid w:val="00F66A46"/>
    <w:rsid w:val="00F66B32"/>
    <w:rsid w:val="00F671C5"/>
    <w:rsid w:val="00F67E6D"/>
    <w:rsid w:val="00F70870"/>
    <w:rsid w:val="00F73341"/>
    <w:rsid w:val="00F738AA"/>
    <w:rsid w:val="00F73ABA"/>
    <w:rsid w:val="00F750BE"/>
    <w:rsid w:val="00F75FAD"/>
    <w:rsid w:val="00F76C17"/>
    <w:rsid w:val="00F77088"/>
    <w:rsid w:val="00F770F8"/>
    <w:rsid w:val="00F77590"/>
    <w:rsid w:val="00F77926"/>
    <w:rsid w:val="00F77A1F"/>
    <w:rsid w:val="00F80860"/>
    <w:rsid w:val="00F80A18"/>
    <w:rsid w:val="00F80D90"/>
    <w:rsid w:val="00F81A7B"/>
    <w:rsid w:val="00F82557"/>
    <w:rsid w:val="00F82572"/>
    <w:rsid w:val="00F82789"/>
    <w:rsid w:val="00F82929"/>
    <w:rsid w:val="00F82B4A"/>
    <w:rsid w:val="00F8312F"/>
    <w:rsid w:val="00F8333F"/>
    <w:rsid w:val="00F83A44"/>
    <w:rsid w:val="00F843CF"/>
    <w:rsid w:val="00F84BD8"/>
    <w:rsid w:val="00F852BE"/>
    <w:rsid w:val="00F86303"/>
    <w:rsid w:val="00F8630C"/>
    <w:rsid w:val="00F86681"/>
    <w:rsid w:val="00F872C4"/>
    <w:rsid w:val="00F8737C"/>
    <w:rsid w:val="00F87427"/>
    <w:rsid w:val="00F87B19"/>
    <w:rsid w:val="00F87FE2"/>
    <w:rsid w:val="00F90E54"/>
    <w:rsid w:val="00F90ED4"/>
    <w:rsid w:val="00F916BD"/>
    <w:rsid w:val="00F9177A"/>
    <w:rsid w:val="00F91946"/>
    <w:rsid w:val="00F91F6E"/>
    <w:rsid w:val="00F920F3"/>
    <w:rsid w:val="00F92526"/>
    <w:rsid w:val="00F925B0"/>
    <w:rsid w:val="00F926AD"/>
    <w:rsid w:val="00F926D0"/>
    <w:rsid w:val="00F92E21"/>
    <w:rsid w:val="00F9372D"/>
    <w:rsid w:val="00F944A6"/>
    <w:rsid w:val="00F9688E"/>
    <w:rsid w:val="00F97264"/>
    <w:rsid w:val="00FA0078"/>
    <w:rsid w:val="00FA09BB"/>
    <w:rsid w:val="00FA1C8D"/>
    <w:rsid w:val="00FA2040"/>
    <w:rsid w:val="00FA219D"/>
    <w:rsid w:val="00FA2270"/>
    <w:rsid w:val="00FA2693"/>
    <w:rsid w:val="00FA2735"/>
    <w:rsid w:val="00FA3BF8"/>
    <w:rsid w:val="00FA45E1"/>
    <w:rsid w:val="00FA5214"/>
    <w:rsid w:val="00FA5A70"/>
    <w:rsid w:val="00FA68B0"/>
    <w:rsid w:val="00FA69C3"/>
    <w:rsid w:val="00FA704C"/>
    <w:rsid w:val="00FA707B"/>
    <w:rsid w:val="00FA7505"/>
    <w:rsid w:val="00FB04BE"/>
    <w:rsid w:val="00FB0867"/>
    <w:rsid w:val="00FB101D"/>
    <w:rsid w:val="00FB17E2"/>
    <w:rsid w:val="00FB1807"/>
    <w:rsid w:val="00FB268C"/>
    <w:rsid w:val="00FB3871"/>
    <w:rsid w:val="00FB3AC9"/>
    <w:rsid w:val="00FB3E3C"/>
    <w:rsid w:val="00FB3E85"/>
    <w:rsid w:val="00FB41BF"/>
    <w:rsid w:val="00FB50CD"/>
    <w:rsid w:val="00FB5648"/>
    <w:rsid w:val="00FB5ADD"/>
    <w:rsid w:val="00FB5EC7"/>
    <w:rsid w:val="00FB67A4"/>
    <w:rsid w:val="00FB6E23"/>
    <w:rsid w:val="00FB70D7"/>
    <w:rsid w:val="00FB7666"/>
    <w:rsid w:val="00FB7D97"/>
    <w:rsid w:val="00FC0518"/>
    <w:rsid w:val="00FC0582"/>
    <w:rsid w:val="00FC2025"/>
    <w:rsid w:val="00FC2C6F"/>
    <w:rsid w:val="00FC3119"/>
    <w:rsid w:val="00FC3B93"/>
    <w:rsid w:val="00FC4002"/>
    <w:rsid w:val="00FC4613"/>
    <w:rsid w:val="00FC46B0"/>
    <w:rsid w:val="00FC6329"/>
    <w:rsid w:val="00FC64BE"/>
    <w:rsid w:val="00FC64F4"/>
    <w:rsid w:val="00FC6984"/>
    <w:rsid w:val="00FC6A4A"/>
    <w:rsid w:val="00FC6B21"/>
    <w:rsid w:val="00FC7448"/>
    <w:rsid w:val="00FC796C"/>
    <w:rsid w:val="00FD041C"/>
    <w:rsid w:val="00FD0886"/>
    <w:rsid w:val="00FD159B"/>
    <w:rsid w:val="00FD227D"/>
    <w:rsid w:val="00FD2293"/>
    <w:rsid w:val="00FD22D9"/>
    <w:rsid w:val="00FD3041"/>
    <w:rsid w:val="00FD31C1"/>
    <w:rsid w:val="00FD355D"/>
    <w:rsid w:val="00FD3EB2"/>
    <w:rsid w:val="00FD46AF"/>
    <w:rsid w:val="00FD5022"/>
    <w:rsid w:val="00FD5073"/>
    <w:rsid w:val="00FD5848"/>
    <w:rsid w:val="00FD5F8B"/>
    <w:rsid w:val="00FD6304"/>
    <w:rsid w:val="00FD66CA"/>
    <w:rsid w:val="00FD78E3"/>
    <w:rsid w:val="00FD7A51"/>
    <w:rsid w:val="00FE0606"/>
    <w:rsid w:val="00FE0B12"/>
    <w:rsid w:val="00FE10B6"/>
    <w:rsid w:val="00FE17A0"/>
    <w:rsid w:val="00FE17F6"/>
    <w:rsid w:val="00FE1B34"/>
    <w:rsid w:val="00FE1C2E"/>
    <w:rsid w:val="00FE1E3C"/>
    <w:rsid w:val="00FE2733"/>
    <w:rsid w:val="00FE2A95"/>
    <w:rsid w:val="00FE424A"/>
    <w:rsid w:val="00FE45A8"/>
    <w:rsid w:val="00FE4CD3"/>
    <w:rsid w:val="00FE5A25"/>
    <w:rsid w:val="00FE6959"/>
    <w:rsid w:val="00FE69E0"/>
    <w:rsid w:val="00FE782E"/>
    <w:rsid w:val="00FE79C3"/>
    <w:rsid w:val="00FE79F5"/>
    <w:rsid w:val="00FF02EC"/>
    <w:rsid w:val="00FF07CA"/>
    <w:rsid w:val="00FF1075"/>
    <w:rsid w:val="00FF14C8"/>
    <w:rsid w:val="00FF2B02"/>
    <w:rsid w:val="00FF406A"/>
    <w:rsid w:val="00FF42F3"/>
    <w:rsid w:val="00FF467E"/>
    <w:rsid w:val="00FF5BEC"/>
    <w:rsid w:val="00FF5CE6"/>
    <w:rsid w:val="00FF611A"/>
    <w:rsid w:val="00FF69A5"/>
    <w:rsid w:val="00FF776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3527"/>
  <w15:docId w15:val="{56CB960F-E238-4891-8949-C3FF7457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B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D714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D714E"/>
    <w:rPr>
      <w:rFonts w:ascii="Consolas" w:hAnsi="Consolas"/>
      <w:sz w:val="21"/>
      <w:szCs w:val="21"/>
    </w:rPr>
  </w:style>
  <w:style w:type="character" w:styleId="Hyperlink">
    <w:name w:val="Hyperlink"/>
    <w:basedOn w:val="DefaultParagraphFont"/>
    <w:uiPriority w:val="99"/>
    <w:unhideWhenUsed/>
    <w:rsid w:val="00051D60"/>
    <w:rPr>
      <w:color w:val="0000FF" w:themeColor="hyperlink"/>
      <w:u w:val="single"/>
    </w:rPr>
  </w:style>
  <w:style w:type="paragraph" w:customStyle="1" w:styleId="Default">
    <w:name w:val="Default"/>
    <w:rsid w:val="00051D60"/>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CommentReference">
    <w:name w:val="annotation reference"/>
    <w:basedOn w:val="DefaultParagraphFont"/>
    <w:uiPriority w:val="99"/>
    <w:semiHidden/>
    <w:unhideWhenUsed/>
    <w:rsid w:val="00326C82"/>
    <w:rPr>
      <w:sz w:val="16"/>
      <w:szCs w:val="16"/>
    </w:rPr>
  </w:style>
  <w:style w:type="paragraph" w:styleId="CommentText">
    <w:name w:val="annotation text"/>
    <w:basedOn w:val="Normal"/>
    <w:link w:val="CommentTextChar"/>
    <w:uiPriority w:val="99"/>
    <w:unhideWhenUsed/>
    <w:rsid w:val="00326C82"/>
    <w:pPr>
      <w:spacing w:line="240" w:lineRule="auto"/>
    </w:pPr>
    <w:rPr>
      <w:sz w:val="20"/>
      <w:szCs w:val="20"/>
    </w:rPr>
  </w:style>
  <w:style w:type="character" w:customStyle="1" w:styleId="CommentTextChar">
    <w:name w:val="Comment Text Char"/>
    <w:basedOn w:val="DefaultParagraphFont"/>
    <w:link w:val="CommentText"/>
    <w:uiPriority w:val="99"/>
    <w:rsid w:val="00326C82"/>
    <w:rPr>
      <w:sz w:val="20"/>
      <w:szCs w:val="20"/>
    </w:rPr>
  </w:style>
  <w:style w:type="paragraph" w:styleId="CommentSubject">
    <w:name w:val="annotation subject"/>
    <w:basedOn w:val="CommentText"/>
    <w:next w:val="CommentText"/>
    <w:link w:val="CommentSubjectChar"/>
    <w:uiPriority w:val="99"/>
    <w:semiHidden/>
    <w:unhideWhenUsed/>
    <w:rsid w:val="00326C82"/>
    <w:rPr>
      <w:b/>
      <w:bCs/>
    </w:rPr>
  </w:style>
  <w:style w:type="character" w:customStyle="1" w:styleId="CommentSubjectChar">
    <w:name w:val="Comment Subject Char"/>
    <w:basedOn w:val="CommentTextChar"/>
    <w:link w:val="CommentSubject"/>
    <w:uiPriority w:val="99"/>
    <w:semiHidden/>
    <w:rsid w:val="00326C82"/>
    <w:rPr>
      <w:b/>
      <w:bCs/>
      <w:sz w:val="20"/>
      <w:szCs w:val="20"/>
    </w:rPr>
  </w:style>
  <w:style w:type="paragraph" w:styleId="BalloonText">
    <w:name w:val="Balloon Text"/>
    <w:basedOn w:val="Normal"/>
    <w:link w:val="BalloonTextChar"/>
    <w:uiPriority w:val="99"/>
    <w:semiHidden/>
    <w:unhideWhenUsed/>
    <w:rsid w:val="0032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C82"/>
    <w:rPr>
      <w:rFonts w:ascii="Tahoma" w:hAnsi="Tahoma" w:cs="Tahoma"/>
      <w:sz w:val="16"/>
      <w:szCs w:val="16"/>
    </w:rPr>
  </w:style>
  <w:style w:type="character" w:styleId="UnresolvedMention">
    <w:name w:val="Unresolved Mention"/>
    <w:basedOn w:val="DefaultParagraphFont"/>
    <w:uiPriority w:val="99"/>
    <w:semiHidden/>
    <w:unhideWhenUsed/>
    <w:rsid w:val="005313FB"/>
    <w:rPr>
      <w:color w:val="605E5C"/>
      <w:shd w:val="clear" w:color="auto" w:fill="E1DFDD"/>
    </w:rPr>
  </w:style>
  <w:style w:type="character" w:styleId="FollowedHyperlink">
    <w:name w:val="FollowedHyperlink"/>
    <w:basedOn w:val="DefaultParagraphFont"/>
    <w:uiPriority w:val="99"/>
    <w:semiHidden/>
    <w:unhideWhenUsed/>
    <w:rsid w:val="00C779D1"/>
    <w:rPr>
      <w:color w:val="800080" w:themeColor="followedHyperlink"/>
      <w:u w:val="single"/>
    </w:rPr>
  </w:style>
  <w:style w:type="character" w:customStyle="1" w:styleId="markedcontent">
    <w:name w:val="markedcontent"/>
    <w:basedOn w:val="DefaultParagraphFont"/>
    <w:rsid w:val="005E4E64"/>
  </w:style>
  <w:style w:type="character" w:customStyle="1" w:styleId="citationjournalname">
    <w:name w:val="citationjournalname"/>
    <w:basedOn w:val="DefaultParagraphFont"/>
    <w:rsid w:val="00CD15FF"/>
  </w:style>
  <w:style w:type="paragraph" w:styleId="NormalWeb">
    <w:name w:val="Normal (Web)"/>
    <w:basedOn w:val="Normal"/>
    <w:uiPriority w:val="99"/>
    <w:unhideWhenUsed/>
    <w:rsid w:val="00B9599E"/>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italic">
    <w:name w:val="italic"/>
    <w:basedOn w:val="DefaultParagraphFont"/>
    <w:rsid w:val="008B7A44"/>
  </w:style>
  <w:style w:type="character" w:customStyle="1" w:styleId="cf01">
    <w:name w:val="cf01"/>
    <w:basedOn w:val="DefaultParagraphFont"/>
    <w:rsid w:val="00384908"/>
    <w:rPr>
      <w:rFonts w:ascii="Segoe UI" w:hAnsi="Segoe UI" w:cs="Segoe UI" w:hint="default"/>
      <w:sz w:val="18"/>
      <w:szCs w:val="18"/>
    </w:rPr>
  </w:style>
  <w:style w:type="paragraph" w:customStyle="1" w:styleId="pf0">
    <w:name w:val="pf0"/>
    <w:basedOn w:val="Normal"/>
    <w:rsid w:val="0038490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Revision">
    <w:name w:val="Revision"/>
    <w:hidden/>
    <w:uiPriority w:val="99"/>
    <w:semiHidden/>
    <w:rsid w:val="002B79F0"/>
    <w:pPr>
      <w:spacing w:after="0" w:line="240" w:lineRule="auto"/>
    </w:pPr>
  </w:style>
  <w:style w:type="paragraph" w:styleId="FootnoteText">
    <w:name w:val="footnote text"/>
    <w:basedOn w:val="Normal"/>
    <w:link w:val="FootnoteTextChar"/>
    <w:uiPriority w:val="99"/>
    <w:semiHidden/>
    <w:unhideWhenUsed/>
    <w:rsid w:val="00115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2C6"/>
    <w:rPr>
      <w:sz w:val="20"/>
      <w:szCs w:val="20"/>
    </w:rPr>
  </w:style>
  <w:style w:type="character" w:styleId="FootnoteReference">
    <w:name w:val="footnote reference"/>
    <w:basedOn w:val="DefaultParagraphFont"/>
    <w:uiPriority w:val="99"/>
    <w:semiHidden/>
    <w:unhideWhenUsed/>
    <w:rsid w:val="001152C6"/>
    <w:rPr>
      <w:vertAlign w:val="superscript"/>
    </w:rPr>
  </w:style>
  <w:style w:type="paragraph" w:styleId="Header">
    <w:name w:val="header"/>
    <w:basedOn w:val="Normal"/>
    <w:link w:val="HeaderChar"/>
    <w:uiPriority w:val="99"/>
    <w:unhideWhenUsed/>
    <w:rsid w:val="005534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42B"/>
  </w:style>
  <w:style w:type="paragraph" w:styleId="Footer">
    <w:name w:val="footer"/>
    <w:basedOn w:val="Normal"/>
    <w:link w:val="FooterChar"/>
    <w:uiPriority w:val="99"/>
    <w:unhideWhenUsed/>
    <w:rsid w:val="005534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5954">
      <w:bodyDiv w:val="1"/>
      <w:marLeft w:val="0"/>
      <w:marRight w:val="0"/>
      <w:marTop w:val="0"/>
      <w:marBottom w:val="0"/>
      <w:divBdr>
        <w:top w:val="none" w:sz="0" w:space="0" w:color="auto"/>
        <w:left w:val="none" w:sz="0" w:space="0" w:color="auto"/>
        <w:bottom w:val="none" w:sz="0" w:space="0" w:color="auto"/>
        <w:right w:val="none" w:sz="0" w:space="0" w:color="auto"/>
      </w:divBdr>
      <w:divsChild>
        <w:div w:id="345058518">
          <w:marLeft w:val="0"/>
          <w:marRight w:val="0"/>
          <w:marTop w:val="0"/>
          <w:marBottom w:val="0"/>
          <w:divBdr>
            <w:top w:val="none" w:sz="0" w:space="0" w:color="auto"/>
            <w:left w:val="none" w:sz="0" w:space="0" w:color="auto"/>
            <w:bottom w:val="none" w:sz="0" w:space="0" w:color="auto"/>
            <w:right w:val="none" w:sz="0" w:space="0" w:color="auto"/>
          </w:divBdr>
        </w:div>
        <w:div w:id="366302059">
          <w:marLeft w:val="0"/>
          <w:marRight w:val="0"/>
          <w:marTop w:val="0"/>
          <w:marBottom w:val="0"/>
          <w:divBdr>
            <w:top w:val="none" w:sz="0" w:space="0" w:color="auto"/>
            <w:left w:val="none" w:sz="0" w:space="0" w:color="auto"/>
            <w:bottom w:val="none" w:sz="0" w:space="0" w:color="auto"/>
            <w:right w:val="none" w:sz="0" w:space="0" w:color="auto"/>
          </w:divBdr>
        </w:div>
        <w:div w:id="1572275125">
          <w:marLeft w:val="0"/>
          <w:marRight w:val="0"/>
          <w:marTop w:val="0"/>
          <w:marBottom w:val="0"/>
          <w:divBdr>
            <w:top w:val="none" w:sz="0" w:space="0" w:color="auto"/>
            <w:left w:val="none" w:sz="0" w:space="0" w:color="auto"/>
            <w:bottom w:val="none" w:sz="0" w:space="0" w:color="auto"/>
            <w:right w:val="none" w:sz="0" w:space="0" w:color="auto"/>
          </w:divBdr>
        </w:div>
        <w:div w:id="839614277">
          <w:marLeft w:val="0"/>
          <w:marRight w:val="0"/>
          <w:marTop w:val="0"/>
          <w:marBottom w:val="0"/>
          <w:divBdr>
            <w:top w:val="none" w:sz="0" w:space="0" w:color="auto"/>
            <w:left w:val="none" w:sz="0" w:space="0" w:color="auto"/>
            <w:bottom w:val="none" w:sz="0" w:space="0" w:color="auto"/>
            <w:right w:val="none" w:sz="0" w:space="0" w:color="auto"/>
          </w:divBdr>
        </w:div>
        <w:div w:id="448202812">
          <w:marLeft w:val="0"/>
          <w:marRight w:val="0"/>
          <w:marTop w:val="0"/>
          <w:marBottom w:val="0"/>
          <w:divBdr>
            <w:top w:val="none" w:sz="0" w:space="0" w:color="auto"/>
            <w:left w:val="none" w:sz="0" w:space="0" w:color="auto"/>
            <w:bottom w:val="none" w:sz="0" w:space="0" w:color="auto"/>
            <w:right w:val="none" w:sz="0" w:space="0" w:color="auto"/>
          </w:divBdr>
        </w:div>
        <w:div w:id="1985116692">
          <w:marLeft w:val="0"/>
          <w:marRight w:val="0"/>
          <w:marTop w:val="0"/>
          <w:marBottom w:val="0"/>
          <w:divBdr>
            <w:top w:val="none" w:sz="0" w:space="0" w:color="auto"/>
            <w:left w:val="none" w:sz="0" w:space="0" w:color="auto"/>
            <w:bottom w:val="none" w:sz="0" w:space="0" w:color="auto"/>
            <w:right w:val="none" w:sz="0" w:space="0" w:color="auto"/>
          </w:divBdr>
        </w:div>
        <w:div w:id="2016688275">
          <w:marLeft w:val="0"/>
          <w:marRight w:val="0"/>
          <w:marTop w:val="0"/>
          <w:marBottom w:val="0"/>
          <w:divBdr>
            <w:top w:val="none" w:sz="0" w:space="0" w:color="auto"/>
            <w:left w:val="none" w:sz="0" w:space="0" w:color="auto"/>
            <w:bottom w:val="none" w:sz="0" w:space="0" w:color="auto"/>
            <w:right w:val="none" w:sz="0" w:space="0" w:color="auto"/>
          </w:divBdr>
        </w:div>
        <w:div w:id="2068214547">
          <w:marLeft w:val="0"/>
          <w:marRight w:val="0"/>
          <w:marTop w:val="0"/>
          <w:marBottom w:val="0"/>
          <w:divBdr>
            <w:top w:val="none" w:sz="0" w:space="0" w:color="auto"/>
            <w:left w:val="none" w:sz="0" w:space="0" w:color="auto"/>
            <w:bottom w:val="none" w:sz="0" w:space="0" w:color="auto"/>
            <w:right w:val="none" w:sz="0" w:space="0" w:color="auto"/>
          </w:divBdr>
        </w:div>
        <w:div w:id="1273853388">
          <w:marLeft w:val="0"/>
          <w:marRight w:val="0"/>
          <w:marTop w:val="0"/>
          <w:marBottom w:val="0"/>
          <w:divBdr>
            <w:top w:val="none" w:sz="0" w:space="0" w:color="auto"/>
            <w:left w:val="none" w:sz="0" w:space="0" w:color="auto"/>
            <w:bottom w:val="none" w:sz="0" w:space="0" w:color="auto"/>
            <w:right w:val="none" w:sz="0" w:space="0" w:color="auto"/>
          </w:divBdr>
        </w:div>
        <w:div w:id="838499388">
          <w:marLeft w:val="0"/>
          <w:marRight w:val="0"/>
          <w:marTop w:val="0"/>
          <w:marBottom w:val="0"/>
          <w:divBdr>
            <w:top w:val="none" w:sz="0" w:space="0" w:color="auto"/>
            <w:left w:val="none" w:sz="0" w:space="0" w:color="auto"/>
            <w:bottom w:val="none" w:sz="0" w:space="0" w:color="auto"/>
            <w:right w:val="none" w:sz="0" w:space="0" w:color="auto"/>
          </w:divBdr>
        </w:div>
        <w:div w:id="695353249">
          <w:marLeft w:val="0"/>
          <w:marRight w:val="0"/>
          <w:marTop w:val="0"/>
          <w:marBottom w:val="0"/>
          <w:divBdr>
            <w:top w:val="none" w:sz="0" w:space="0" w:color="auto"/>
            <w:left w:val="none" w:sz="0" w:space="0" w:color="auto"/>
            <w:bottom w:val="none" w:sz="0" w:space="0" w:color="auto"/>
            <w:right w:val="none" w:sz="0" w:space="0" w:color="auto"/>
          </w:divBdr>
        </w:div>
        <w:div w:id="412555717">
          <w:marLeft w:val="0"/>
          <w:marRight w:val="0"/>
          <w:marTop w:val="0"/>
          <w:marBottom w:val="0"/>
          <w:divBdr>
            <w:top w:val="none" w:sz="0" w:space="0" w:color="auto"/>
            <w:left w:val="none" w:sz="0" w:space="0" w:color="auto"/>
            <w:bottom w:val="none" w:sz="0" w:space="0" w:color="auto"/>
            <w:right w:val="none" w:sz="0" w:space="0" w:color="auto"/>
          </w:divBdr>
        </w:div>
        <w:div w:id="722682742">
          <w:marLeft w:val="0"/>
          <w:marRight w:val="0"/>
          <w:marTop w:val="0"/>
          <w:marBottom w:val="0"/>
          <w:divBdr>
            <w:top w:val="none" w:sz="0" w:space="0" w:color="auto"/>
            <w:left w:val="none" w:sz="0" w:space="0" w:color="auto"/>
            <w:bottom w:val="none" w:sz="0" w:space="0" w:color="auto"/>
            <w:right w:val="none" w:sz="0" w:space="0" w:color="auto"/>
          </w:divBdr>
        </w:div>
        <w:div w:id="402218427">
          <w:marLeft w:val="0"/>
          <w:marRight w:val="0"/>
          <w:marTop w:val="0"/>
          <w:marBottom w:val="0"/>
          <w:divBdr>
            <w:top w:val="none" w:sz="0" w:space="0" w:color="auto"/>
            <w:left w:val="none" w:sz="0" w:space="0" w:color="auto"/>
            <w:bottom w:val="none" w:sz="0" w:space="0" w:color="auto"/>
            <w:right w:val="none" w:sz="0" w:space="0" w:color="auto"/>
          </w:divBdr>
        </w:div>
      </w:divsChild>
    </w:div>
    <w:div w:id="101146388">
      <w:bodyDiv w:val="1"/>
      <w:marLeft w:val="0"/>
      <w:marRight w:val="0"/>
      <w:marTop w:val="0"/>
      <w:marBottom w:val="0"/>
      <w:divBdr>
        <w:top w:val="none" w:sz="0" w:space="0" w:color="auto"/>
        <w:left w:val="none" w:sz="0" w:space="0" w:color="auto"/>
        <w:bottom w:val="none" w:sz="0" w:space="0" w:color="auto"/>
        <w:right w:val="none" w:sz="0" w:space="0" w:color="auto"/>
      </w:divBdr>
      <w:divsChild>
        <w:div w:id="1181354766">
          <w:marLeft w:val="0"/>
          <w:marRight w:val="0"/>
          <w:marTop w:val="0"/>
          <w:marBottom w:val="0"/>
          <w:divBdr>
            <w:top w:val="none" w:sz="0" w:space="0" w:color="auto"/>
            <w:left w:val="none" w:sz="0" w:space="0" w:color="auto"/>
            <w:bottom w:val="none" w:sz="0" w:space="0" w:color="auto"/>
            <w:right w:val="none" w:sz="0" w:space="0" w:color="auto"/>
          </w:divBdr>
          <w:divsChild>
            <w:div w:id="1339651676">
              <w:marLeft w:val="0"/>
              <w:marRight w:val="0"/>
              <w:marTop w:val="0"/>
              <w:marBottom w:val="0"/>
              <w:divBdr>
                <w:top w:val="none" w:sz="0" w:space="0" w:color="auto"/>
                <w:left w:val="none" w:sz="0" w:space="0" w:color="auto"/>
                <w:bottom w:val="none" w:sz="0" w:space="0" w:color="auto"/>
                <w:right w:val="none" w:sz="0" w:space="0" w:color="auto"/>
              </w:divBdr>
              <w:divsChild>
                <w:div w:id="1195118728">
                  <w:marLeft w:val="0"/>
                  <w:marRight w:val="0"/>
                  <w:marTop w:val="0"/>
                  <w:marBottom w:val="0"/>
                  <w:divBdr>
                    <w:top w:val="none" w:sz="0" w:space="0" w:color="auto"/>
                    <w:left w:val="none" w:sz="0" w:space="0" w:color="auto"/>
                    <w:bottom w:val="none" w:sz="0" w:space="0" w:color="auto"/>
                    <w:right w:val="none" w:sz="0" w:space="0" w:color="auto"/>
                  </w:divBdr>
                  <w:divsChild>
                    <w:div w:id="1069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0570">
          <w:marLeft w:val="0"/>
          <w:marRight w:val="0"/>
          <w:marTop w:val="0"/>
          <w:marBottom w:val="0"/>
          <w:divBdr>
            <w:top w:val="none" w:sz="0" w:space="0" w:color="auto"/>
            <w:left w:val="none" w:sz="0" w:space="0" w:color="auto"/>
            <w:bottom w:val="none" w:sz="0" w:space="0" w:color="auto"/>
            <w:right w:val="none" w:sz="0" w:space="0" w:color="auto"/>
          </w:divBdr>
          <w:divsChild>
            <w:div w:id="186675644">
              <w:marLeft w:val="0"/>
              <w:marRight w:val="0"/>
              <w:marTop w:val="0"/>
              <w:marBottom w:val="0"/>
              <w:divBdr>
                <w:top w:val="none" w:sz="0" w:space="0" w:color="auto"/>
                <w:left w:val="none" w:sz="0" w:space="0" w:color="auto"/>
                <w:bottom w:val="none" w:sz="0" w:space="0" w:color="auto"/>
                <w:right w:val="none" w:sz="0" w:space="0" w:color="auto"/>
              </w:divBdr>
              <w:divsChild>
                <w:div w:id="643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8661">
          <w:marLeft w:val="0"/>
          <w:marRight w:val="0"/>
          <w:marTop w:val="0"/>
          <w:marBottom w:val="0"/>
          <w:divBdr>
            <w:top w:val="none" w:sz="0" w:space="0" w:color="auto"/>
            <w:left w:val="none" w:sz="0" w:space="0" w:color="auto"/>
            <w:bottom w:val="none" w:sz="0" w:space="0" w:color="auto"/>
            <w:right w:val="none" w:sz="0" w:space="0" w:color="auto"/>
          </w:divBdr>
        </w:div>
      </w:divsChild>
    </w:div>
    <w:div w:id="230313294">
      <w:bodyDiv w:val="1"/>
      <w:marLeft w:val="0"/>
      <w:marRight w:val="0"/>
      <w:marTop w:val="0"/>
      <w:marBottom w:val="0"/>
      <w:divBdr>
        <w:top w:val="none" w:sz="0" w:space="0" w:color="auto"/>
        <w:left w:val="none" w:sz="0" w:space="0" w:color="auto"/>
        <w:bottom w:val="none" w:sz="0" w:space="0" w:color="auto"/>
        <w:right w:val="none" w:sz="0" w:space="0" w:color="auto"/>
      </w:divBdr>
    </w:div>
    <w:div w:id="233391639">
      <w:bodyDiv w:val="1"/>
      <w:marLeft w:val="0"/>
      <w:marRight w:val="0"/>
      <w:marTop w:val="0"/>
      <w:marBottom w:val="0"/>
      <w:divBdr>
        <w:top w:val="none" w:sz="0" w:space="0" w:color="auto"/>
        <w:left w:val="none" w:sz="0" w:space="0" w:color="auto"/>
        <w:bottom w:val="none" w:sz="0" w:space="0" w:color="auto"/>
        <w:right w:val="none" w:sz="0" w:space="0" w:color="auto"/>
      </w:divBdr>
    </w:div>
    <w:div w:id="456410755">
      <w:bodyDiv w:val="1"/>
      <w:marLeft w:val="0"/>
      <w:marRight w:val="0"/>
      <w:marTop w:val="0"/>
      <w:marBottom w:val="0"/>
      <w:divBdr>
        <w:top w:val="none" w:sz="0" w:space="0" w:color="auto"/>
        <w:left w:val="none" w:sz="0" w:space="0" w:color="auto"/>
        <w:bottom w:val="none" w:sz="0" w:space="0" w:color="auto"/>
        <w:right w:val="none" w:sz="0" w:space="0" w:color="auto"/>
      </w:divBdr>
    </w:div>
    <w:div w:id="644240938">
      <w:bodyDiv w:val="1"/>
      <w:marLeft w:val="0"/>
      <w:marRight w:val="0"/>
      <w:marTop w:val="0"/>
      <w:marBottom w:val="0"/>
      <w:divBdr>
        <w:top w:val="none" w:sz="0" w:space="0" w:color="auto"/>
        <w:left w:val="none" w:sz="0" w:space="0" w:color="auto"/>
        <w:bottom w:val="none" w:sz="0" w:space="0" w:color="auto"/>
        <w:right w:val="none" w:sz="0" w:space="0" w:color="auto"/>
      </w:divBdr>
    </w:div>
    <w:div w:id="645816566">
      <w:bodyDiv w:val="1"/>
      <w:marLeft w:val="0"/>
      <w:marRight w:val="0"/>
      <w:marTop w:val="0"/>
      <w:marBottom w:val="0"/>
      <w:divBdr>
        <w:top w:val="none" w:sz="0" w:space="0" w:color="auto"/>
        <w:left w:val="none" w:sz="0" w:space="0" w:color="auto"/>
        <w:bottom w:val="none" w:sz="0" w:space="0" w:color="auto"/>
        <w:right w:val="none" w:sz="0" w:space="0" w:color="auto"/>
      </w:divBdr>
    </w:div>
    <w:div w:id="764419201">
      <w:bodyDiv w:val="1"/>
      <w:marLeft w:val="0"/>
      <w:marRight w:val="0"/>
      <w:marTop w:val="0"/>
      <w:marBottom w:val="0"/>
      <w:divBdr>
        <w:top w:val="none" w:sz="0" w:space="0" w:color="auto"/>
        <w:left w:val="none" w:sz="0" w:space="0" w:color="auto"/>
        <w:bottom w:val="none" w:sz="0" w:space="0" w:color="auto"/>
        <w:right w:val="none" w:sz="0" w:space="0" w:color="auto"/>
      </w:divBdr>
      <w:divsChild>
        <w:div w:id="1385637228">
          <w:marLeft w:val="0"/>
          <w:marRight w:val="0"/>
          <w:marTop w:val="0"/>
          <w:marBottom w:val="150"/>
          <w:divBdr>
            <w:top w:val="none" w:sz="0" w:space="0" w:color="auto"/>
            <w:left w:val="none" w:sz="0" w:space="0" w:color="auto"/>
            <w:bottom w:val="none" w:sz="0" w:space="0" w:color="auto"/>
            <w:right w:val="none" w:sz="0" w:space="0" w:color="auto"/>
          </w:divBdr>
        </w:div>
      </w:divsChild>
    </w:div>
    <w:div w:id="952126405">
      <w:bodyDiv w:val="1"/>
      <w:marLeft w:val="0"/>
      <w:marRight w:val="0"/>
      <w:marTop w:val="0"/>
      <w:marBottom w:val="0"/>
      <w:divBdr>
        <w:top w:val="none" w:sz="0" w:space="0" w:color="auto"/>
        <w:left w:val="none" w:sz="0" w:space="0" w:color="auto"/>
        <w:bottom w:val="none" w:sz="0" w:space="0" w:color="auto"/>
        <w:right w:val="none" w:sz="0" w:space="0" w:color="auto"/>
      </w:divBdr>
    </w:div>
    <w:div w:id="992176606">
      <w:bodyDiv w:val="1"/>
      <w:marLeft w:val="0"/>
      <w:marRight w:val="0"/>
      <w:marTop w:val="0"/>
      <w:marBottom w:val="0"/>
      <w:divBdr>
        <w:top w:val="none" w:sz="0" w:space="0" w:color="auto"/>
        <w:left w:val="none" w:sz="0" w:space="0" w:color="auto"/>
        <w:bottom w:val="none" w:sz="0" w:space="0" w:color="auto"/>
        <w:right w:val="none" w:sz="0" w:space="0" w:color="auto"/>
      </w:divBdr>
    </w:div>
    <w:div w:id="1084959161">
      <w:bodyDiv w:val="1"/>
      <w:marLeft w:val="0"/>
      <w:marRight w:val="0"/>
      <w:marTop w:val="0"/>
      <w:marBottom w:val="0"/>
      <w:divBdr>
        <w:top w:val="none" w:sz="0" w:space="0" w:color="auto"/>
        <w:left w:val="none" w:sz="0" w:space="0" w:color="auto"/>
        <w:bottom w:val="none" w:sz="0" w:space="0" w:color="auto"/>
        <w:right w:val="none" w:sz="0" w:space="0" w:color="auto"/>
      </w:divBdr>
    </w:div>
    <w:div w:id="1425998279">
      <w:bodyDiv w:val="1"/>
      <w:marLeft w:val="0"/>
      <w:marRight w:val="0"/>
      <w:marTop w:val="0"/>
      <w:marBottom w:val="0"/>
      <w:divBdr>
        <w:top w:val="none" w:sz="0" w:space="0" w:color="auto"/>
        <w:left w:val="none" w:sz="0" w:space="0" w:color="auto"/>
        <w:bottom w:val="none" w:sz="0" w:space="0" w:color="auto"/>
        <w:right w:val="none" w:sz="0" w:space="0" w:color="auto"/>
      </w:divBdr>
    </w:div>
    <w:div w:id="1466120317">
      <w:bodyDiv w:val="1"/>
      <w:marLeft w:val="0"/>
      <w:marRight w:val="0"/>
      <w:marTop w:val="0"/>
      <w:marBottom w:val="0"/>
      <w:divBdr>
        <w:top w:val="none" w:sz="0" w:space="0" w:color="auto"/>
        <w:left w:val="none" w:sz="0" w:space="0" w:color="auto"/>
        <w:bottom w:val="none" w:sz="0" w:space="0" w:color="auto"/>
        <w:right w:val="none" w:sz="0" w:space="0" w:color="auto"/>
      </w:divBdr>
      <w:divsChild>
        <w:div w:id="151214334">
          <w:marLeft w:val="0"/>
          <w:marRight w:val="0"/>
          <w:marTop w:val="0"/>
          <w:marBottom w:val="150"/>
          <w:divBdr>
            <w:top w:val="none" w:sz="0" w:space="0" w:color="auto"/>
            <w:left w:val="none" w:sz="0" w:space="0" w:color="auto"/>
            <w:bottom w:val="none" w:sz="0" w:space="0" w:color="auto"/>
            <w:right w:val="none" w:sz="0" w:space="0" w:color="auto"/>
          </w:divBdr>
        </w:div>
        <w:div w:id="1901087545">
          <w:marLeft w:val="0"/>
          <w:marRight w:val="0"/>
          <w:marTop w:val="0"/>
          <w:marBottom w:val="150"/>
          <w:divBdr>
            <w:top w:val="none" w:sz="0" w:space="0" w:color="auto"/>
            <w:left w:val="none" w:sz="0" w:space="0" w:color="auto"/>
            <w:bottom w:val="none" w:sz="0" w:space="0" w:color="auto"/>
            <w:right w:val="none" w:sz="0" w:space="0" w:color="auto"/>
          </w:divBdr>
          <w:divsChild>
            <w:div w:id="863397830">
              <w:marLeft w:val="0"/>
              <w:marRight w:val="0"/>
              <w:marTop w:val="0"/>
              <w:marBottom w:val="0"/>
              <w:divBdr>
                <w:top w:val="none" w:sz="0" w:space="0" w:color="auto"/>
                <w:left w:val="none" w:sz="0" w:space="0" w:color="auto"/>
                <w:bottom w:val="none" w:sz="0" w:space="0" w:color="auto"/>
                <w:right w:val="none" w:sz="0" w:space="0" w:color="auto"/>
              </w:divBdr>
            </w:div>
            <w:div w:id="1078481438">
              <w:marLeft w:val="0"/>
              <w:marRight w:val="0"/>
              <w:marTop w:val="0"/>
              <w:marBottom w:val="0"/>
              <w:divBdr>
                <w:top w:val="none" w:sz="0" w:space="0" w:color="auto"/>
                <w:left w:val="none" w:sz="0" w:space="0" w:color="auto"/>
                <w:bottom w:val="none" w:sz="0" w:space="0" w:color="auto"/>
                <w:right w:val="none" w:sz="0" w:space="0" w:color="auto"/>
              </w:divBdr>
            </w:div>
          </w:divsChild>
        </w:div>
        <w:div w:id="1460875823">
          <w:marLeft w:val="0"/>
          <w:marRight w:val="0"/>
          <w:marTop w:val="0"/>
          <w:marBottom w:val="0"/>
          <w:divBdr>
            <w:top w:val="none" w:sz="0" w:space="0" w:color="auto"/>
            <w:left w:val="none" w:sz="0" w:space="0" w:color="auto"/>
            <w:bottom w:val="none" w:sz="0" w:space="0" w:color="auto"/>
            <w:right w:val="none" w:sz="0" w:space="0" w:color="auto"/>
          </w:divBdr>
        </w:div>
      </w:divsChild>
    </w:div>
    <w:div w:id="174137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o.org/economic/the-statistics-division-ess/publications-studies/publications/food-balance-sheets/zh/" TargetMode="External"/><Relationship Id="rId13" Type="http://schemas.openxmlformats.org/officeDocument/2006/relationships/hyperlink" Target="http://journals.sagepub.com/doi/pdf/10.1177/15648265120333S205" TargetMode="External"/><Relationship Id="rId18" Type="http://schemas.openxmlformats.org/officeDocument/2006/relationships/hyperlink" Target="https://www.cambridge.org/core/journals/public-health-nutrition/article/assessing-food-security-using-household-consumption-expenditure-surveys-hces-a-scoping-literature-review/96457C0B555E934B56C3FA5785313878" TargetMode="External"/><Relationship Id="rId26" Type="http://schemas.openxmlformats.org/officeDocument/2006/relationships/hyperlink" Target="https://www.fao.org/gift-individual-food-consumption/en/" TargetMode="External"/><Relationship Id="rId39" Type="http://schemas.openxmlformats.org/officeDocument/2006/relationships/hyperlink" Target="https://fic.tufts.edu/assets/Different-Indicators-of-HFS.pdf" TargetMode="External"/><Relationship Id="rId3" Type="http://schemas.openxmlformats.org/officeDocument/2006/relationships/styles" Target="styles.xml"/><Relationship Id="rId21" Type="http://schemas.openxmlformats.org/officeDocument/2006/relationships/hyperlink" Target="https://inddex.nutrition.tufts.edu/node/204" TargetMode="External"/><Relationship Id="rId34" Type="http://schemas.openxmlformats.org/officeDocument/2006/relationships/hyperlink" Target="https://doi.org/10.4060/cb6872en" TargetMode="External"/><Relationship Id="rId42" Type="http://schemas.openxmlformats.org/officeDocument/2006/relationships/hyperlink" Target="https://doi.org/10.1371/journal.pone.0146976"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ao.org/economic/the-statistics-division-ess/methodology/methodology-systems/supply-utilization-accounts-and-food-balance-sheets-background-information-for-your-better-understanding/en/" TargetMode="External"/><Relationship Id="rId17" Type="http://schemas.openxmlformats.org/officeDocument/2006/relationships/hyperlink" Target="https://microdata.worldbank.org/index.php/home" TargetMode="External"/><Relationship Id="rId25" Type="http://schemas.openxmlformats.org/officeDocument/2006/relationships/hyperlink" Target="https://openknowledge.worldbank.org/bitstream/handle/10986/18091/9781464801334.pdf?sequence=1&amp;amp;isAllowed=y" TargetMode="External"/><Relationship Id="rId33" Type="http://schemas.openxmlformats.org/officeDocument/2006/relationships/hyperlink" Target="https://www.fao.org/3/cb9574en/cb9574en.pdf" TargetMode="External"/><Relationship Id="rId38" Type="http://schemas.openxmlformats.org/officeDocument/2006/relationships/hyperlink" Target="https://inddex.nutrition.tufts.edu/"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apps.fao.org/catalog/dataset/faostat-food-security/resource/a9a2c6ac-4c3b-4604-bb81-35a3a782763e" TargetMode="External"/><Relationship Id="rId20" Type="http://schemas.openxmlformats.org/officeDocument/2006/relationships/hyperlink" Target="http://www.ihsn.org/sites/default/files/resources/IHSN_WP008_EN.pdf" TargetMode="External"/><Relationship Id="rId29" Type="http://schemas.openxmlformats.org/officeDocument/2006/relationships/hyperlink" Target="https://www.thelancet.com/gbd/about" TargetMode="External"/><Relationship Id="rId41" Type="http://schemas.openxmlformats.org/officeDocument/2006/relationships/hyperlink" Target="http://www.ihsn.org/sites/default/files/resources/IHSN_WP008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pulation.un.org/wpp/" TargetMode="External"/><Relationship Id="rId24" Type="http://schemas.openxmlformats.org/officeDocument/2006/relationships/hyperlink" Target="https://www.fao.org/food-agriculture-statistics/statistical-domains/food-security-and-nutrition/methodology/en/" TargetMode="External"/><Relationship Id="rId32" Type="http://schemas.openxmlformats.org/officeDocument/2006/relationships/hyperlink" Target="https://fenixservices.fao.org/faostat/static/documents/FBS/Key%20differences%20between%20new%20and%20old%20FBS%20June2022%20.pdf" TargetMode="External"/><Relationship Id="rId37" Type="http://schemas.openxmlformats.org/officeDocument/2006/relationships/hyperlink" Target="https://doi.org/10.3378/027.081.0605" TargetMode="External"/><Relationship Id="rId40" Type="http://schemas.openxmlformats.org/officeDocument/2006/relationships/hyperlink" Target="https://openknowledge.worldbank.org/handle/10986/1809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ao.org/faostat/en/" TargetMode="External"/><Relationship Id="rId23" Type="http://schemas.openxmlformats.org/officeDocument/2006/relationships/hyperlink" Target="http://www.fao.org/economic/ess/ess-fs/fs-methods/adept-fsn/en/" TargetMode="External"/><Relationship Id="rId28" Type="http://schemas.openxmlformats.org/officeDocument/2006/relationships/hyperlink" Target="http://www.healthdata.org/results/data-visualizations" TargetMode="External"/><Relationship Id="rId36" Type="http://schemas.openxmlformats.org/officeDocument/2006/relationships/hyperlink" Target="https://doi.org/10.4060/cc0639en" TargetMode="External"/><Relationship Id="rId10" Type="http://schemas.openxmlformats.org/officeDocument/2006/relationships/hyperlink" Target="https://www.fao.org/faostat/en/" TargetMode="External"/><Relationship Id="rId19" Type="http://schemas.openxmlformats.org/officeDocument/2006/relationships/hyperlink" Target="https://www.sciencedirect.com/science/article/pii/S0306919217306802" TargetMode="External"/><Relationship Id="rId31" Type="http://schemas.openxmlformats.org/officeDocument/2006/relationships/hyperlink" Target="https://fenixservices.fao.org/faostat/static/documents/FBS/New%20FBS%20methodology.pdf" TargetMode="External"/><Relationship Id="rId44" Type="http://schemas.openxmlformats.org/officeDocument/2006/relationships/hyperlink" Target="https://microdata.worldbank.org/index.php/home" TargetMode="External"/><Relationship Id="rId4" Type="http://schemas.openxmlformats.org/officeDocument/2006/relationships/settings" Target="settings.xml"/><Relationship Id="rId9" Type="http://schemas.openxmlformats.org/officeDocument/2006/relationships/hyperlink" Target="https://www.fao.org/faostat/en/" TargetMode="External"/><Relationship Id="rId14" Type="http://schemas.openxmlformats.org/officeDocument/2006/relationships/hyperlink" Target="http://www.ihsn.org/sites/default/files/resources/IHSN_WP008_EN.pdf" TargetMode="External"/><Relationship Id="rId22" Type="http://schemas.openxmlformats.org/officeDocument/2006/relationships/hyperlink" Target="https://elearning.fao.org/course/view.php?id=386" TargetMode="External"/><Relationship Id="rId27" Type="http://schemas.openxmlformats.org/officeDocument/2006/relationships/hyperlink" Target="https://eur04.safelinks.protection.outlook.com/?url=https%3A%2F%2Fwww.globaldietarydatabase.org%2F&amp;data=04%7C01%7Ccatherine.leclercq%40crea.gov.it%7C84114c58280c43ad19aa08d9727a593f%7Cd59c04b9bde247f7b1b80be26a568618%7C0%7C0%7C637666692265894279%7CUnknown%7CTWFpbGZsb3d8eyJWIjoiMC4wLjAwMDAiLCJQIjoiV2luMzIiLCJBTiI6Ik1haWwiLCJXVCI6Mn0%3D%7C1000&amp;sdata=AxC9sr6WZsKQkroH29%2FCbikl9baPzsf9kOXe5zhvxxk%3D&amp;reserved=0" TargetMode="External"/><Relationship Id="rId30" Type="http://schemas.openxmlformats.org/officeDocument/2006/relationships/hyperlink" Target="https://www.fao.org/3/x9892e/X9892E00.htm" TargetMode="External"/><Relationship Id="rId35" Type="http://schemas.openxmlformats.org/officeDocument/2006/relationships/hyperlink" Target="https://www.fao.org/economic/the-statistics-division-ess/methodology/methodology-systems/food-balance-sheets-and-the-food-consumption-survey-a-comparison-of-methodologies-and-results/en/" TargetMode="External"/><Relationship Id="rId43" Type="http://schemas.openxmlformats.org/officeDocument/2006/relationships/hyperlink" Target="https://apps.who.int/iris/handle/10665/37931"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F592B-B34A-4F43-8E63-DBC6912A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7930</Words>
  <Characters>45202</Characters>
  <Application>Microsoft Office Word</Application>
  <DocSecurity>0</DocSecurity>
  <Lines>376</Lines>
  <Paragraphs>106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gibson</dc:creator>
  <cp:lastModifiedBy>Rosalind Gibson</cp:lastModifiedBy>
  <cp:revision>2</cp:revision>
  <cp:lastPrinted>2023-03-12T19:36:00Z</cp:lastPrinted>
  <dcterms:created xsi:type="dcterms:W3CDTF">2023-03-12T20:34:00Z</dcterms:created>
  <dcterms:modified xsi:type="dcterms:W3CDTF">2023-03-12T20:34:00Z</dcterms:modified>
</cp:coreProperties>
</file>