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60" w:after="240" w:line="276" w:lineRule="auto"/>
        <w:jc w:val="center"/>
      </w:pPr>
      <w:r>
        <w:rPr>
          <w:rFonts w:ascii="TH Sarabun New" w:hAnsi="TH Sarabun New" w:eastAsia="TH Sarabun New"/>
          <w:b/>
          <w:i w:val="0"/>
          <w:sz w:val="40"/>
        </w:rPr>
        <w:t>ร่างขอบเขตงาน (PROJECT SCOPE OF WORK)</w:t>
      </w:r>
    </w:p>
    <w:p>
      <w:pPr>
        <w:spacing w:before="0" w:after="160" w:line="276" w:lineRule="auto"/>
        <w:jc w:val="center"/>
      </w:pPr>
      <w:r>
        <w:rPr>
          <w:rFonts w:ascii="TH Sarabun New" w:hAnsi="TH Sarabun New" w:eastAsia="TH Sarabun New"/>
          <w:b w:val="0"/>
          <w:i w:val="0"/>
          <w:sz w:val="32"/>
        </w:rPr>
        <w:t>โครงการ SMART TAMBON SAFETY THAILAND</w:t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 w:val="0"/>
          <w:sz w:val="28"/>
        </w:rPr>
        <w:t>ระบบบริหารจัดการความปลอดภัยอัจฉริยะสำหรับองค์การบริหารส่วนตำบล</w:t>
      </w:r>
    </w:p>
    <w:p>
      <w:pPr>
        <w:spacing w:before="0" w:after="160" w:line="276" w:lineRule="auto"/>
        <w:jc w:val="center"/>
      </w:pPr>
      <w:r>
        <w:rPr>
          <w:rFonts w:ascii="TH Sarabun New" w:hAnsi="TH Sarabun New" w:eastAsia="TH Sarabun New"/>
          <w:b w:val="0"/>
          <w:i w:val="0"/>
          <w:sz w:val="26"/>
        </w:rPr>
        <w:t>จัดทำโดย บริษัท อี.เอส.เอ็ม. โซลูชั่น จำกัด (ESM)</w:t>
      </w:r>
    </w:p>
    <w:p>
      <w:pPr>
        <w:spacing w:before="0" w:after="140" w:line="276" w:lineRule="auto"/>
        <w:jc w:val="center"/>
      </w:pPr>
      <w:r>
        <w:rPr>
          <w:rFonts w:ascii="TH Sarabun New" w:hAnsi="TH Sarabun New" w:eastAsia="TH Sarabun New"/>
          <w:b w:val="0"/>
          <w:i w:val="0"/>
          <w:sz w:val="24"/>
        </w:rPr>
        <w:t>เอกสารแนบท้ายสัญญาความร่วมมือฯ (ภาคผนวก ก) ระหว่าง ESM และ บริษัท กู๊ดเมดแคร์ จำกัด (GOODMEDCARE)</w:t>
      </w:r>
    </w:p>
    <w:p>
      <w:pPr>
        <w:spacing w:before="0" w:after="140" w:line="276" w:lineRule="auto"/>
        <w:jc w:val="center"/>
      </w:pPr>
      <w:r>
        <w:rPr>
          <w:rFonts w:ascii="TH Sarabun New" w:hAnsi="TH Sarabun New" w:eastAsia="TH Sarabun New"/>
          <w:b w:val="0"/>
          <w:i/>
          <w:sz w:val="23"/>
        </w:rPr>
        <w:t>อ้างอิงข้อ 1.2 ของสัญญาความร่วมมือฯ — “รายละเอียดขอบเขตงานและคุณสมบัติของระบบให้เป็นไปตามภาคผนวก ก – ขอบเขตงาน (Project Scope) ที่คู่สัญญาอนุมัติร่วมกัน”</w:t>
      </w:r>
    </w:p>
    <w:p>
      <w:pPr>
        <w:spacing w:before="0" w:after="280" w:line="276" w:lineRule="auto"/>
        <w:jc w:val="center"/>
      </w:pPr>
      <w:r>
        <w:rPr>
          <w:rFonts w:ascii="TH Sarabun New" w:hAnsi="TH Sarabun New" w:eastAsia="TH Sarabun New"/>
          <w:b w:val="0"/>
          <w:i w:val="0"/>
          <w:sz w:val="23"/>
        </w:rPr>
        <w:t>ฉบับร่างเพื่อพิจารณาร่วมกัน  •  กันยายน 2569</w:t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1. บทนำและหลักการออกแบบขอบเขตงาน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ตามสัญญาความร่วมมือฯ โครงการ SMART TAMBON SAFETY THAILAND ระหว่าง ESM และ GOODMEDCARE กำหนดให้ Project IP ที่พัฒนาขึ้นเฉพาะสำหรับโครงการเป็นทรัพย์สินร่วมของทั้งสองฝ่ายในสัดส่วน 50:50 (ข้อ 4.2) ในขณะที่ Background IP หรือเทคโนโลยี/ผลิตภัณฑ์ที่ ESM มีอยู่ก่อนแล้วยังคงเป็นกรรมสิทธิ์ของ ESM แต่เพียงผู้เดียว (ข้อ 4.1)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ESM มีแพลตฟอร์ม Smart Tambon ซึ่งรองรับการบริหารข้อมูลเชิงพื้นที่ การจัดการเหตุการณ์และภัยพิบัติ การประเมินสถานการณ์และทรัพยากร การนำเข้าชุดข้อมูล การติดตามข้อมูลสิ่งแวดล้อม การแจ้งเตือน และการสื่อสารกับประชาชน โดยขอบเขตฉบับนี้จัดทำจากความสามารถที่ปรากฏในระบบปัจจุบัน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ความสามารถพื้นฐานของแพลตฟอร์มและองค์ประกอบที่มีอยู่แล้วถือเป็น Background IP ของ ESM และนำมาใช้ในลักษณะให้สิทธิใช้งานเฉพาะโครงการ (License-to-Project)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งานเชื่อมต่อ การกำหนดค่า หรือการพัฒนาเพิ่มเติมเฉพาะโครงการที่คู่สัญญาอนุมัติร่วมกัน ให้พิจารณาเป็น Project IP ตามข้อ 4.2 โดยต้องระบุเป็นรายการส่งมอบอย่างชัดเจน</w:t>
      </w:r>
    </w:p>
    <w:p>
      <w:r>
        <w:br w:type="page"/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2. โครงสร้างขอบเขตงาน 3 ชั้น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เพื่อแยกความสามารถของแพลตฟอร์มเดิมออกจากงานกำหนดค่า เชื่อมต่อ และพัฒนาเพิ่มเติมเฉพาะโครงการ ขอบเขตงานแบ่งเป็น 3 ชั้น 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ชั้น</w:t>
            </w:r>
          </w:p>
        </w:tc>
        <w:tc>
          <w:tcPr>
            <w:tcW w:type="dxa" w:w="2381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ชื่อ</w:t>
            </w:r>
          </w:p>
        </w:tc>
        <w:tc>
          <w:tcPr>
            <w:tcW w:type="dxa" w:w="5783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ลักษณะงาน</w:t>
            </w:r>
          </w:p>
        </w:tc>
      </w:tr>
      <w:t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ชั้นที่ 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Background Platform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ระบบ Smart Tambon ที่ ESM มีอยู่แล้วและนำมาใช้งานในโครงการ โดยไม่ถือเป็นงานพัฒนาใหม่</w:t>
            </w:r>
          </w:p>
        </w:tc>
      </w:tr>
      <w:t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ชั้นที่ 2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Configuration, Data &amp; Integration Layer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การตั้งค่าพื้นที่ ผู้ใช้ ชุดข้อมูล ช่องทางสื่อสาร และการเชื่อมต่อแหล่งข้อมูลสำหรับหน่วยงานผู้ใช้งาน</w:t>
            </w:r>
          </w:p>
        </w:tc>
      </w:tr>
      <w:t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ชั้นที่ 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Operational Application Layer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โมดูลปฏิบัติงานที่มีอยู่ในระบบ และงานเพิ่มเติมเฉพาะโครงการที่ได้รับอนุมัติเป็นลายลักษณ์อักษร</w:t>
            </w:r>
          </w:p>
        </w:tc>
      </w:tr>
    </w:tbl>
    <w:p>
      <w:pPr>
        <w:spacing w:after="0"/>
      </w:pPr>
    </w:p>
    <w:p>
      <w:pPr>
        <w:spacing w:before="80" w:after="120" w:line="276" w:lineRule="auto"/>
      </w:pPr>
      <w:r>
        <w:rPr>
          <w:rFonts w:ascii="TH Sarabun New" w:hAnsi="TH Sarabun New" w:eastAsia="TH Sarabun New"/>
          <w:b w:val="0"/>
          <w:i/>
          <w:color w:val="946700"/>
        </w:rPr>
        <w:t>หลักการสำคัญ: ความสามารถของแพลตฟอร์มที่มีอยู่แล้วเป็น Background IP ส่วน Project IP ให้ครอบคลุมเฉพาะงานเพิ่มเติมเฉพาะโครงการตามที่คู่สัญญาตกลงและตรวจรับ</w:t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3. ชั้นที่ 1: Background Platform ที่ ESM มีอยู่แล้ว (ของเดิม — บูรณาการ ไม่พัฒนาใหม่)</w:t>
      </w:r>
    </w:p>
    <w:p>
      <w:pPr>
        <w:spacing w:before="80" w:after="120" w:line="276" w:lineRule="auto"/>
      </w:pPr>
      <w:r>
        <w:rPr>
          <w:rFonts w:ascii="TH Sarabun New" w:hAnsi="TH Sarabun New" w:eastAsia="TH Sarabun New"/>
          <w:b w:val="0"/>
          <w:i/>
          <w:color w:val="946700"/>
        </w:rPr>
        <w:t>หมายเหตุ: ระบบในชั้นที่ 1 ทั้งหมดถือเป็น Background IP ของ ESM ตามข้อ 4.1 การนำมาใช้ในโครงการไม่ถือเป็นการโอนกรรมสิทธิ์ เว้นแต่มีข้อตกลงเป็นลายลักษณ์อักษรเป็นอย่างอื่น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ระบบ</w:t>
            </w:r>
          </w:p>
        </w:tc>
        <w:tc>
          <w:tcPr>
            <w:tcW w:type="dxa" w:w="3742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คำอธิบาย</w:t>
            </w:r>
          </w:p>
        </w:tc>
        <w:tc>
          <w:tcPr>
            <w:tcW w:type="dxa" w:w="3402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บทบาทในโครงการนี้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Smart Tambon Web Platform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เว็บแอปพลิเคชันสำหรับผู้ดูแลและเจ้าหน้าที่ พร้อมระบบบัญชีผู้ใช้ บทบาท สิทธิ์ และการแยกข้อมูลตามองค์กร/พื้นที่รับผิดชอบ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เป็นโครงสร้างหลักของหน้าจอ การยืนยันตัวตน การบริหารผู้ใช้ และการควบคุมการเข้าถึงข้อมูล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GIS &amp; Spatial Data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ฐานข้อมูลเชิงพื้นที่ PostgreSQL/PostGIS แผนที่ ขอบเขตจังหวัด/อำเภอ/ตำบล/หมู่บ้าน จุดสถานที่ และการค้นหาหรือวิเคราะห์ตามพื้นที่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ใช้แสดงข้อมูลบนแผนที่ ระบุตำแหน่งเหตุการณ์ วิเคราะห์พื้นที่ และจำกัดขอบเขตข้อมูลของผู้ใช้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Operational Data Platform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ฐานข้อมูลเชิงสัมพันธ์และฐานข้อมูลแบบยืดหยุ่นสำหรับชุดข้อมูล เหตุการณ์ เซนเซอร์ และเมทาดาทา พร้อมพื้นที่เก็บไฟล์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รองรับการนำเข้า จัดเก็บ เรียกดู ปรับปรุง และติดตามเวอร์ชันข้อมูล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Sensor &amp; External Data Interfaces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ช่องทางรับข้อมูลผ่าน HTTP/MQTT และบริการเชื่อมต่อข้อมูลสภาพอากาศ ฝน PM2.5 ระดับน้ำ และจุดความร้อนตามการตั้งค่า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ใช้สร้างภาพรวมสถานการณ์สิ่งแวดล้อมและข้อมูลประกอบการตัดสินใจ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4. ชั้นที่ 2: Configuration, Data &amp; Integration Layer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4.1 การตั้งค่าองค์กร ผู้ใช้ และพื้นที่รับผิดชอบ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กำหนดข้อมูลองค์กร บัญชีผู้ใช้ บทบาทและสิทธิ์ รวมถึงขอบเขตตำบลหรือพื้นที่ที่ผู้ใช้รับผิดชอบ เพื่อให้ผู้ใช้งานเห็นและจัดการเฉพาะข้อมูลที่ได้รับอนุญาต ระบบรองรับกระบวนการสมัครองค์กร การยืนยันรหัส OTP และการอนุมัติหรือปฏิเสธคำขอโดยผู้ดูแลระบบ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4.2 การนำเข้าและกำกับดูแลชุดข้อมูล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รองรับการนำเข้าชุดข้อมูลจากไฟล์หรือการกรอกข้อมูลด้วยตนเอง มีขั้นตอนตรวจสอบความถูกต้อง แสดงตัวอย่างก่อนบันทึก และยืนยันการนำเข้า พร้อมแม่แบบไฟล์สำหรับข้อมูลแต่ละประเภท ระบบจัดเก็บเวอร์ชัน จุดตรวจสอบ (Checkpoint) ประวัติการเปลี่ยนแปลง การดาวน์โหลด และการกู้คืนเวอร์ชันที่กำหนด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ชุดข้อมูลปฏิบัติงานครอบคลุมข้อมูลหน่วยงาน ทีมปฏิบัติงาน บุคลากร ทรัพยากรและอุปกรณ์ วัสดุสิ้นเปลือง ประชากร สถานที่ และข้อมูลประกอบอื่นตามแบบข้อมูลที่ระบบรองรับ โดยคงความเชื่อมโยงด้วยรหัสอ้างอิงที่กำหนด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4.3 การบูรณาการข้อมูลเชิงพื้นที่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เชื่อมโยงระเบียนกับพิกัดและขอบเขตพื้นที่ รองรับการค้นหาตำบล การระบุตำแหน่งจากแผนที่ การแปลงพิกัดเป็นที่อยู่โดยประมาณ และการเชื่อมขอบเขตหมู่บ้านกับข้อมูลประชากร เพื่อใช้ร่วมกับหน้าแผนที่เมืองและการวิเคราะห์พื้นที่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4.4 การเชื่อมต่อข้อมูลภายนอกและเซนเซอร์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รองรับการดึงหรือรับข้อมูลจากผู้ให้บริการภายนอกและอุปกรณ์ที่กำหนด ได้แก่ ข้อมูลสภาพอากาศ ปริมาณฝน PM2.5 ระดับน้ำ สถานีตรวจวัด และจุดความร้อน รวมถึงการรับค่าจากเซนเซอร์ผ่าน HTTP หรือ MQTT ทั้งนี้ความต่อเนื่องและความถี่ของข้อมูลขึ้นอยู่กับการตั้งค่า สิทธิ์การใช้งาน และความพร้อมของบริการต้นทาง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4.5 ช่องทางแจ้งเตือนและการสื่อสาร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กำหนดช่องทางและแม่แบบข้อความสำหรับการแจ้งเตือน พร้อมหน้าทดสอบการส่ง โดยระบบรองรับช่องทางที่ตั้งค่าไว้ เช่น LINE, Telegram, Signal, SMS หรือ Webhook ตามผู้ให้บริการและข้อมูลรับรองที่หน่วยงานจัดเตรียม</w:t>
      </w:r>
    </w:p>
    <w:p>
      <w:pPr>
        <w:spacing w:before="80" w:after="120" w:line="276" w:lineRule="auto"/>
      </w:pPr>
      <w:r>
        <w:rPr>
          <w:rFonts w:ascii="TH Sarabun New" w:hAnsi="TH Sarabun New" w:eastAsia="TH Sarabun New"/>
          <w:b w:val="0"/>
          <w:i/>
          <w:color w:val="946700"/>
        </w:rPr>
        <w:t>หมายเหตุ: งานในชั้นที่ 2 ที่เป็นเพียงการตั้งค่าหรือเชื่อมต่อความสามารถเดิมยังคงเป็น Background IP ส่วนตัวเชื่อมต่อหรือส่วนขยายใหม่เฉพาะโครงการให้จำแนกตามรายการพัฒนาและข้อ 4.2 ของสัญญา</w:t>
      </w:r>
    </w:p>
    <w:p>
      <w:r>
        <w:br w:type="page"/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5. ชั้นที่ 3: Operational Application Layer (ความสามารถใช้งานจริงของระบบ)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5.1 ภาพรวมเมืองและข้อมูลสถานการณ์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แสดงภาพรวมข้อมูลสำคัญของพื้นที่ ได้แก่ สถานะเหตุการณ์และภัยพิบัติ ข้อมูลประชากร โครงการและกิจกรรม ข้อมูลสภาพอากาศ PM2.5 ปริมาณฝน ระดับน้ำ และข้อมูลประกอบอื่นที่มีการตั้งค่าไว้ พร้อมแผนที่สำหรับดูตำแหน่งและชั้นข้อมูล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5.2 การรับแจ้งและบริหารเหตุการณ์ทั่วไป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รองรับการรับแจ้งเหตุจากเจ้าหน้าที่และลิงก์สาธารณะ การแนบภาพ ระบุตำแหน่งและที่อยู่โดยประมาณ การจัดสถานะรอรับเรื่อง กำลังดำเนินการ และเสร็จสิ้น การบันทึกความคืบหน้า การแจ้งเตือนเหตุใหม่ และการติดตามสถานะด้วยรหัสหรือลิงก์สำหรับผู้แจ้ง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5.3 การจัดการภัยพิบัติและการประเมินสถานการณ์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สามารถยกระดับเหตุการณ์ทั่วไปเป็นภัยพิบัติ บันทึกการประเมิน คำนวณความต้องการทรัพยากรตามกฎที่กำหนด จัดทำแผนตอบสนองหลายเวอร์ชัน เลือกแผนที่ใช้งาน และติดตามประวัติการดำเนินงาน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5.4 การบริหารทรัพยากรสำหรับการปฏิบัติงาน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บริหารข้อมูลหน่วยงาน ทีม บุคลากร อุปกรณ์ และวัสดุสิ้นเปลือง พร้อมกำหนดผู้รับผิดชอบ เชื่อมโยงทรัพยากรกับเหตุการณ์ บันทึกการใช้ทรัพยากร การเคลื่อนไหวและคงเหลือของวัสดุ เพื่อสนับสนุนการจัดสรรกำลังและสิ่งของ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5.5 การติดตามสิ่งแวดล้อมและจุดเฝ้าระวัง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แสดงข้อมูลสภาพอากาศ ฝน PM2.5 ระดับน้ำ สถานีตรวจวัด และจุดความร้อนบนหน้าภาพรวมและแผนที่ โดยรองรับข้อมูลล่าสุดและประวัติการอ่านค่าจากเซนเซอร์ที่เชื่อมต่อ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5.6 การบริหารโครงการ กิจกรรม สถานที่ และกล้อง CCTV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จัดเก็บและแสดงโครงการ งบประมาณ ภาพถ่าย กิจกรรม ประกาศ จุดสถานที่สำคัญ และทะเบียนกล้อง CCTV/ลิงก์สตรีมบนแผนที่ เพื่อให้เจ้าหน้าที่ใช้เป็นข้อมูลประกอบการปฏิบัติงาน ทั้งนี้ระบบไม่ได้รวมความสามารถวิเคราะห์ภาพด้วย AI เว้นแต่มีการเชื่อมต่อเพิ่มเติม</w:t>
      </w:r>
    </w:p>
    <w:p>
      <w:pPr>
        <w:pStyle w:val="Heading2"/>
        <w:spacing w:before="160" w:after="100" w:line="240" w:lineRule="auto"/>
      </w:pPr>
      <w:r>
        <w:rPr>
          <w:rFonts w:ascii="TH Sarabun New" w:hAnsi="TH Sarabun New" w:eastAsia="TH Sarabun New"/>
          <w:b w:val="0"/>
          <w:i w:val="0"/>
          <w:color w:val="1F70B7"/>
          <w:sz w:val="28"/>
        </w:rPr>
        <w:t>5.7 ผู้ช่วยข้อมูลและการกระจายข่าว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รองรับผู้ช่วย AI ผ่านผู้ให้บริการที่ตั้งค่าไว้สำหรับสนทนา ค้นและสรุปข้อมูลที่ระบบอนุญาต รวมถึงการจัดเก็บชุดคำสั่งใช้งานซ้ำ และรองรับการสร้างรายการกระจายข่าว เนื้อหา ภาพหรือเสียงสังเคราะห์ การกำหนดรอบเวลา และการเผยแพร่ผ่านช่องทางที่เชื่อมต่อ ทั้งนี้ผลลัพธ์จาก AI ต้องได้รับการตรวจสอบโดยผู้ใช้งานก่อนนำไปใช้</w:t>
      </w:r>
    </w:p>
    <w:p>
      <w:r>
        <w:br w:type="page"/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6. ขอบเขตด้าน Platform / Infrastructure Integration</w:t>
      </w:r>
    </w:p>
    <w:p>
      <w:pPr>
        <w:spacing w:before="80" w:after="120" w:line="276" w:lineRule="auto"/>
      </w:pPr>
      <w:r>
        <w:rPr>
          <w:rFonts w:ascii="TH Sarabun New" w:hAnsi="TH Sarabun New" w:eastAsia="TH Sarabun New"/>
          <w:b w:val="0"/>
          <w:i/>
          <w:color w:val="946700"/>
        </w:rPr>
        <w:t>หมายเหตุ: ขอบเขตนี้ครอบคลุมการตั้งค่าซอฟต์แวร์และการเชื่อมต่อระบบตามสภาพแวดล้อมที่ตกลงกัน ไม่รวมการจัดซื้อ Hardware หรือค่าบริการของผู้ให้บริการภายนอก เว้นแต่ระบุใน BOQ หรือเอกสารแนบท้ายสัญญา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38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เสาหลัก</w:t>
            </w:r>
          </w:p>
        </w:tc>
        <w:tc>
          <w:tcPr>
            <w:tcW w:type="dxa" w:w="2268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สถานะ</w:t>
            </w:r>
          </w:p>
        </w:tc>
        <w:tc>
          <w:tcPr>
            <w:tcW w:type="dxa" w:w="4706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รายละเอียดขอบเขตงาน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เว็บบริหารจัดการและแผนที่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มีอยู่แล้ว — กำหนดค่า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ตั้งค่าองค์กร ผู้ใช้ สิทธิ์ พื้นที่รับผิดชอบ แผนที่ ชั้นข้อมูล และหน้าแสดงผลสำหรับหน่วยงาน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ฐานข้อมูลและพื้นที่เก็บไฟล์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มีอยู่แล้ว — ติดตั้ง/เชื่อมต่อ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ใช้งาน PostgreSQL/PostGIS, MongoDB และพื้นที่เก็บไฟล์ที่รองรับ S3/MinIO ตามสถาปัตยกรรมระบบ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API / Sensor Gateway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มีอยู่แล้ว — เชื่อมต่อ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รับข้อมูลผ่าน API และ MQTT สำหรับเซนเซอร์และแหล่งข้อมูลที่รองรับ พร้อมการตรวจสอบสิทธิ์และรูปแบบข้อมูล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ช่องทางแจ้งเตือนและกระจายข่าว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มีอยู่แล้ว — ตั้งค่าผู้ให้บริการ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ตั้งค่าช่องทาง แม่แบบข้อความ การทดสอบ และการเผยแพร่ตามข้อมูลรับรองของหน่วยงาน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ทะเบียน CCTV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มีอยู่แล้ว — นำเข้าข้อมูล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จัดเก็บตำแหน่ง รายละเอียด และลิงก์สตรีมของกล้อง ไม่รวมการจัดหากล้องหรือระบบ AI วิเคราะห์ภาพ</w:t>
            </w:r>
          </w:p>
        </w:tc>
      </w:tr>
    </w:tbl>
    <w:p>
      <w:pPr>
        <w:spacing w:after="0"/>
      </w:pP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7. ขอบเขตที่ไม่รวมอยู่ในงานนี้ (Out of Scope)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การจัดซื้อหรือติดตั้ง Hardware เพิ่มเติม เช่น กล้อง เซนเซอร์ เครื่องแม่ข่าย จอภาพ อุปกรณ์เครือข่าย หรือระบบเสียงตามสาย เว้นแต่มี BOQ แยกต่างหาก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ระบบวิเคราะห์ภาพด้วย AI/ANPR การเชื่อมต่อ 1669 แอปพลิเคชันมือถือหรือปุ่ม SOS, Citizen Digital ID, SSO และ Smart Signage ซึ่งยังไม่ใช่ความสามารถมาตรฐานของระบบปัจจุบัน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ค่าใช้บริการ Cloud, Internet, SMS, LINE หรือ API/ข้อมูลของผู้ให้บริการภายนอก รวมถึงข้อจำกัดหรือการเปลี่ยนแปลงนโยบายของบริการดังกล่าว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การพัฒนาฟังก์ชันใหม่ การเชื่อมต่อระบบอื่น หรือการปรับแต่งนอกเหนือจากรายการส่งมอบที่อนุมัติ ต้องดำเนินการผ่าน Change Request และประเมินระยะเวลา/ค่าใช้จ่ายก่อนดำเนินการ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การเจรจาธุรกิจ การตลาด การประมูลงานภาครัฐ และการประสานงานลูกค้า ซึ่งเป็นหน้าที่ของ GOODMEDCARE ตามข้อ 3 ของสัญญา</w:t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8. แผนดำเนินงาน (อ้างอิงแผนดำเนินงานในภาคผนวก ก)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38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Phase</w:t>
            </w:r>
          </w:p>
        </w:tc>
        <w:tc>
          <w:tcPr>
            <w:tcW w:type="dxa" w:w="2098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ระยะเวลา</w:t>
            </w:r>
          </w:p>
        </w:tc>
        <w:tc>
          <w:tcPr>
            <w:tcW w:type="dxa" w:w="4876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เนื้อหางานหลัก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Phase 1 Requirement &amp; Area Setup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[ระยะเวลาที่ตกลงร่วมกัน]</w:t>
            </w:r>
          </w:p>
        </w:tc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ยืนยันพื้นที่ ผู้ใช้ ชุดข้อมูล ช่องทางสื่อสาร การเชื่อมต่อ และเกณฑ์ตรวจรับ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Phase 2 Configuration &amp; Data Preparation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[ระยะเวลาที่ตกลงร่วมกัน]</w:t>
            </w:r>
          </w:p>
        </w:tc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ติดตั้ง/ตั้งค่าระบบ นำเข้าข้อมูล ตั้งค่าสิทธิ์ แผนที่ กฎทรัพยากร และการเชื่อมต่อที่อนุมัติ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Phase 3 Pilot, UAT &amp; Training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6 เดือน (ตามภาคผนวก ก)</w:t>
            </w:r>
          </w:p>
        </w:tc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ทดลองใช้งานกับ อบต. นำร่อง ทดสอบตามกรณีใช้งาน แก้ไขข้อบกพร่อง และอบรมผู้ดูแล/เจ้าหน้าที่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Phase 4 Go-live &amp; Support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ต่อเนื่องตามข้อตกลง</w:t>
            </w:r>
          </w:p>
        </w:tc>
        <w:tc>
          <w:tcPr>
            <w:tcW w:type="dxa" w:w="48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เปิดใช้งานจริง สนับสนุนการใช้งาน ติดตามปัญหา และจัดทำแผนขยายผล</w:t>
            </w:r>
          </w:p>
        </w:tc>
      </w:tr>
    </w:tbl>
    <w:p>
      <w:pPr>
        <w:spacing w:after="0"/>
      </w:pP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9. เกณฑ์การตรวจรับงาน (Acceptance Criteria)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ผู้ใช้เข้าสู่ระบบและเข้าถึงข้อมูลตามบทบาท องค์กร และพื้นที่รับผิดชอบที่กำหนด โดยไม่สามารถเข้าถึงข้อมูลส่วนบุคคลของพื้นที่อื่นที่ไม่ได้รับอนุญาต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ระบบนำเข้าชุดข้อมูลที่อยู่ในขอบเขตได้ โดยตรวจสอบ แสดงตัวอย่าง บันทึกเวอร์ชัน ดาวน์โหลด และกู้คืนข้อมูลตามสิทธิ์ของผู้ใช้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หน้าแผนที่แสดงขอบเขตพื้นที่ จุดสถานที่ เหตุการณ์ โครงการ กล้อง และชั้นข้อมูลที่มีข้อมูลพร้อมใช้งาน รวมถึงค้นหาและระบุตำแหน่งได้ตามกรณีทดสอบ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กระบวนการเหตุการณ์ทั่วไปและภัยพิบัติทำงานครบตั้งแต่รับแจ้ง เปลี่ยนสถานะ บันทึกความคืบหน้า ประเมินสถานการณ์ จัดทำ/เลือกแผน และติดตามผล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ข้อมูลหน่วยงาน ทีม บุคลากร อุปกรณ์ และวัสดุสิ้นเปลืองเชื่อมโยงและเลือกใช้งานในรายการที่เกี่ยวข้องได้ตามรหัสอ้างอิง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ข้อมูลสภาพอากาศและสิ่งแวดล้อมแสดงผลได้เมื่อบริการต้นทางและข้อมูลรับรองพร้อมใช้งาน และแสดงสถานะที่เข้าใจได้เมื่อแหล่งข้อมูลไม่พร้อม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ช่องทางแจ้งเตือน/กระจายข่าวที่อยู่ในรายการส่งมอบผ่านการทดสอบด้วยบัญชีและข้อมูลรับรองของหน่วยงาน</w:t>
      </w:r>
    </w:p>
    <w:p>
      <w:pPr>
        <w:pStyle w:val="ListParagraph"/>
        <w:spacing w:before="0" w:after="60" w:line="276" w:lineRule="auto"/>
      </w:pPr>
      <w:r>
        <w:rPr>
          <w:rFonts w:ascii="TH Sarabun New" w:hAnsi="TH Sarabun New" w:eastAsia="TH Sarabun New"/>
          <w:b w:val="0"/>
          <w:i w:val="0"/>
        </w:rPr>
        <w:t>•  รายละเอียดกรณีทดสอบ ชุดข้อมูลตัวอย่าง ระยะเวลาตอบสนอง และผู้มีอำนาจลงนามตรวจรับ ให้จัดทำเป็นเอกสารแนบท้ายก่อนเริ่ม UAT</w:t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10. ตารางสรุปการแบ่งประเภททรัพย์สินทางปัญญา (IP Classification Summary)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ตารางนี้จัดทำขึ้นเพื่อสนับสนุนการจัดทำรายการทรัพย์สินทางปัญญา (IP Register) ที่คู่สัญญาจะจัดทำร่วมกันตามข้อ 4 ของสัญญาความร่วมมือฯ และไม่เปลี่ยนแปลงสิทธิหรือหน้าที่ตามสัญญาหลัก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855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รายการงาน</w:t>
            </w:r>
          </w:p>
        </w:tc>
        <w:tc>
          <w:tcPr>
            <w:tcW w:type="dxa" w:w="1247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ชั้น</w:t>
            </w:r>
          </w:p>
        </w:tc>
        <w:tc>
          <w:tcPr>
            <w:tcW w:type="dxa" w:w="2154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ประเภท IP</w:t>
            </w:r>
          </w:p>
        </w:tc>
        <w:tc>
          <w:tcPr>
            <w:tcW w:type="dxa" w:w="2381"/>
            <w:shd w:fill="203E6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/>
                <w:color w:val="FFFFFF"/>
                <w:sz w:val="24"/>
              </w:rPr>
              <w:t>สัดส่วนกรรมสิทธิ์</w:t>
            </w:r>
          </w:p>
        </w:tc>
      </w:tr>
      <w:tr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Smart Tambon Web Platform, ระบบผู้ใช้/สิทธิ์, GIS, โครงสร้างข้อมูล, ระบบนำเข้า, เหตุการณ์และภัยพิบัติ, ทรัพยากร, สิ่งแวดล้อม, การแจ้งเตือน, AI Assistant และระบบกระจายข่าวที่มีอยู่แล้ว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ชั้นที่ 1 และความสามารถมาตรฐาน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Background IP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ESM 100%</w:t>
            </w:r>
          </w:p>
        </w:tc>
      </w:tr>
      <w:tr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การตั้งค่าองค์กร พื้นที่ ชุดข้อมูล แม่แบบ การเชื่อมต่อ และการติดตั้งที่ใช้ความสามารถมาตรฐานของระบบ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ชั้นที่ 2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Background IP / ข้อมูลของลูกค้าตามสัญญา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ตามกรรมสิทธิ์เดิมของแต่ละส่วน</w:t>
            </w:r>
          </w:p>
        </w:tc>
      </w:tr>
      <w:tr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ซอฟต์แวร์ ตัวเชื่อมต่อ หรือโมดูลที่พัฒนาขึ้นใหม่เฉพาะโครงการและได้รับอนุมัติเป็นรายการส่งมอบ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ชั้นที่ 2–3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Project IP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TH Sarabun New" w:hAnsi="TH Sarabun New" w:eastAsia="TH Sarabun New"/>
                <w:sz w:val="22"/>
              </w:rPr>
              <w:t>ESM 50% / GOODMEDCARE 50% ตามข้อ 4.2</w:t>
            </w:r>
          </w:p>
        </w:tc>
      </w:tr>
    </w:tbl>
    <w:p>
      <w:pPr>
        <w:spacing w:after="0"/>
      </w:pPr>
    </w:p>
    <w:p>
      <w:pPr>
        <w:spacing w:before="80" w:after="120" w:line="276" w:lineRule="auto"/>
      </w:pPr>
      <w:r>
        <w:rPr>
          <w:rFonts w:ascii="TH Sarabun New" w:hAnsi="TH Sarabun New" w:eastAsia="TH Sarabun New"/>
          <w:b w:val="0"/>
          <w:i/>
          <w:color w:val="946700"/>
        </w:rPr>
        <w:t>หมายเหตุ: ข้อมูลที่หน่วยงานนำเข้าสู่ระบบยังคงเป็นข้อมูลของหน่วยงานหรือเจ้าของข้อมูลตามกฎหมายและข้อตกลงที่เกี่ยวข้อง ไม่ถือเป็นการโอนกรรมสิทธิ์ในข้อมูลให้แก่คู่สัญญา</w:t>
      </w:r>
    </w:p>
    <w:p>
      <w:pPr>
        <w:pStyle w:val="Heading1"/>
        <w:spacing w:before="160" w:after="100" w:line="240" w:lineRule="auto"/>
      </w:pPr>
      <w:r>
        <w:rPr>
          <w:rFonts w:ascii="TH Sarabun New" w:hAnsi="TH Sarabun New" w:eastAsia="TH Sarabun New"/>
          <w:b/>
          <w:i w:val="0"/>
          <w:color w:val="203E6B"/>
          <w:sz w:val="32"/>
        </w:rPr>
        <w:t>11. หมายเหตุปิดท้าย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ขอบเขตงานฉบับนี้ปรับปรุงให้สอดคล้องกับความสามารถที่ตรวจสอบได้จากระบบ SMART TAMBON SAFETY THAILAND ในปัจจุบัน โดยแยกความสามารถมาตรฐานของแพลตฟอร์ม งานกำหนดค่า/เชื่อมต่อ และงานพัฒนาเพิ่มเติมเฉพาะโครงการออกจากกันอย่างชัดเจน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รายละเอียดระยะเวลา งบประมาณ สภาพแวดล้อมติดตั้ง แหล่งข้อมูลภายนอก บัญชีผู้ให้บริการ และเกณฑ์ตรวจรับรายกรณี ให้คู่สัญญาจัดทำเป็นเอกสารแนบท้ายและลงนามอนุมัติก่อนเริ่มดำเนินงาน ทั้งนี้ให้ยึดข้อกำหนดในสัญญาความร่วมมือฯ เป็นหลักหากข้อความในเอกสารนี้ขัดหรือแย้งกับสัญญา</w:t>
      </w:r>
    </w:p>
    <w:p>
      <w:pPr>
        <w:spacing w:before="480" w:after="140" w:line="276" w:lineRule="auto"/>
      </w:pPr>
      <w:r>
        <w:rPr>
          <w:rFonts w:ascii="TH Sarabun New" w:hAnsi="TH Sarabun New" w:eastAsia="TH Sarabun New"/>
          <w:b w:val="0"/>
          <w:i w:val="0"/>
        </w:rPr>
        <w:t>ลงชื่อ __________________________________ ESM</w:t>
      </w:r>
    </w:p>
    <w:p>
      <w:pPr>
        <w:spacing w:before="0" w:after="360" w:line="276" w:lineRule="auto"/>
      </w:pPr>
      <w:r>
        <w:rPr>
          <w:rFonts w:ascii="TH Sarabun New" w:hAnsi="TH Sarabun New" w:eastAsia="TH Sarabun New"/>
          <w:b w:val="0"/>
          <w:i w:val="0"/>
        </w:rPr>
        <w:t>( นายศุภศักดิ์ กุลงค์อนันชัย )   ตำแหน่ง กรรมการผู้จัดการ</w:t>
      </w:r>
    </w:p>
    <w:p>
      <w:pPr>
        <w:spacing w:before="360" w:after="140" w:line="276" w:lineRule="auto"/>
      </w:pPr>
      <w:r>
        <w:rPr>
          <w:rFonts w:ascii="TH Sarabun New" w:hAnsi="TH Sarabun New" w:eastAsia="TH Sarabun New"/>
          <w:b w:val="0"/>
          <w:i w:val="0"/>
        </w:rPr>
        <w:t>ลงชื่อ __________________________________ GOODMEDCARE</w:t>
      </w:r>
    </w:p>
    <w:p>
      <w:pPr>
        <w:spacing w:before="0" w:after="80" w:line="276" w:lineRule="auto"/>
      </w:pPr>
      <w:r>
        <w:rPr>
          <w:rFonts w:ascii="TH Sarabun New" w:hAnsi="TH Sarabun New" w:eastAsia="TH Sarabun New"/>
          <w:b w:val="0"/>
          <w:i w:val="0"/>
        </w:rPr>
        <w:t>( นางสาววิมนามย์ สุภาผล )   ตำแหน่ง กรรมการผู้จัดการ</w:t>
      </w:r>
    </w:p>
    <w:sectPr w:rsidR="006B6F1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289D3" w14:textId="77777777" w:rsidR="00004332" w:rsidRDefault="00004332">
      <w:r>
        <w:separator/>
      </w:r>
    </w:p>
  </w:endnote>
  <w:endnote w:type="continuationSeparator" w:id="0">
    <w:p w14:paraId="52ED9E71" w14:textId="77777777" w:rsidR="00004332" w:rsidRDefault="00004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B275" w14:textId="77777777" w:rsidR="006B6F1F" w:rsidRDefault="00000000">
    <w:pPr>
      <w:jc w:val="center"/>
    </w:pPr>
    <w:proofErr w:type="spellStart"/>
    <w:r>
      <w:rPr>
        <w:sz w:val="22"/>
        <w:szCs w:val="22"/>
      </w:rPr>
      <w:t>หน้า</w:t>
    </w:r>
    <w:proofErr w:type="spellEnd"/>
    <w:r>
      <w:rPr>
        <w:sz w:val="22"/>
        <w:szCs w:val="22"/>
      </w:rPr>
      <w:t xml:space="preserve">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058B7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/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NUMPAGES</w:instrText>
    </w:r>
    <w:r>
      <w:rPr>
        <w:sz w:val="22"/>
        <w:szCs w:val="22"/>
      </w:rPr>
      <w:fldChar w:fldCharType="separate"/>
    </w:r>
    <w:r w:rsidR="00A058B7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BB29E" w14:textId="77777777" w:rsidR="00004332" w:rsidRDefault="00004332">
      <w:r>
        <w:separator/>
      </w:r>
    </w:p>
  </w:footnote>
  <w:footnote w:type="continuationSeparator" w:id="0">
    <w:p w14:paraId="19DA7724" w14:textId="77777777" w:rsidR="00004332" w:rsidRDefault="00004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7481D"/>
    <w:multiLevelType w:val="hybridMultilevel"/>
    <w:tmpl w:val="E56C2680"/>
    <w:lvl w:ilvl="0" w:tplc="54A6EB62">
      <w:start w:val="1"/>
      <w:numFmt w:val="bullet"/>
      <w:lvlText w:val="●"/>
      <w:lvlJc w:val="left"/>
      <w:pPr>
        <w:ind w:left="720" w:hanging="360"/>
      </w:pPr>
    </w:lvl>
    <w:lvl w:ilvl="1" w:tplc="B060F264">
      <w:start w:val="1"/>
      <w:numFmt w:val="bullet"/>
      <w:lvlText w:val="○"/>
      <w:lvlJc w:val="left"/>
      <w:pPr>
        <w:ind w:left="1440" w:hanging="360"/>
      </w:pPr>
    </w:lvl>
    <w:lvl w:ilvl="2" w:tplc="A860094C">
      <w:start w:val="1"/>
      <w:numFmt w:val="bullet"/>
      <w:lvlText w:val="■"/>
      <w:lvlJc w:val="left"/>
      <w:pPr>
        <w:ind w:left="2160" w:hanging="360"/>
      </w:pPr>
    </w:lvl>
    <w:lvl w:ilvl="3" w:tplc="22C2BEB2">
      <w:start w:val="1"/>
      <w:numFmt w:val="bullet"/>
      <w:lvlText w:val="●"/>
      <w:lvlJc w:val="left"/>
      <w:pPr>
        <w:ind w:left="2880" w:hanging="360"/>
      </w:pPr>
    </w:lvl>
    <w:lvl w:ilvl="4" w:tplc="6A1C3E5A">
      <w:start w:val="1"/>
      <w:numFmt w:val="bullet"/>
      <w:lvlText w:val="○"/>
      <w:lvlJc w:val="left"/>
      <w:pPr>
        <w:ind w:left="3600" w:hanging="360"/>
      </w:pPr>
    </w:lvl>
    <w:lvl w:ilvl="5" w:tplc="86E44434">
      <w:start w:val="1"/>
      <w:numFmt w:val="bullet"/>
      <w:lvlText w:val="■"/>
      <w:lvlJc w:val="left"/>
      <w:pPr>
        <w:ind w:left="4320" w:hanging="360"/>
      </w:pPr>
    </w:lvl>
    <w:lvl w:ilvl="6" w:tplc="00F61A84">
      <w:start w:val="1"/>
      <w:numFmt w:val="bullet"/>
      <w:lvlText w:val="●"/>
      <w:lvlJc w:val="left"/>
      <w:pPr>
        <w:ind w:left="5040" w:hanging="360"/>
      </w:pPr>
    </w:lvl>
    <w:lvl w:ilvl="7" w:tplc="834C708C">
      <w:start w:val="1"/>
      <w:numFmt w:val="bullet"/>
      <w:lvlText w:val="●"/>
      <w:lvlJc w:val="left"/>
      <w:pPr>
        <w:ind w:left="5760" w:hanging="360"/>
      </w:pPr>
    </w:lvl>
    <w:lvl w:ilvl="8" w:tplc="3E92E6EE">
      <w:start w:val="1"/>
      <w:numFmt w:val="bullet"/>
      <w:lvlText w:val="●"/>
      <w:lvlJc w:val="left"/>
      <w:pPr>
        <w:ind w:left="6480" w:hanging="360"/>
      </w:pPr>
    </w:lvl>
  </w:abstractNum>
  <w:num w:numId="1" w16cid:durableId="94330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F1F"/>
    <w:rsid w:val="00004332"/>
    <w:rsid w:val="003D44B9"/>
    <w:rsid w:val="006B6F1F"/>
    <w:rsid w:val="00A058B7"/>
    <w:rsid w:val="00AA6ABB"/>
    <w:rsid w:val="00CA2BB2"/>
    <w:rsid w:val="00CA3AF5"/>
    <w:rsid w:val="00DF0261"/>
    <w:rsid w:val="00E36AED"/>
    <w:rsid w:val="00E9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31F1"/>
  <w15:docId w15:val="{F792A5EF-2631-472E-9417-030897BF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H Sarabun New" w:hAnsi="TH Sarabun New" w:eastAsia="TH Sarabun New"/>
      <w:sz w:val="26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ขอบเขตงาน SMART TAMBON SAFETY (ภาคผนวก ก)</vt:lpstr>
    </vt:vector>
  </TitlesOfParts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ขอบเขตงาน SMART TAMBON SAFETY (ภาคผนวก ก)</dc:title>
  <dc:creator>ESM Solution</dc:creator>
  <cp:lastModifiedBy>Nuttanicha KAEOPHOLSRI</cp:lastModifiedBy>
  <cp:revision>2</cp:revision>
  <dcterms:created xsi:type="dcterms:W3CDTF">2026-09-13T09:05:00Z</dcterms:created>
  <dcterms:modified xsi:type="dcterms:W3CDTF">2026-09-13T09:05:00Z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2f4342ea-32ed-4259-bbf0-ce8c6b1c66f6</vt:lpwstr>
  </property>
</Properties>
</file>