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40" w:line="276" w:lineRule="auto"/>
        <w:jc w:val="center"/>
      </w:pPr>
      <w:r>
        <w:rPr>
          <w:rFonts w:ascii="TH Sarabun New" w:hAnsi="TH Sarabun New" w:eastAsia="TH Sarabun New"/>
          <w:b/>
          <w:i w:val="0"/>
          <w:sz w:val="40"/>
        </w:rPr>
        <w:t>ร่างขอบเขตงาน (PROJECT SCOPE OF WORK)</w:t>
      </w:r>
    </w:p>
    <w:p>
      <w:pPr>
        <w:spacing w:before="0" w:after="16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32"/>
        </w:rPr>
        <w:t>โครงการ SMART TAMBON SAFETY THAILAND</w:t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8"/>
        </w:rPr>
        <w:t>ระบบบริหารจัดการความปลอดภัยอัจฉริยะสำหรับองค์การบริหารส่วนตำบล</w:t>
      </w:r>
    </w:p>
    <w:p>
      <w:pPr>
        <w:spacing w:before="0" w:after="16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จัดทำโดย บริษัท อี.เอส.เอ็ม. โซลูชั่น จำกัด (ESM)</w:t>
      </w:r>
    </w:p>
    <w:p>
      <w:pPr>
        <w:spacing w:before="0" w:after="14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4"/>
        </w:rPr>
        <w:t>เอกสารแนบท้ายสัญญาความร่วมมือฯ (ภาคผนวก ก) ระหว่าง ESM และ บริษัท กู๊ดเมดแคร์ จำกัด (GOODMEDCARE)</w:t>
      </w:r>
    </w:p>
    <w:p>
      <w:pPr>
        <w:spacing w:before="0" w:after="140" w:line="276" w:lineRule="auto"/>
        <w:jc w:val="center"/>
      </w:pPr>
      <w:r>
        <w:rPr>
          <w:rFonts w:ascii="TH Sarabun New" w:hAnsi="TH Sarabun New" w:eastAsia="TH Sarabun New"/>
          <w:b w:val="0"/>
          <w:i/>
          <w:sz w:val="23"/>
        </w:rPr>
        <w:t>อ้างอิงข้อ 1.2 ของสัญญาความร่วมมือฯ — “รายละเอียดขอบเขตงานและคุณสมบัติของระบบให้เป็นไปตามภาคผนวก ก – ขอบเขตงาน (Project Scope) ที่คู่สัญญาอนุมัติร่วมกัน”</w:t>
      </w:r>
    </w:p>
    <w:p>
      <w:pPr>
        <w:spacing w:before="0" w:after="28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3"/>
        </w:rPr>
        <w:t>ฉบับร่างเพื่อพิจารณาร่วมกัน  •  กันยายน 2569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1. บทนำและหลักการออกแบบขอบเขตงาน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ตามสัญญาความร่วมมือฯ โครงการ SMART TAMBON SAFETY THAILAND ระหว่าง ESM และ GOODMEDCARE กำหนดให้ Project IP ที่พัฒนาขึ้นเฉพาะสำหรับโครงการเป็นทรัพย์สินร่วมของทั้งสองฝ่ายในสัดส่วน 50:50 (ข้อ 4.2) ในขณะที่ Background IP หรือเทคโนโลยี/ผลิตภัณฑ์ที่ ESM มีอยู่ก่อนแล้วยังคงเป็นกรรมสิทธิ์ของ ESM แต่เพียงผู้เดียว (ข้อ 4.1)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ESM มีแพลตฟอร์ม Smart Tambon ซึ่งรองรับการบริหารข้อมูลเชิงพื้นที่ การจัดการเหตุการณ์และภัยพิบัติ การประเมินสถานการณ์และทรัพยากร การนำเข้าชุดข้อมูล การติดตามข้อมูลสิ่งแวดล้อม การแจ้งเตือน และการสื่อสารกับประชาชน โดยขอบเขตฉบับนี้จัดทำจากความสามารถที่ปรากฏในระบบปัจจุบัน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ความสามารถพื้นฐานของแพลตฟอร์มและองค์ประกอบที่มีอยู่แล้วถือเป็น Background IP ของ ESM และนำมาใช้ในลักษณะให้สิทธิใช้งานเฉพาะโครงการ (License-to-Project)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งานเชื่อมต่อ การกำหนดค่า หรือการพัฒนาเพิ่มเติมเฉพาะโครงการที่คู่สัญญาอนุมัติร่วมกัน ให้พิจารณาเป็น Project IP ตามข้อ 4.2 โดยต้องระบุเป็นรายการส่งมอบอย่างชัดเจน</w:t>
      </w: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2. โครงสร้างขอบเขตงาน 3 ชั้น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เพื่อแยกความสามารถของแพลตฟอร์มเดิมออกจากงานกำหนดค่า เชื่อมต่อ และพัฒนาเพิ่มเติมเฉพาะโครงการ ขอบเขตงานแบ่งเป็น 3 ชั้น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ชั้น</w:t>
            </w:r>
          </w:p>
        </w:tc>
        <w:tc>
          <w:tcPr>
            <w:tcW w:type="dxa" w:w="2381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ชื่อ</w:t>
            </w:r>
          </w:p>
        </w:tc>
        <w:tc>
          <w:tcPr>
            <w:tcW w:type="dxa" w:w="5783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ลักษณะงาน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Background Platform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ระบบ Smart Tambon ที่ ESM มีอยู่แล้วและนำมาใช้งานในโครงการ โดยไม่ถือเป็นงานพัฒนาใหม่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Configuration, Data &amp; Integration Layer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การตั้งค่าพื้นที่ ผู้ใช้ ชุดข้อมูล ช่องทางสื่อสาร และการเชื่อมต่อแหล่งข้อมูลสำหรับหน่วยงานผู้ใช้งาน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Operational Application Layer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โมดูลปฏิบัติงานที่มีอยู่ในระบบ และงานเพิ่มเติมเฉพาะโครงการที่ได้รับอนุมัติเป็นลายลักษณ์อักษร</w:t>
            </w:r>
          </w:p>
        </w:tc>
      </w:tr>
    </w:tbl>
    <w:p>
      <w:pPr>
        <w:spacing w:after="0"/>
      </w:pP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หลักการสำคัญ: ความสามารถของแพลตฟอร์มที่มีอยู่แล้วเป็น Background IP ส่วน Project IP ให้ครอบคลุมเฉพาะงานเพิ่มเติมเฉพาะโครงการตามที่คู่สัญญาตกลงและตรวจรับ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3. ชั้นที่ 1: Background Platform ที่ ESM มีอยู่แล้ว (ของเดิม — บูรณาการ ไม่พัฒนาใหม่)</w:t>
      </w: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ระบบในชั้นที่ 1 ทั้งหมดถือเป็น Background IP ของ ESM ตามข้อ 4.1 การนำมาใช้ในโครงการไม่ถือเป็นการโอนกรรมสิทธิ์ เว้นแต่มีข้อตกลงเป็นลายลักษณ์อักษรเป็นอย่างอื่น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ระบบ</w:t>
            </w:r>
          </w:p>
        </w:tc>
        <w:tc>
          <w:tcPr>
            <w:tcW w:type="dxa" w:w="3742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3402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บทบาทในโครงการนี้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Smart Tambon Web Platform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เว็บแอปพลิเคชันสำหรับผู้ดูแลและเจ้าหน้าที่ พร้อมระบบบัญชีผู้ใช้ บทบาท สิทธิ์ และการแยกข้อมูลตามองค์กร/พื้นที่รับผิดชอบ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เป็นโครงสร้างหลักของหน้าจอ การยืนยันตัวตน การบริหารผู้ใช้ และการควบคุมการเข้าถึงข้อมูล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GIS &amp; Spatial Data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ฐานข้อมูลเชิงพื้นที่ PostgreSQL/PostGIS แผนที่ ขอบเขตจังหวัด/อำเภอ/ตำบล/หมู่บ้าน จุดสถานที่ และการค้นหาหรือวิเคราะห์ตามพื้นที่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ใช้แสดงข้อมูลบนแผนที่ ระบุตำแหน่งเหตุการณ์ วิเคราะห์พื้นที่ และจำกัดขอบเขตข้อมูลของผู้ใช้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Operational Data Platform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ฐานข้อมูลเชิงสัมพันธ์และฐานข้อมูลแบบยืดหยุ่นสำหรับชุดข้อมูล เหตุการณ์ เซนเซอร์ และเมทาดาทา พร้อมพื้นที่เก็บไฟล์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รองรับการนำเข้า จัดเก็บ เรียกดู ปรับปรุง และติดตามเวอร์ชันข้อมูล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Sensor &amp; External Data Interfaces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ช่องทางรับข้อมูลผ่าน HTTP/MQTT และบริการเชื่อมต่อข้อมูลสภาพอากาศ ฝน PM2.5 ระดับน้ำ และจุดความร้อนตามการตั้งค่า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ใช้สร้างภาพรวมสถานการณ์สิ่งแวดล้อมและข้อมูลประกอบการตัดสินใจ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4. ชั้นที่ 2: Configuration, Data &amp; Integration Layer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4.1 การตั้งค่าองค์กร ผู้ใช้ และพื้นที่รับผิดชอบ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กำหนดข้อมูลองค์กร บัญชีผู้ใช้ บทบาทและสิทธิ์ รวมถึงขอบเขตตำบลหรือพื้นที่ที่ผู้ใช้รับผิดชอบ เพื่อให้ผู้ใช้งานเห็นและจัดการเฉพาะข้อมูลที่ได้รับอนุญาต ระบบรองรับกระบวนการสมัครองค์กร การยืนยันรหัส OTP และการอนุมัติหรือปฏิเสธคำขอโดยผู้ดูแลระบบ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4.2 การนำเข้าและกำกับดูแลชุดข้อมูล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รองรับการนำเข้าชุดข้อมูลจากไฟล์หรือการกรอกข้อมูลด้วยตนเอง มีขั้นตอนตรวจสอบความถูกต้อง แสดงตัวอย่างก่อนบันทึก และยืนยันการนำเข้า พร้อมแม่แบบไฟล์สำหรับข้อมูลแต่ละประเภท ระบบจัดเก็บเวอร์ชัน จุดตรวจสอบ (Checkpoint) ประวัติการเปลี่ยนแปลง การดาวน์โหลด และการกู้คืนเวอร์ชันที่กำหนด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ชุดข้อมูลปฏิบัติงานครอบคลุมข้อมูลหน่วยงาน ทีมปฏิบัติงาน บุคลากร ทรัพยากรและอุปกรณ์ วัสดุสิ้นเปลือง ประชากร สถานที่ และข้อมูลประกอบอื่นตามแบบข้อมูลที่ระบบรองรับ โดยคงความเชื่อมโยงด้วยรหัสอ้างอิงที่กำหนด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ภายใต้ขอบเขตงานพัฒนาเพิ่มเติม ระบบจะรองรับการนำเข้าเอกสาร PDF โดยใช้ AI วิเคราะห์โครงสร้าง ตาราง และข้อความในเอกสาร เพื่อเสนอการจับคู่คอลัมน์หรือเขตข้อมูลจากเอกสารต้นทางกับแบบข้อมูลมาตรฐานของระบบ ก่อนเข้าสู่ขั้นตอนตรวจสอบและยืนยันโดยผู้ใช้งาน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4.3 การบูรณาการข้อมูลเชิงพื้นที่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เชื่อมโยงระเบียนกับพิกัดและขอบเขตพื้นที่ รองรับการค้นหาตำบล การระบุตำแหน่งจากแผนที่ การแปลงพิกัดเป็นที่อยู่โดยประมาณ และการเชื่อมขอบเขตหมู่บ้านกับข้อมูลประชากร เพื่อใช้ร่วมกับหน้าแผนที่เมืองและการวิเคราะห์พื้นที่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4.4 การเชื่อมต่อข้อมูลภายนอกและเซนเซอร์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รองรับการดึงหรือรับข้อมูลจากผู้ให้บริการภายนอกและอุปกรณ์ที่กำหนด ได้แก่ ข้อมูลสภาพอากาศ ปริมาณฝน PM2.5 ระดับน้ำ สถานีตรวจวัด และจุดความร้อน รวมถึงการรับค่าจากเซนเซอร์ผ่าน HTTP หรือ MQTT ทั้งนี้ความต่อเนื่องและความถี่ของข้อมูลขึ้นอยู่กับการตั้งค่า สิทธิ์การใช้งาน และความพร้อมของบริการต้นทาง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4.5 ช่องทางแจ้งเตือนและการสื่อสาร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กำหนดช่องทางและแม่แบบข้อความสำหรับการแจ้งเตือน พร้อมหน้าทดสอบการส่ง โดยระบบรองรับช่องทางที่ตั้งค่าไว้ เช่น LINE, Telegram, Signal, SMS หรือ Webhook ตามผู้ให้บริการและข้อมูลรับรองที่หน่วยงานจัดเตรียม</w:t>
      </w: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งานในชั้นที่ 2 ที่เป็นเพียงการตั้งค่าหรือเชื่อมต่อความสามารถเดิมยังคงเป็น Background IP ส่วนตัวเชื่อมต่อหรือส่วนขยายใหม่เฉพาะโครงการให้จำแนกตามรายการพัฒนาและข้อ 4.2 ของสัญญา</w:t>
      </w: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5. ชั้นที่ 3: Operational Application Layer (ความสามารถใช้งานจริงของระบบ)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5.1 ภาพรวมเมืองและข้อมูลสถานการณ์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แสดงภาพรวมข้อมูลสำคัญของพื้นที่ ได้แก่ สถานะเหตุการณ์และภัยพิบัติ ข้อมูลประชากร โครงการและกิจกรรม ข้อมูลสภาพอากาศ PM2.5 ปริมาณฝน ระดับน้ำ และข้อมูลประกอบอื่นที่มีการตั้งค่าไว้ พร้อมแผนที่สำหรับดูตำแหน่งและชั้นข้อมูล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5.2 การรับแจ้งและบริหารเหตุการณ์ทั่วไป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รองรับการรับแจ้งเหตุจากเจ้าหน้าที่และลิงก์สาธารณะ การแนบภาพ ระบุตำแหน่งและที่อยู่โดยประมาณ การจัดสถานะรอรับเรื่อง กำลังดำเนินการ และเสร็จสิ้น การบันทึกความคืบหน้า การแจ้งเตือนเหตุใหม่ และการติดตามสถานะด้วยรหัสหรือลิงก์สำหรับผู้แจ้ง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5.3 การจัดการภัยพิบัติและการประเมินสถานการณ์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สามารถยกระดับเหตุการณ์ทั่วไปเป็นภัยพิบัติ บันทึกการประเมิน คำนวณความต้องการทรัพยากรตามกฎที่กำหนด จัดทำแผนตอบสนองหลายเวอร์ชัน เลือกแผนที่ใช้งาน และติดตามประวัติการดำเนินงาน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5.4 การบริหารทรัพยากรสำหรับการปฏิบัติงาน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บริหารข้อมูลหน่วยงาน ทีม บุคลากร อุปกรณ์ และวัสดุสิ้นเปลือง พร้อมกำหนดผู้รับผิดชอบ เชื่อมโยงทรัพยากรกับเหตุการณ์ บันทึกการใช้ทรัพยากร การเคลื่อนไหวและคงเหลือของวัสดุ เพื่อสนับสนุนการจัดสรรกำลังและสิ่งของ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5.5 การติดตามสิ่งแวดล้อมและจุดเฝ้าระวัง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แสดงข้อมูลสภาพอากาศ ฝน PM2.5 ระดับน้ำ สถานีตรวจวัด และจุดความร้อนบนหน้าภาพรวมและแผนที่ โดยรองรับข้อมูลล่าสุดและประวัติการอ่านค่าจากเซนเซอร์ที่เชื่อมต่อ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5.6 การบริหารโครงการ กิจกรรม สถานที่ และกล้อง CCTV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จัดเก็บและแสดงโครงการ งบประมาณ ภาพถ่าย กิจกรรม ประกาศ จุดสถานที่สำคัญ และทะเบียนกล้อง CCTV/ลิงก์สตรีมบนแผนที่ เพื่อให้เจ้าหน้าที่ใช้เป็นข้อมูลประกอบการปฏิบัติงาน ทั้งนี้ระบบไม่ได้รวมความสามารถวิเคราะห์ภาพด้วย AI เว้นแต่มีการเชื่อมต่อเพิ่มเติม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5.7 ผู้ช่วยข้อมูลและการกระจายข่าว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รองรับผู้ช่วย AI ผ่านผู้ให้บริการที่ตั้งค่าไว้สำหรับสนทนา ค้นและสรุปข้อมูลที่ระบบอนุญาต รวมถึงการจัดเก็บชุดคำสั่งใช้งานซ้ำ และรองรับการสร้างรายการกระจายข่าว เนื้อหา ภาพหรือเสียงสังเคราะห์ การกำหนดรอบเวลา และการเผยแพร่ผ่านช่องทางที่เชื่อมต่อ ทั้งนี้ผลลัพธ์จาก AI ต้องได้รับการตรวจสอบโดยผู้ใช้งานก่อนนำไปใช้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5.8 AI ช่วยนำเข้าข้อมูลจากเอกสาร PDF (งานพัฒนาเพิ่มเติม)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พัฒนาความสามารถในการรับไฟล์ PDF ที่มีข้อความหรือตาราง อ่านและแยกข้อมูลจากเอกสารด้วย AI และเสนอการจับคู่ชื่อคอลัมน์จากเอกสารกับเขตข้อมูลมาตรฐานของชุดข้อมูลที่ผู้ใช้เลือก ระบบต้องแสดงข้อมูลตัวอย่าง ค่าความเชื่อมั่น หรือรายการที่ไม่สามารถจับคู่ได้ เพื่อให้ผู้ใช้แก้ไขการจับคู่ ตรวจสอบข้อมูล และยืนยันก่อนบันทึกจริง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กระบวนการดังกล่าวต้องไม่บันทึกข้อมูลเข้าสู่ชุดข้อมูลหลักโดยอัตโนมัติก่อนการยืนยันของผู้ใช้ และต้องรายงานแถวหรือค่าที่อ่านไม่ได้ ข้อมูลไม่ครบ รูปแบบไม่ถูกต้อง หรืออาจซ้ำกับข้อมูลเดิม ทั้งนี้ความแม่นยำขึ้นอยู่กับคุณภาพไฟล์ รูปแบบตาราง ภาษา และความชัดเจนของเอกสารต้นทาง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6. ขอบเขตด้าน Platform / Infrastructure Integration</w:t>
      </w: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ขอบเขตนี้ครอบคลุมการตั้งค่าซอฟต์แวร์และการเชื่อมต่อระบบตามสภาพแวดล้อมที่ตกลงกัน ไม่รวมการจัดซื้อ Hardware หรือค่าบริการของผู้ให้บริการภายนอก เว้นแต่ระบุใน BOQ หรือเอกสารแนบท้ายสัญญา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เสาหลัก</w:t>
            </w:r>
          </w:p>
        </w:tc>
        <w:tc>
          <w:tcPr>
            <w:tcW w:type="dxa" w:w="226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สถานะ</w:t>
            </w:r>
          </w:p>
        </w:tc>
        <w:tc>
          <w:tcPr>
            <w:tcW w:type="dxa" w:w="4706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รายละเอียดขอบเขตงาน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เว็บบริหารจัดการและแผนที่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กำหนดค่า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ตั้งค่าองค์กร ผู้ใช้ สิทธิ์ พื้นที่รับผิดชอบ แผนที่ ชั้นข้อมูล และหน้าแสดงผลสำหรับหน่วยงาน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ฐานข้อมูลและพื้นที่เก็บไฟล์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ติดตั้ง/เชื่อมต่อ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ใช้งาน PostgreSQL/PostGIS, MongoDB และพื้นที่เก็บไฟล์ที่รองรับ S3/MinIO ตามสถาปัตยกรรมระบบ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API / Sensor Gateway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เชื่อมต่อ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รับข้อมูลผ่าน API และ MQTT สำหรับเซนเซอร์และแหล่งข้อมูลที่รองรับ พร้อมการตรวจสอบสิทธิ์และรูปแบบข้อมูล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ช่องทางแจ้งเตือนและกระจายข่าว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ตั้งค่าผู้ให้บริการ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ตั้งค่าช่องทาง แม่แบบข้อความ การทดสอบ และการเผยแพร่ตามข้อมูลรับรองของหน่วยงาน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ทะเบียน CCTV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นำเข้าข้อมูล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จัดเก็บตำแหน่ง รายละเอียด และลิงก์สตรีมของกล้อง ไม่รวมการจัดหากล้องหรือระบบ AI วิเคราะห์ภาพ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7. ขอบเขตที่ไม่รวมอยู่ในงานนี้ (Out of Scope)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การจัดซื้อหรือติดตั้ง Hardware เพิ่มเติม เช่น กล้อง เซนเซอร์ เครื่องแม่ข่าย จอภาพ อุปกรณ์เครือข่าย หรือระบบเสียงตามสาย เว้นแต่มี BOQ แยกต่างหาก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ระบบวิเคราะห์ภาพด้วย AI/ANPR การเชื่อมต่อ 1669 แอปพลิเคชันมือถือหรือปุ่ม SOS, Citizen Digital ID, SSO และ Smart Signage ซึ่งยังไม่ใช่ความสามารถมาตรฐานของระบบปัจจุบัน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ค่าใช้บริการ Cloud, Internet, SMS, LINE หรือ API/ข้อมูลของผู้ให้บริการภายนอก รวมถึงข้อจำกัดหรือการเปลี่ยนแปลงนโยบายของบริการดังกล่าว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การพัฒนาฟังก์ชันใหม่ การเชื่อมต่อระบบอื่น หรือการปรับแต่งนอกเหนือจากรายการส่งมอบที่อนุมัติ ต้องดำเนินการผ่าน Change Request และประเมินระยะเวลา/ค่าใช้จ่ายก่อนดำเนินการ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การเจรจาธุรกิจ การตลาด การประมูลงานภาครัฐ และการประสานงานลูกค้า ซึ่งเป็นหน้าที่ของ GOODMEDCARE ตามข้อ 3 ของสัญญา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8. แผนดำเนินงาน (อ้างอิงแผนดำเนินงานในภาคผนวก 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09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ระยะเวลา</w:t>
            </w:r>
          </w:p>
        </w:tc>
        <w:tc>
          <w:tcPr>
            <w:tcW w:type="dxa" w:w="4876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เนื้อหางานหลัก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1 Requirement &amp; Area Setup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[ระยะเวลาที่ตกลงร่วมกัน]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ยืนยันพื้นที่ ผู้ใช้ ชุดข้อมูล ช่องทางสื่อสาร การเชื่อมต่อ และเกณฑ์ตรวจรับ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2 Configuration, Data &amp; AI Import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[ระยะเวลาที่ตกลงร่วมกัน]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ติดตั้ง/ตั้งค่าระบบ นำเข้าข้อมูล ตั้งค่าสิทธิ์ แผนที่ กฎทรัพยากร การเชื่อมต่อที่อนุมัติ และพัฒนา AI สำหรับอ่าน PDF/เสนอการจับคู่คอลัมน์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3 Pilot, UAT &amp; Training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6 เดือน (ตามภาคผนวก ก)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ทดลองใช้งานกับ อบต. นำร่อง ทดสอบตามกรณีใช้งาน แก้ไขข้อบกพร่อง และอบรมผู้ดูแล/เจ้าหน้าที่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4 Go-live &amp; Support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ต่อเนื่องตามข้อตกลง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เปิดใช้งานจริง สนับสนุนการใช้งาน ติดตามปัญหา และจัดทำแผนขยายผล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9. เกณฑ์การตรวจรับงาน (Acceptance Criteria)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ผู้ใช้เข้าสู่ระบบและเข้าถึงข้อมูลตามบทบาท องค์กร และพื้นที่รับผิดชอบที่กำหนด โดยไม่สามารถเข้าถึงข้อมูลส่วนบุคคลของพื้นที่อื่นที่ไม่ได้รับอนุญาต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ระบบนำเข้าชุดข้อมูลที่อยู่ในขอบเขตได้ โดยตรวจสอบ แสดงตัวอย่าง บันทึกเวอร์ชัน ดาวน์โหลด และกู้คืนข้อมูลตามสิทธิ์ของผู้ใช้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การนำเข้า PDF ด้วย AI สามารถอ่านข้อมูลตัวอย่างและเสนอการจับคู่คอลัมน์กับเขตข้อมูลเป้าหมาย แสดงรายการที่จับคู่ไม่ได้หรือข้อมูลผิดรูปแบบ และให้ผู้ใช้แก้ไข/ยืนยันก่อนบันทึก โดยทดสอบกับชุดเอกสารตัวอย่างที่คู่สัญญาอนุมัติร่วมกัน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หน้าแผนที่แสดงขอบเขตพื้นที่ จุดสถานที่ เหตุการณ์ โครงการ กล้อง และชั้นข้อมูลที่มีข้อมูลพร้อมใช้งาน รวมถึงค้นหาและระบุตำแหน่งได้ตามกรณีทดสอบ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กระบวนการเหตุการณ์ทั่วไปและภัยพิบัติทำงานครบตั้งแต่รับแจ้ง เปลี่ยนสถานะ บันทึกความคืบหน้า ประเมินสถานการณ์ จัดทำ/เลือกแผน และติดตามผล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ข้อมูลหน่วยงาน ทีม บุคลากร อุปกรณ์ และวัสดุสิ้นเปลืองเชื่อมโยงและเลือกใช้งานในรายการที่เกี่ยวข้องได้ตามรหัสอ้างอิง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ข้อมูลสภาพอากาศและสิ่งแวดล้อมแสดงผลได้เมื่อบริการต้นทางและข้อมูลรับรองพร้อมใช้งาน และแสดงสถานะที่เข้าใจได้เมื่อแหล่งข้อมูลไม่พร้อม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ช่องทางแจ้งเตือน/กระจายข่าวที่อยู่ในรายการส่งมอบผ่านการทดสอบด้วยบัญชีและข้อมูลรับรองของหน่วยงา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รายละเอียดกรณีทดสอบ ชุดข้อมูลตัวอย่าง ระยะเวลาตอบสนอง และผู้มีอำนาจลงนามตรวจรับ ให้จัดทำเป็นเอกสารแนบท้ายก่อนเริ่ม UAT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10. ตารางสรุปการแบ่งประเภททรัพย์สินทางปัญญา (IP Classification Summary)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ตารางนี้จัดทำขึ้นเพื่อสนับสนุนการจัดทำรายการทรัพย์สินทางปัญญา (IP Register) ที่คู่สัญญาจะจัดทำร่วมกันตามข้อ 4 ของสัญญาความร่วมมือฯ และไม่เปลี่ยนแปลงสิทธิหรือหน้าที่ตามสัญญาหลัก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855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รายการงาน</w:t>
            </w:r>
          </w:p>
        </w:tc>
        <w:tc>
          <w:tcPr>
            <w:tcW w:type="dxa" w:w="1247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ชั้น</w:t>
            </w:r>
          </w:p>
        </w:tc>
        <w:tc>
          <w:tcPr>
            <w:tcW w:type="dxa" w:w="2154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ประเภท IP</w:t>
            </w:r>
          </w:p>
        </w:tc>
        <w:tc>
          <w:tcPr>
            <w:tcW w:type="dxa" w:w="2381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สัดส่วนกรรมสิทธิ์</w:t>
            </w:r>
          </w:p>
        </w:tc>
      </w:tr>
      <w:tr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Smart Tambon Web Platform, ระบบผู้ใช้/สิทธิ์, GIS, โครงสร้างข้อมูล, ระบบนำเข้า, เหตุการณ์และภัยพิบัติ, ทรัพยากร, สิ่งแวดล้อม, การแจ้งเตือน, AI Assistant และระบบกระจายข่าวที่มีอยู่แล้ว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1 และความสามารถมาตรฐาน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Background IP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ESM 100%</w:t>
            </w:r>
          </w:p>
        </w:tc>
      </w:tr>
      <w:tr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การตั้งค่าองค์กร พื้นที่ ชุดข้อมูล แม่แบบ การเชื่อมต่อ และการติดตั้งที่ใช้ความสามารถมาตรฐานของระบบ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2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Background IP / ข้อมูลของลูกค้าตามสัญญา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ตามกรรมสิทธิ์เดิมของแต่ละส่วน</w:t>
            </w:r>
          </w:p>
        </w:tc>
      </w:tr>
      <w:tr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ซอฟต์แวร์ ตัวเชื่อมต่อ หรือโมดูลที่พัฒนาขึ้นใหม่เฉพาะโครงการ รวมถึง AI สำหรับอ่าน PDF และเสนอการจับคู่คอลัมน์ ซึ่งได้รับอนุมัติเป็นรายการส่งมอบ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2–3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Project IP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ESM 50% / GOODMEDCARE 50% ตามข้อ 4.2</w:t>
            </w:r>
          </w:p>
        </w:tc>
      </w:tr>
    </w:tbl>
    <w:p>
      <w:pPr>
        <w:spacing w:after="0"/>
      </w:pP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ข้อมูลที่หน่วยงานนำเข้าสู่ระบบยังคงเป็นข้อมูลของหน่วยงานหรือเจ้าของข้อมูลตามกฎหมายและข้อตกลงที่เกี่ยวข้อง ไม่ถือเป็นการโอนกรรมสิทธิ์ในข้อมูลให้แก่คู่สัญญา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11. หมายเหตุปิดท้าย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ขอบเขตงานฉบับนี้ปรับปรุงให้สอดคล้องกับความสามารถที่ตรวจสอบได้จากระบบ SMART TAMBON SAFETY THAILAND ในปัจจุบัน โดยแยกความสามารถมาตรฐานของแพลตฟอร์ม งานกำหนดค่า/เชื่อมต่อ และงานพัฒนาเพิ่มเติมเฉพาะโครงการออกจากกันอย่างชัดเจน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รายละเอียดระยะเวลา งบประมาณ สภาพแวดล้อมติดตั้ง แหล่งข้อมูลภายนอก บัญชีผู้ให้บริการ และเกณฑ์ตรวจรับรายกรณี ให้คู่สัญญาจัดทำเป็นเอกสารแนบท้ายและลงนามอนุมัติก่อนเริ่มดำเนินงาน ทั้งนี้ให้ยึดข้อกำหนดในสัญญาความร่วมมือฯ เป็นหลักหากข้อความในเอกสารนี้ขัดหรือแย้งกับสัญญา</w:t>
      </w:r>
    </w:p>
    <w:p>
      <w:pPr>
        <w:spacing w:before="480" w:after="140" w:line="276" w:lineRule="auto"/>
      </w:pPr>
      <w:r>
        <w:rPr>
          <w:rFonts w:ascii="TH Sarabun New" w:hAnsi="TH Sarabun New" w:eastAsia="TH Sarabun New"/>
          <w:b w:val="0"/>
          <w:i w:val="0"/>
        </w:rPr>
        <w:t>ลงชื่อ __________________________________ ESM</w:t>
      </w:r>
    </w:p>
    <w:p>
      <w:pPr>
        <w:spacing w:before="0" w:after="360" w:line="276" w:lineRule="auto"/>
      </w:pPr>
      <w:r>
        <w:rPr>
          <w:rFonts w:ascii="TH Sarabun New" w:hAnsi="TH Sarabun New" w:eastAsia="TH Sarabun New"/>
          <w:b w:val="0"/>
          <w:i w:val="0"/>
        </w:rPr>
        <w:t>( นายศุภศักดิ์ กุลงค์อนันชัย )   ตำแหน่ง กรรมการผู้จัดการ</w:t>
      </w:r>
    </w:p>
    <w:p>
      <w:pPr>
        <w:spacing w:before="360" w:after="140" w:line="276" w:lineRule="auto"/>
      </w:pPr>
      <w:r>
        <w:rPr>
          <w:rFonts w:ascii="TH Sarabun New" w:hAnsi="TH Sarabun New" w:eastAsia="TH Sarabun New"/>
          <w:b w:val="0"/>
          <w:i w:val="0"/>
        </w:rPr>
        <w:t>ลงชื่อ __________________________________ GOODMEDCARE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( นางสาววิมนามย์ สุภาผล )   ตำแหน่ง กรรมการผู้จัดการ</w:t>
      </w:r>
    </w:p>
    <w:sectPr w:rsidR="006B6F1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89D3" w14:textId="77777777" w:rsidR="00004332" w:rsidRDefault="00004332">
      <w:r>
        <w:separator/>
      </w:r>
    </w:p>
  </w:endnote>
  <w:endnote w:type="continuationSeparator" w:id="0">
    <w:p w14:paraId="52ED9E71" w14:textId="77777777" w:rsidR="00004332" w:rsidRDefault="0000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B275" w14:textId="77777777" w:rsidR="006B6F1F" w:rsidRDefault="00000000">
    <w:pPr>
      <w:jc w:val="center"/>
    </w:pPr>
    <w:proofErr w:type="spellStart"/>
    <w:r>
      <w:rPr>
        <w:sz w:val="22"/>
        <w:szCs w:val="22"/>
      </w:rPr>
      <w:t>หน้า</w:t>
    </w:r>
    <w:proofErr w:type="spellEnd"/>
    <w:r>
      <w:rPr>
        <w:sz w:val="22"/>
        <w:szCs w:val="22"/>
      </w:rPr>
      <w:t xml:space="preserve">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058B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/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A058B7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B29E" w14:textId="77777777" w:rsidR="00004332" w:rsidRDefault="00004332">
      <w:r>
        <w:separator/>
      </w:r>
    </w:p>
  </w:footnote>
  <w:footnote w:type="continuationSeparator" w:id="0">
    <w:p w14:paraId="19DA7724" w14:textId="77777777" w:rsidR="00004332" w:rsidRDefault="00004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7481D"/>
    <w:multiLevelType w:val="hybridMultilevel"/>
    <w:tmpl w:val="E56C2680"/>
    <w:lvl w:ilvl="0" w:tplc="54A6EB62">
      <w:start w:val="1"/>
      <w:numFmt w:val="bullet"/>
      <w:lvlText w:val="●"/>
      <w:lvlJc w:val="left"/>
      <w:pPr>
        <w:ind w:left="720" w:hanging="360"/>
      </w:pPr>
    </w:lvl>
    <w:lvl w:ilvl="1" w:tplc="B060F264">
      <w:start w:val="1"/>
      <w:numFmt w:val="bullet"/>
      <w:lvlText w:val="○"/>
      <w:lvlJc w:val="left"/>
      <w:pPr>
        <w:ind w:left="1440" w:hanging="360"/>
      </w:pPr>
    </w:lvl>
    <w:lvl w:ilvl="2" w:tplc="A860094C">
      <w:start w:val="1"/>
      <w:numFmt w:val="bullet"/>
      <w:lvlText w:val="■"/>
      <w:lvlJc w:val="left"/>
      <w:pPr>
        <w:ind w:left="2160" w:hanging="360"/>
      </w:pPr>
    </w:lvl>
    <w:lvl w:ilvl="3" w:tplc="22C2BEB2">
      <w:start w:val="1"/>
      <w:numFmt w:val="bullet"/>
      <w:lvlText w:val="●"/>
      <w:lvlJc w:val="left"/>
      <w:pPr>
        <w:ind w:left="2880" w:hanging="360"/>
      </w:pPr>
    </w:lvl>
    <w:lvl w:ilvl="4" w:tplc="6A1C3E5A">
      <w:start w:val="1"/>
      <w:numFmt w:val="bullet"/>
      <w:lvlText w:val="○"/>
      <w:lvlJc w:val="left"/>
      <w:pPr>
        <w:ind w:left="3600" w:hanging="360"/>
      </w:pPr>
    </w:lvl>
    <w:lvl w:ilvl="5" w:tplc="86E44434">
      <w:start w:val="1"/>
      <w:numFmt w:val="bullet"/>
      <w:lvlText w:val="■"/>
      <w:lvlJc w:val="left"/>
      <w:pPr>
        <w:ind w:left="4320" w:hanging="360"/>
      </w:pPr>
    </w:lvl>
    <w:lvl w:ilvl="6" w:tplc="00F61A84">
      <w:start w:val="1"/>
      <w:numFmt w:val="bullet"/>
      <w:lvlText w:val="●"/>
      <w:lvlJc w:val="left"/>
      <w:pPr>
        <w:ind w:left="5040" w:hanging="360"/>
      </w:pPr>
    </w:lvl>
    <w:lvl w:ilvl="7" w:tplc="834C708C">
      <w:start w:val="1"/>
      <w:numFmt w:val="bullet"/>
      <w:lvlText w:val="●"/>
      <w:lvlJc w:val="left"/>
      <w:pPr>
        <w:ind w:left="5760" w:hanging="360"/>
      </w:pPr>
    </w:lvl>
    <w:lvl w:ilvl="8" w:tplc="3E92E6EE">
      <w:start w:val="1"/>
      <w:numFmt w:val="bullet"/>
      <w:lvlText w:val="●"/>
      <w:lvlJc w:val="left"/>
      <w:pPr>
        <w:ind w:left="6480" w:hanging="360"/>
      </w:pPr>
    </w:lvl>
  </w:abstractNum>
  <w:num w:numId="1" w16cid:durableId="94330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F1F"/>
    <w:rsid w:val="00004332"/>
    <w:rsid w:val="003D44B9"/>
    <w:rsid w:val="006B6F1F"/>
    <w:rsid w:val="00A058B7"/>
    <w:rsid w:val="00AA6ABB"/>
    <w:rsid w:val="00CA2BB2"/>
    <w:rsid w:val="00CA3AF5"/>
    <w:rsid w:val="00DF0261"/>
    <w:rsid w:val="00E36AED"/>
    <w:rsid w:val="00E9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31F1"/>
  <w15:docId w15:val="{F792A5EF-2631-472E-9417-030897BF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 New" w:hAnsi="TH Sarabun New" w:eastAsia="TH Sarabun New"/>
      <w:sz w:val="26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ขอบเขตงาน SMART TAMBON SAFETY (ภาคผนวก ก)</vt:lpstr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ขอบเขตงาน SMART TAMBON SAFETY (ภาคผนวก ก)</dc:title>
  <dc:creator>ESM Solution</dc:creator>
  <cp:lastModifiedBy>Nuttanicha KAEOPHOLSRI</cp:lastModifiedBy>
  <cp:revision>2</cp:revision>
  <dcterms:created xsi:type="dcterms:W3CDTF">2026-09-13T09:05:00Z</dcterms:created>
  <dcterms:modified xsi:type="dcterms:W3CDTF">2026-09-13T09:05:00Z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2f4342ea-32ed-4259-bbf0-ce8c6b1c66f6</vt:lpwstr>
  </property>
</Properties>
</file>