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EA6D7" w14:textId="5895EA11" w:rsidR="00D139D5" w:rsidRDefault="00E66559">
      <w:pPr>
        <w:pStyle w:val="berschrift1"/>
      </w:pPr>
      <w:r>
        <w:t xml:space="preserve">Richtlinie für mobile </w:t>
      </w:r>
      <w:r w:rsidR="00481679">
        <w:t>Datenträger</w:t>
      </w:r>
    </w:p>
    <w:p w14:paraId="0A8352C3" w14:textId="77777777" w:rsidR="00D139D5" w:rsidRDefault="005870B9" w:rsidP="00347443">
      <w:pPr>
        <w:pStyle w:val="berschrift2"/>
        <w:numPr>
          <w:ilvl w:val="0"/>
          <w:numId w:val="0"/>
        </w:numPr>
      </w:pPr>
      <w:r>
        <w:t>Versionshistorie</w:t>
      </w:r>
    </w:p>
    <w:tbl>
      <w:tblPr>
        <w:tblStyle w:val="TableNormal"/>
        <w:tblW w:w="87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98"/>
        <w:gridCol w:w="1518"/>
        <w:gridCol w:w="3803"/>
        <w:gridCol w:w="2295"/>
      </w:tblGrid>
      <w:tr w:rsidR="00D139D5" w14:paraId="63E5EA66" w14:textId="77777777">
        <w:trPr>
          <w:trHeight w:val="253"/>
        </w:trPr>
        <w:tc>
          <w:tcPr>
            <w:tcW w:w="1098" w:type="dxa"/>
            <w:tcBorders>
              <w:top w:val="single" w:sz="8" w:space="0" w:color="C2D69B"/>
              <w:left w:val="nil"/>
              <w:bottom w:val="nil"/>
              <w:right w:val="nil"/>
            </w:tcBorders>
            <w:shd w:val="clear" w:color="auto" w:fill="auto"/>
            <w:tcMar>
              <w:top w:w="80" w:type="dxa"/>
              <w:left w:w="80" w:type="dxa"/>
              <w:bottom w:w="80" w:type="dxa"/>
              <w:right w:w="80" w:type="dxa"/>
            </w:tcMar>
          </w:tcPr>
          <w:p w14:paraId="6B0AAF58" w14:textId="77777777" w:rsidR="00D139D5" w:rsidRDefault="005870B9">
            <w:pPr>
              <w:widowControl w:val="0"/>
              <w:tabs>
                <w:tab w:val="left" w:pos="709"/>
              </w:tabs>
              <w:jc w:val="center"/>
            </w:pPr>
            <w:r>
              <w:rPr>
                <w:rFonts w:ascii="Arial" w:hAnsi="Arial"/>
                <w:u w:color="000000"/>
              </w:rPr>
              <w:t>Version</w:t>
            </w:r>
          </w:p>
        </w:tc>
        <w:tc>
          <w:tcPr>
            <w:tcW w:w="1518" w:type="dxa"/>
            <w:tcBorders>
              <w:top w:val="single" w:sz="8" w:space="0" w:color="C2D69B"/>
              <w:left w:val="nil"/>
              <w:bottom w:val="nil"/>
              <w:right w:val="nil"/>
            </w:tcBorders>
            <w:shd w:val="clear" w:color="auto" w:fill="auto"/>
            <w:tcMar>
              <w:top w:w="80" w:type="dxa"/>
              <w:left w:w="80" w:type="dxa"/>
              <w:bottom w:w="80" w:type="dxa"/>
              <w:right w:w="80" w:type="dxa"/>
            </w:tcMar>
          </w:tcPr>
          <w:p w14:paraId="13F5BF21" w14:textId="77777777" w:rsidR="00D139D5" w:rsidRDefault="005870B9">
            <w:pPr>
              <w:widowControl w:val="0"/>
              <w:tabs>
                <w:tab w:val="left" w:pos="709"/>
                <w:tab w:val="left" w:pos="1418"/>
              </w:tabs>
              <w:jc w:val="center"/>
            </w:pPr>
            <w:r>
              <w:rPr>
                <w:rFonts w:ascii="Arial" w:hAnsi="Arial"/>
                <w:u w:color="000000"/>
              </w:rPr>
              <w:t>Datum</w:t>
            </w:r>
          </w:p>
        </w:tc>
        <w:tc>
          <w:tcPr>
            <w:tcW w:w="3803" w:type="dxa"/>
            <w:tcBorders>
              <w:top w:val="single" w:sz="8" w:space="0" w:color="C2D69B"/>
              <w:left w:val="nil"/>
              <w:bottom w:val="nil"/>
              <w:right w:val="nil"/>
            </w:tcBorders>
            <w:shd w:val="clear" w:color="auto" w:fill="auto"/>
            <w:tcMar>
              <w:top w:w="80" w:type="dxa"/>
              <w:left w:w="80" w:type="dxa"/>
              <w:bottom w:w="80" w:type="dxa"/>
              <w:right w:w="80" w:type="dxa"/>
            </w:tcMar>
          </w:tcPr>
          <w:p w14:paraId="55B207B7" w14:textId="77777777" w:rsidR="00D139D5" w:rsidRDefault="005870B9">
            <w:pPr>
              <w:widowControl w:val="0"/>
              <w:tabs>
                <w:tab w:val="left" w:pos="709"/>
                <w:tab w:val="left" w:pos="1418"/>
                <w:tab w:val="left" w:pos="2127"/>
                <w:tab w:val="left" w:pos="2836"/>
                <w:tab w:val="left" w:pos="3545"/>
              </w:tabs>
              <w:jc w:val="center"/>
            </w:pPr>
            <w:r>
              <w:rPr>
                <w:rFonts w:ascii="Arial" w:hAnsi="Arial"/>
                <w:u w:color="000000"/>
              </w:rPr>
              <w:t>Anmerkungen</w:t>
            </w:r>
          </w:p>
        </w:tc>
        <w:tc>
          <w:tcPr>
            <w:tcW w:w="2295" w:type="dxa"/>
            <w:tcBorders>
              <w:top w:val="single" w:sz="8" w:space="0" w:color="C2D69B"/>
              <w:left w:val="nil"/>
              <w:bottom w:val="nil"/>
              <w:right w:val="nil"/>
            </w:tcBorders>
            <w:shd w:val="clear" w:color="auto" w:fill="auto"/>
            <w:tcMar>
              <w:top w:w="80" w:type="dxa"/>
              <w:left w:w="80" w:type="dxa"/>
              <w:bottom w:w="80" w:type="dxa"/>
              <w:right w:w="80" w:type="dxa"/>
            </w:tcMar>
          </w:tcPr>
          <w:p w14:paraId="29DED032" w14:textId="77777777" w:rsidR="00D139D5" w:rsidRDefault="005870B9">
            <w:pPr>
              <w:widowControl w:val="0"/>
              <w:tabs>
                <w:tab w:val="left" w:pos="709"/>
                <w:tab w:val="left" w:pos="1418"/>
                <w:tab w:val="left" w:pos="2127"/>
              </w:tabs>
              <w:jc w:val="center"/>
            </w:pPr>
            <w:r>
              <w:rPr>
                <w:rFonts w:ascii="Arial" w:hAnsi="Arial"/>
                <w:u w:color="000000"/>
              </w:rPr>
              <w:t>Autor</w:t>
            </w:r>
          </w:p>
        </w:tc>
      </w:tr>
      <w:tr w:rsidR="00D139D5" w14:paraId="2E0AD6F0" w14:textId="77777777">
        <w:trPr>
          <w:trHeight w:val="253"/>
        </w:trPr>
        <w:tc>
          <w:tcPr>
            <w:tcW w:w="1098" w:type="dxa"/>
            <w:tcBorders>
              <w:top w:val="nil"/>
              <w:left w:val="nil"/>
              <w:bottom w:val="nil"/>
              <w:right w:val="nil"/>
            </w:tcBorders>
            <w:shd w:val="clear" w:color="auto" w:fill="D3DFEE"/>
            <w:tcMar>
              <w:top w:w="80" w:type="dxa"/>
              <w:left w:w="80" w:type="dxa"/>
              <w:bottom w:w="80" w:type="dxa"/>
              <w:right w:w="80" w:type="dxa"/>
            </w:tcMar>
          </w:tcPr>
          <w:p w14:paraId="065E3BE7" w14:textId="77777777" w:rsidR="00D139D5" w:rsidRPr="00414BB3" w:rsidRDefault="005870B9">
            <w:pPr>
              <w:widowControl w:val="0"/>
              <w:tabs>
                <w:tab w:val="left" w:pos="709"/>
              </w:tabs>
              <w:rPr>
                <w:sz w:val="20"/>
                <w:szCs w:val="20"/>
              </w:rPr>
            </w:pPr>
            <w:r w:rsidRPr="00414BB3">
              <w:rPr>
                <w:rFonts w:ascii="Arial" w:hAnsi="Arial"/>
                <w:sz w:val="20"/>
                <w:szCs w:val="20"/>
                <w:u w:color="000000"/>
              </w:rPr>
              <w:t>1.0</w:t>
            </w:r>
          </w:p>
        </w:tc>
        <w:tc>
          <w:tcPr>
            <w:tcW w:w="1518" w:type="dxa"/>
            <w:tcBorders>
              <w:top w:val="nil"/>
              <w:left w:val="nil"/>
              <w:bottom w:val="nil"/>
              <w:right w:val="nil"/>
            </w:tcBorders>
            <w:shd w:val="clear" w:color="auto" w:fill="D3DFEE"/>
            <w:tcMar>
              <w:top w:w="80" w:type="dxa"/>
              <w:left w:w="80" w:type="dxa"/>
              <w:bottom w:w="80" w:type="dxa"/>
              <w:right w:w="80" w:type="dxa"/>
            </w:tcMar>
          </w:tcPr>
          <w:p w14:paraId="682CAF28" w14:textId="0FB1B4CD" w:rsidR="00D139D5" w:rsidRPr="00414BB3" w:rsidRDefault="00414BB3" w:rsidP="00414BB3">
            <w:pPr>
              <w:widowControl w:val="0"/>
              <w:tabs>
                <w:tab w:val="left" w:pos="709"/>
                <w:tab w:val="left" w:pos="1418"/>
              </w:tabs>
              <w:rPr>
                <w:sz w:val="20"/>
                <w:szCs w:val="20"/>
              </w:rPr>
            </w:pPr>
            <w:r w:rsidRPr="00414BB3">
              <w:rPr>
                <w:rFonts w:ascii="Arial" w:hAnsi="Arial"/>
                <w:sz w:val="20"/>
                <w:szCs w:val="20"/>
                <w:u w:color="000000"/>
              </w:rPr>
              <w:t>21</w:t>
            </w:r>
            <w:r w:rsidR="005870B9" w:rsidRPr="00414BB3">
              <w:rPr>
                <w:rFonts w:ascii="Arial" w:hAnsi="Arial"/>
                <w:sz w:val="20"/>
                <w:szCs w:val="20"/>
                <w:u w:color="000000"/>
              </w:rPr>
              <w:t>.</w:t>
            </w:r>
            <w:r w:rsidRPr="00414BB3">
              <w:rPr>
                <w:rFonts w:ascii="Arial" w:hAnsi="Arial"/>
                <w:sz w:val="20"/>
                <w:szCs w:val="20"/>
                <w:u w:color="000000"/>
              </w:rPr>
              <w:t>05</w:t>
            </w:r>
            <w:r w:rsidR="005870B9" w:rsidRPr="00414BB3">
              <w:rPr>
                <w:rFonts w:ascii="Arial" w:hAnsi="Arial"/>
                <w:sz w:val="20"/>
                <w:szCs w:val="20"/>
                <w:u w:color="000000"/>
              </w:rPr>
              <w:t>.201</w:t>
            </w:r>
            <w:r w:rsidRPr="00414BB3">
              <w:rPr>
                <w:rFonts w:ascii="Arial" w:hAnsi="Arial"/>
                <w:sz w:val="20"/>
                <w:szCs w:val="20"/>
                <w:u w:color="000000"/>
              </w:rPr>
              <w:t>7</w:t>
            </w:r>
          </w:p>
        </w:tc>
        <w:tc>
          <w:tcPr>
            <w:tcW w:w="3803" w:type="dxa"/>
            <w:tcBorders>
              <w:top w:val="nil"/>
              <w:left w:val="nil"/>
              <w:bottom w:val="nil"/>
              <w:right w:val="nil"/>
            </w:tcBorders>
            <w:shd w:val="clear" w:color="auto" w:fill="D3DFEE"/>
            <w:tcMar>
              <w:top w:w="80" w:type="dxa"/>
              <w:left w:w="80" w:type="dxa"/>
              <w:bottom w:w="80" w:type="dxa"/>
              <w:right w:w="80" w:type="dxa"/>
            </w:tcMar>
          </w:tcPr>
          <w:p w14:paraId="1548921C" w14:textId="77777777" w:rsidR="00D139D5" w:rsidRPr="00414BB3" w:rsidRDefault="005870B9">
            <w:pPr>
              <w:widowControl w:val="0"/>
              <w:tabs>
                <w:tab w:val="left" w:pos="709"/>
                <w:tab w:val="left" w:pos="1418"/>
                <w:tab w:val="left" w:pos="2127"/>
                <w:tab w:val="left" w:pos="2836"/>
                <w:tab w:val="left" w:pos="3545"/>
              </w:tabs>
              <w:rPr>
                <w:sz w:val="20"/>
                <w:szCs w:val="20"/>
              </w:rPr>
            </w:pPr>
            <w:r w:rsidRPr="00414BB3">
              <w:rPr>
                <w:rFonts w:ascii="Arial" w:hAnsi="Arial"/>
                <w:sz w:val="20"/>
                <w:szCs w:val="20"/>
                <w:u w:color="000000"/>
              </w:rPr>
              <w:t>Initialfassung der Leitlinie</w:t>
            </w:r>
          </w:p>
        </w:tc>
        <w:tc>
          <w:tcPr>
            <w:tcW w:w="2295" w:type="dxa"/>
            <w:tcBorders>
              <w:top w:val="nil"/>
              <w:left w:val="nil"/>
              <w:bottom w:val="nil"/>
              <w:right w:val="nil"/>
            </w:tcBorders>
            <w:shd w:val="clear" w:color="auto" w:fill="D3DFEE"/>
            <w:tcMar>
              <w:top w:w="80" w:type="dxa"/>
              <w:left w:w="80" w:type="dxa"/>
              <w:bottom w:w="80" w:type="dxa"/>
              <w:right w:w="80" w:type="dxa"/>
            </w:tcMar>
          </w:tcPr>
          <w:p w14:paraId="1C1A0A53" w14:textId="6455326B" w:rsidR="00D139D5" w:rsidRPr="00414BB3" w:rsidRDefault="00337FB0">
            <w:pPr>
              <w:widowControl w:val="0"/>
              <w:tabs>
                <w:tab w:val="left" w:pos="709"/>
                <w:tab w:val="left" w:pos="1418"/>
                <w:tab w:val="left" w:pos="2127"/>
              </w:tabs>
              <w:rPr>
                <w:sz w:val="20"/>
                <w:szCs w:val="20"/>
              </w:rPr>
            </w:pPr>
            <w:r>
              <w:rPr>
                <w:rFonts w:ascii="Arial" w:hAnsi="Arial"/>
                <w:sz w:val="20"/>
                <w:szCs w:val="20"/>
                <w:u w:color="000000"/>
              </w:rPr>
              <w:t>Max Mustermann</w:t>
            </w:r>
          </w:p>
        </w:tc>
      </w:tr>
      <w:tr w:rsidR="00D139D5" w14:paraId="6F2B8671" w14:textId="77777777">
        <w:trPr>
          <w:trHeight w:val="253"/>
        </w:trPr>
        <w:tc>
          <w:tcPr>
            <w:tcW w:w="1098" w:type="dxa"/>
            <w:tcBorders>
              <w:top w:val="nil"/>
              <w:left w:val="nil"/>
              <w:bottom w:val="nil"/>
              <w:right w:val="nil"/>
            </w:tcBorders>
            <w:shd w:val="clear" w:color="auto" w:fill="D3DFEE"/>
            <w:tcMar>
              <w:top w:w="80" w:type="dxa"/>
              <w:left w:w="80" w:type="dxa"/>
              <w:bottom w:w="80" w:type="dxa"/>
              <w:right w:w="80" w:type="dxa"/>
            </w:tcMar>
          </w:tcPr>
          <w:p w14:paraId="70E48548" w14:textId="77777777" w:rsidR="00D139D5" w:rsidRPr="00414BB3" w:rsidRDefault="00D139D5">
            <w:pPr>
              <w:rPr>
                <w:sz w:val="20"/>
                <w:szCs w:val="20"/>
              </w:rPr>
            </w:pPr>
          </w:p>
        </w:tc>
        <w:tc>
          <w:tcPr>
            <w:tcW w:w="1518" w:type="dxa"/>
            <w:tcBorders>
              <w:top w:val="nil"/>
              <w:left w:val="nil"/>
              <w:bottom w:val="nil"/>
              <w:right w:val="nil"/>
            </w:tcBorders>
            <w:shd w:val="clear" w:color="auto" w:fill="D3DFEE"/>
            <w:tcMar>
              <w:top w:w="80" w:type="dxa"/>
              <w:left w:w="80" w:type="dxa"/>
              <w:bottom w:w="80" w:type="dxa"/>
              <w:right w:w="80" w:type="dxa"/>
            </w:tcMar>
          </w:tcPr>
          <w:p w14:paraId="09DA2208" w14:textId="77777777" w:rsidR="00D139D5" w:rsidRPr="00414BB3" w:rsidRDefault="00D139D5">
            <w:pPr>
              <w:rPr>
                <w:sz w:val="20"/>
                <w:szCs w:val="20"/>
              </w:rPr>
            </w:pPr>
          </w:p>
        </w:tc>
        <w:tc>
          <w:tcPr>
            <w:tcW w:w="3803" w:type="dxa"/>
            <w:tcBorders>
              <w:top w:val="nil"/>
              <w:left w:val="nil"/>
              <w:bottom w:val="nil"/>
              <w:right w:val="nil"/>
            </w:tcBorders>
            <w:shd w:val="clear" w:color="auto" w:fill="D3DFEE"/>
            <w:tcMar>
              <w:top w:w="80" w:type="dxa"/>
              <w:left w:w="80" w:type="dxa"/>
              <w:bottom w:w="80" w:type="dxa"/>
              <w:right w:w="80" w:type="dxa"/>
            </w:tcMar>
          </w:tcPr>
          <w:p w14:paraId="10583E96" w14:textId="77777777" w:rsidR="00D139D5" w:rsidRPr="00414BB3" w:rsidRDefault="00D139D5">
            <w:pPr>
              <w:rPr>
                <w:sz w:val="20"/>
                <w:szCs w:val="20"/>
              </w:rPr>
            </w:pPr>
          </w:p>
        </w:tc>
        <w:tc>
          <w:tcPr>
            <w:tcW w:w="2295" w:type="dxa"/>
            <w:tcBorders>
              <w:top w:val="nil"/>
              <w:left w:val="nil"/>
              <w:bottom w:val="nil"/>
              <w:right w:val="nil"/>
            </w:tcBorders>
            <w:shd w:val="clear" w:color="auto" w:fill="D3DFEE"/>
            <w:tcMar>
              <w:top w:w="80" w:type="dxa"/>
              <w:left w:w="80" w:type="dxa"/>
              <w:bottom w:w="80" w:type="dxa"/>
              <w:right w:w="80" w:type="dxa"/>
            </w:tcMar>
          </w:tcPr>
          <w:p w14:paraId="2465C461" w14:textId="77777777" w:rsidR="00D139D5" w:rsidRPr="00414BB3" w:rsidRDefault="00D139D5">
            <w:pPr>
              <w:rPr>
                <w:sz w:val="20"/>
                <w:szCs w:val="20"/>
              </w:rPr>
            </w:pPr>
          </w:p>
        </w:tc>
      </w:tr>
      <w:tr w:rsidR="00D139D5" w14:paraId="34D9E72F" w14:textId="77777777">
        <w:trPr>
          <w:trHeight w:val="253"/>
        </w:trPr>
        <w:tc>
          <w:tcPr>
            <w:tcW w:w="1098" w:type="dxa"/>
            <w:tcBorders>
              <w:top w:val="nil"/>
              <w:left w:val="nil"/>
              <w:bottom w:val="nil"/>
              <w:right w:val="nil"/>
            </w:tcBorders>
            <w:shd w:val="clear" w:color="auto" w:fill="D3DFEE"/>
            <w:tcMar>
              <w:top w:w="80" w:type="dxa"/>
              <w:left w:w="80" w:type="dxa"/>
              <w:bottom w:w="80" w:type="dxa"/>
              <w:right w:w="80" w:type="dxa"/>
            </w:tcMar>
          </w:tcPr>
          <w:p w14:paraId="73D188A5" w14:textId="77777777" w:rsidR="00D139D5" w:rsidRPr="00414BB3" w:rsidRDefault="00D139D5">
            <w:pPr>
              <w:rPr>
                <w:sz w:val="20"/>
                <w:szCs w:val="20"/>
              </w:rPr>
            </w:pPr>
          </w:p>
        </w:tc>
        <w:tc>
          <w:tcPr>
            <w:tcW w:w="1518" w:type="dxa"/>
            <w:tcBorders>
              <w:top w:val="nil"/>
              <w:left w:val="nil"/>
              <w:bottom w:val="nil"/>
              <w:right w:val="nil"/>
            </w:tcBorders>
            <w:shd w:val="clear" w:color="auto" w:fill="D3DFEE"/>
            <w:tcMar>
              <w:top w:w="80" w:type="dxa"/>
              <w:left w:w="80" w:type="dxa"/>
              <w:bottom w:w="80" w:type="dxa"/>
              <w:right w:w="80" w:type="dxa"/>
            </w:tcMar>
          </w:tcPr>
          <w:p w14:paraId="48741BD9" w14:textId="77777777" w:rsidR="00D139D5" w:rsidRPr="00414BB3" w:rsidRDefault="00D139D5">
            <w:pPr>
              <w:rPr>
                <w:sz w:val="20"/>
                <w:szCs w:val="20"/>
              </w:rPr>
            </w:pPr>
          </w:p>
        </w:tc>
        <w:tc>
          <w:tcPr>
            <w:tcW w:w="3803" w:type="dxa"/>
            <w:tcBorders>
              <w:top w:val="nil"/>
              <w:left w:val="nil"/>
              <w:bottom w:val="nil"/>
              <w:right w:val="nil"/>
            </w:tcBorders>
            <w:shd w:val="clear" w:color="auto" w:fill="D3DFEE"/>
            <w:tcMar>
              <w:top w:w="80" w:type="dxa"/>
              <w:left w:w="80" w:type="dxa"/>
              <w:bottom w:w="80" w:type="dxa"/>
              <w:right w:w="80" w:type="dxa"/>
            </w:tcMar>
          </w:tcPr>
          <w:p w14:paraId="295D420E" w14:textId="77777777" w:rsidR="00D139D5" w:rsidRPr="00414BB3" w:rsidRDefault="00D139D5">
            <w:pPr>
              <w:rPr>
                <w:sz w:val="20"/>
                <w:szCs w:val="20"/>
              </w:rPr>
            </w:pPr>
          </w:p>
        </w:tc>
        <w:tc>
          <w:tcPr>
            <w:tcW w:w="2295" w:type="dxa"/>
            <w:tcBorders>
              <w:top w:val="nil"/>
              <w:left w:val="nil"/>
              <w:bottom w:val="nil"/>
              <w:right w:val="nil"/>
            </w:tcBorders>
            <w:shd w:val="clear" w:color="auto" w:fill="D3DFEE"/>
            <w:tcMar>
              <w:top w:w="80" w:type="dxa"/>
              <w:left w:w="80" w:type="dxa"/>
              <w:bottom w:w="80" w:type="dxa"/>
              <w:right w:w="80" w:type="dxa"/>
            </w:tcMar>
          </w:tcPr>
          <w:p w14:paraId="79BBCDFA" w14:textId="77777777" w:rsidR="00D139D5" w:rsidRPr="00414BB3" w:rsidRDefault="00D139D5">
            <w:pPr>
              <w:rPr>
                <w:sz w:val="20"/>
                <w:szCs w:val="20"/>
              </w:rPr>
            </w:pPr>
          </w:p>
        </w:tc>
      </w:tr>
    </w:tbl>
    <w:p w14:paraId="2686B730" w14:textId="77777777" w:rsidR="00D139D5" w:rsidRDefault="00D139D5" w:rsidP="00582FBE">
      <w:pPr>
        <w:pStyle w:val="berschrift2"/>
        <w:numPr>
          <w:ilvl w:val="0"/>
          <w:numId w:val="0"/>
        </w:numPr>
        <w:ind w:left="720" w:hanging="720"/>
      </w:pPr>
    </w:p>
    <w:p w14:paraId="192E805C" w14:textId="77777777" w:rsidR="00D139D5" w:rsidRDefault="005870B9">
      <w:pPr>
        <w:pStyle w:val="berschrift2"/>
      </w:pPr>
      <w:r>
        <w:t>Einleitung</w:t>
      </w:r>
    </w:p>
    <w:p w14:paraId="36042FEE" w14:textId="3EB9A7AF" w:rsidR="00347443" w:rsidRPr="00871034" w:rsidRDefault="00871034" w:rsidP="00337FB0">
      <w:r>
        <w:t xml:space="preserve">Bei </w:t>
      </w:r>
      <w:proofErr w:type="gramStart"/>
      <w:r>
        <w:t>der</w:t>
      </w:r>
      <w:r w:rsidR="00C104EE">
        <w:t xml:space="preserve"> </w:t>
      </w:r>
      <w:r w:rsidR="00337FB0">
        <w:rPr>
          <w:b/>
        </w:rPr>
        <w:t>Mustermann</w:t>
      </w:r>
      <w:proofErr w:type="gramEnd"/>
      <w:r w:rsidR="00337FB0">
        <w:rPr>
          <w:b/>
        </w:rPr>
        <w:t xml:space="preserve"> GmbH</w:t>
      </w:r>
      <w:r w:rsidR="00C104EE">
        <w:t xml:space="preserve"> </w:t>
      </w:r>
      <w:r>
        <w:t xml:space="preserve">können mobile Datenträger </w:t>
      </w:r>
      <w:r w:rsidR="00D83D43">
        <w:t>zum Einsatz kommen</w:t>
      </w:r>
      <w:r>
        <w:t xml:space="preserve">. Diese Richtlinie regelt die Nutzung von mobilen Datenträgern durch Beschäftigte der </w:t>
      </w:r>
      <w:r w:rsidR="00337FB0">
        <w:rPr>
          <w:b/>
        </w:rPr>
        <w:t>Mustermann GmbH</w:t>
      </w:r>
      <w:r>
        <w:t>.</w:t>
      </w:r>
    </w:p>
    <w:p w14:paraId="34999EB2" w14:textId="77777777" w:rsidR="0098696A" w:rsidRDefault="0098696A" w:rsidP="00337FB0">
      <w:pPr>
        <w:rPr>
          <w:rFonts w:eastAsia="Arial" w:cs="Arial"/>
        </w:rPr>
      </w:pPr>
    </w:p>
    <w:p w14:paraId="70140996" w14:textId="77777777" w:rsidR="00D139D5" w:rsidRDefault="005870B9" w:rsidP="00582FBE">
      <w:pPr>
        <w:pStyle w:val="berschrift2"/>
        <w:tabs>
          <w:tab w:val="left" w:pos="7938"/>
        </w:tabs>
      </w:pPr>
      <w:r>
        <w:t>Geltungsbereich</w:t>
      </w:r>
    </w:p>
    <w:p w14:paraId="63539188" w14:textId="08F8448F" w:rsidR="00871034" w:rsidRDefault="005870B9" w:rsidP="00337FB0">
      <w:r>
        <w:t>Die</w:t>
      </w:r>
      <w:r w:rsidR="0046296C">
        <w:t xml:space="preserve">se </w:t>
      </w:r>
      <w:r w:rsidR="00292350">
        <w:t xml:space="preserve">Richtlinie gilt für die Nutzung von mobilen </w:t>
      </w:r>
      <w:r w:rsidR="00871034">
        <w:t>Datenträgern</w:t>
      </w:r>
      <w:r w:rsidR="00292350">
        <w:t xml:space="preserve"> der </w:t>
      </w:r>
      <w:r w:rsidR="00337FB0">
        <w:rPr>
          <w:b/>
          <w:bCs/>
        </w:rPr>
        <w:t>Mustermann GmbH</w:t>
      </w:r>
      <w:r w:rsidR="00292350">
        <w:t xml:space="preserve">. </w:t>
      </w:r>
      <w:r w:rsidR="00871034">
        <w:t>Mobile Datenträger sind alle leicht transportablen Geräte, auf denen Daten gespeichert werden können. Dazu gehören insbesondere USB-Sticks, externe Festplatten, Speicherkarten, CD-ROMs und DVDs.</w:t>
      </w:r>
    </w:p>
    <w:p w14:paraId="10C630C2" w14:textId="77777777" w:rsidR="00337FB0" w:rsidRDefault="00337FB0" w:rsidP="00337FB0"/>
    <w:p w14:paraId="4BC0A2FF" w14:textId="1637830B" w:rsidR="00D139D5" w:rsidRDefault="00292350" w:rsidP="00337FB0">
      <w:pPr>
        <w:rPr>
          <w:rFonts w:eastAsia="Arial" w:cs="Arial"/>
        </w:rPr>
      </w:pPr>
      <w:r>
        <w:t>Diese Richtlinie gilt</w:t>
      </w:r>
      <w:r w:rsidR="002761A1">
        <w:t xml:space="preserve"> für </w:t>
      </w:r>
      <w:r w:rsidR="005870B9">
        <w:t>alle Standort</w:t>
      </w:r>
      <w:r w:rsidR="002761A1">
        <w:t>e</w:t>
      </w:r>
      <w:r w:rsidR="005870B9">
        <w:t xml:space="preserve"> der </w:t>
      </w:r>
      <w:r w:rsidR="00337FB0">
        <w:rPr>
          <w:b/>
          <w:bCs/>
        </w:rPr>
        <w:t>Mustermann GmbH</w:t>
      </w:r>
      <w:r w:rsidR="005870B9">
        <w:t>.</w:t>
      </w:r>
    </w:p>
    <w:p w14:paraId="3839F2DE" w14:textId="3C22B4C2" w:rsidR="00D139D5" w:rsidRDefault="005870B9" w:rsidP="00337FB0">
      <w:r>
        <w:t xml:space="preserve">Diese </w:t>
      </w:r>
      <w:r w:rsidR="00292350">
        <w:t>Richtlinie</w:t>
      </w:r>
      <w:r>
        <w:t xml:space="preserve"> verpflichtet alle Beschäftigten der </w:t>
      </w:r>
      <w:r w:rsidR="00337FB0">
        <w:rPr>
          <w:b/>
          <w:bCs/>
        </w:rPr>
        <w:t>Mustermann GmbH</w:t>
      </w:r>
      <w:r>
        <w:t xml:space="preserve"> zur Einhaltung der hier festgelegten </w:t>
      </w:r>
      <w:r w:rsidR="00593BB4">
        <w:t>Pflichten und Vorgaben</w:t>
      </w:r>
      <w:r>
        <w:t>.</w:t>
      </w:r>
    </w:p>
    <w:p w14:paraId="570A0239" w14:textId="77777777" w:rsidR="00347443" w:rsidRDefault="00347443" w:rsidP="00337FB0">
      <w:pPr>
        <w:rPr>
          <w:rFonts w:eastAsia="Arial" w:cs="Arial"/>
        </w:rPr>
      </w:pPr>
    </w:p>
    <w:p w14:paraId="22270D83" w14:textId="77777777" w:rsidR="00D139D5" w:rsidRDefault="005870B9">
      <w:pPr>
        <w:pStyle w:val="berschrift2"/>
      </w:pPr>
      <w:bookmarkStart w:id="0" w:name="OLE_LINK1"/>
      <w:bookmarkStart w:id="1" w:name="OLE_LINK2"/>
      <w:r>
        <w:t>Ziele</w:t>
      </w:r>
    </w:p>
    <w:p w14:paraId="17EF98D8" w14:textId="618D0824" w:rsidR="0098696A" w:rsidRDefault="00562234" w:rsidP="00337FB0">
      <w:r>
        <w:t xml:space="preserve">Diese Richtlinie soll dazu beitragen, dass die </w:t>
      </w:r>
      <w:r w:rsidR="0098696A">
        <w:t xml:space="preserve">Integrität, Verfügbarkeit und Vertraulichkeit </w:t>
      </w:r>
      <w:r>
        <w:t xml:space="preserve">von Informationen auf mobilen </w:t>
      </w:r>
      <w:r w:rsidR="00871034">
        <w:t xml:space="preserve">Datenträgern </w:t>
      </w:r>
      <w:r>
        <w:t xml:space="preserve">gewährleistet ist. </w:t>
      </w:r>
      <w:bookmarkEnd w:id="0"/>
      <w:bookmarkEnd w:id="1"/>
    </w:p>
    <w:p w14:paraId="20276FDB" w14:textId="77777777" w:rsidR="0098696A" w:rsidRDefault="0098696A" w:rsidP="00337FB0"/>
    <w:p w14:paraId="23FAE3CD" w14:textId="77777777" w:rsidR="0098696A" w:rsidRDefault="0098696A" w:rsidP="00337FB0"/>
    <w:p w14:paraId="3ADF6BCE" w14:textId="587EEAD0" w:rsidR="0098696A" w:rsidRDefault="00292350" w:rsidP="0098696A">
      <w:pPr>
        <w:pStyle w:val="berschrift2"/>
      </w:pPr>
      <w:r>
        <w:lastRenderedPageBreak/>
        <w:t xml:space="preserve">Grundsätze der Nutzung von mobilen </w:t>
      </w:r>
      <w:r w:rsidR="00871034">
        <w:t>Datenträgern</w:t>
      </w:r>
    </w:p>
    <w:p w14:paraId="5957FB5B" w14:textId="52657D48" w:rsidR="00292350" w:rsidRDefault="00292350" w:rsidP="00337FB0">
      <w:r>
        <w:t xml:space="preserve">Mobile </w:t>
      </w:r>
      <w:r w:rsidR="00871034">
        <w:t>Datenträger</w:t>
      </w:r>
      <w:r>
        <w:t xml:space="preserve"> bergen das Risiko in sich, dass unbefugte Dritte in Besitz von Informationen der </w:t>
      </w:r>
      <w:r w:rsidR="00337FB0">
        <w:rPr>
          <w:b/>
        </w:rPr>
        <w:t>Mustermann GmbH</w:t>
      </w:r>
      <w:r>
        <w:t xml:space="preserve"> oder Kunden und/oder Geschäftspartnern der </w:t>
      </w:r>
      <w:r w:rsidR="00337FB0">
        <w:rPr>
          <w:b/>
        </w:rPr>
        <w:t>Mustermann GmbH</w:t>
      </w:r>
      <w:r>
        <w:t xml:space="preserve"> kommen können.</w:t>
      </w:r>
    </w:p>
    <w:p w14:paraId="1A840FEC" w14:textId="77777777" w:rsidR="00337FB0" w:rsidRDefault="00337FB0" w:rsidP="00337FB0"/>
    <w:p w14:paraId="31F88237" w14:textId="591F3F8A" w:rsidR="00292350" w:rsidRDefault="00292350" w:rsidP="00337FB0">
      <w:r>
        <w:t xml:space="preserve">Daher sind mobile </w:t>
      </w:r>
      <w:r w:rsidR="00871034">
        <w:t>Datenträger</w:t>
      </w:r>
      <w:r>
        <w:t xml:space="preserve"> grundsätzlich nur von den Mitarbeitern einzusetzen, die aufgrund ihrer Tätigkeit bei der </w:t>
      </w:r>
      <w:r w:rsidR="00337FB0">
        <w:rPr>
          <w:b/>
        </w:rPr>
        <w:t>Mustermann GmbH</w:t>
      </w:r>
      <w:r w:rsidR="00871034">
        <w:t xml:space="preserve"> auf die Nutzung von mobilen Datenträgern </w:t>
      </w:r>
      <w:r>
        <w:t>angewiesen sind.</w:t>
      </w:r>
    </w:p>
    <w:p w14:paraId="57637F44" w14:textId="77777777" w:rsidR="00337FB0" w:rsidRDefault="00337FB0" w:rsidP="00337FB0"/>
    <w:p w14:paraId="1882982D" w14:textId="7E69CD9F" w:rsidR="0055391A" w:rsidRDefault="00F02685" w:rsidP="00337FB0">
      <w:bookmarkStart w:id="2" w:name="OLE_LINK9"/>
      <w:bookmarkStart w:id="3" w:name="OLE_LINK10"/>
      <w:r>
        <w:t xml:space="preserve">Daten auf den mobilen </w:t>
      </w:r>
      <w:r w:rsidR="00871034">
        <w:t>Datenträgern sind grundsätzlich</w:t>
      </w:r>
      <w:r>
        <w:t xml:space="preserve"> verschlüsselt zu speichern</w:t>
      </w:r>
      <w:bookmarkEnd w:id="2"/>
      <w:bookmarkEnd w:id="3"/>
      <w:r w:rsidR="00871034">
        <w:t xml:space="preserve">, wenn diese personenbezogene Daten darstellen und/oder Betriebs- und Geschäftsgeheimnisse der </w:t>
      </w:r>
      <w:r w:rsidR="00337FB0">
        <w:rPr>
          <w:b/>
        </w:rPr>
        <w:t>Mustermann GmbH</w:t>
      </w:r>
      <w:r w:rsidR="00871034">
        <w:rPr>
          <w:b/>
        </w:rPr>
        <w:t xml:space="preserve"> </w:t>
      </w:r>
      <w:r w:rsidR="00871034">
        <w:t xml:space="preserve">oder Dritten </w:t>
      </w:r>
      <w:r w:rsidR="0055391A">
        <w:t xml:space="preserve">enthalten können. </w:t>
      </w:r>
    </w:p>
    <w:p w14:paraId="7F0D726D" w14:textId="77777777" w:rsidR="00337FB0" w:rsidRDefault="00337FB0" w:rsidP="00337FB0"/>
    <w:p w14:paraId="4982B412" w14:textId="41045DD2" w:rsidR="0055391A" w:rsidRDefault="00F02685" w:rsidP="00337FB0">
      <w:r>
        <w:t xml:space="preserve">Bei der Umsetzung der Verschlüsselung ist vom Nutzer Sorge dafür zu tragen, dass eine </w:t>
      </w:r>
      <w:r w:rsidR="0055391A">
        <w:t xml:space="preserve">Verschlüsselungsmethode verwendet wird, die von der IT-Abteilung der </w:t>
      </w:r>
      <w:r w:rsidR="00337FB0">
        <w:rPr>
          <w:b/>
        </w:rPr>
        <w:t>Mustermann GmbH</w:t>
      </w:r>
      <w:r w:rsidR="0055391A">
        <w:rPr>
          <w:b/>
        </w:rPr>
        <w:t xml:space="preserve"> </w:t>
      </w:r>
      <w:r w:rsidR="0055391A">
        <w:t>freigegeben wurde.</w:t>
      </w:r>
    </w:p>
    <w:p w14:paraId="1F1625D4" w14:textId="77777777" w:rsidR="00337FB0" w:rsidRDefault="00337FB0" w:rsidP="00337FB0"/>
    <w:p w14:paraId="41E14157" w14:textId="4C1EC875" w:rsidR="0055391A" w:rsidRDefault="0055391A" w:rsidP="00337FB0">
      <w:r>
        <w:t>Eine unverschlüsselte Speicherung von o.a. Daten ist nur in Ausnahmefällen zulässig. Sie ist vom Vorgesetzten in Textform (z.B. E-Mail) zu genehmigen.</w:t>
      </w:r>
    </w:p>
    <w:p w14:paraId="0CAE2746" w14:textId="77777777" w:rsidR="00337FB0" w:rsidRDefault="00337FB0" w:rsidP="00337FB0"/>
    <w:p w14:paraId="10D48E35" w14:textId="77777777" w:rsidR="00337FB0" w:rsidRDefault="0055391A" w:rsidP="00337FB0">
      <w:r>
        <w:t xml:space="preserve">Daten auf mobilen Datenträgern sind, sofern diese für die dauerhafte Speicherung bei der </w:t>
      </w:r>
      <w:r w:rsidR="00337FB0">
        <w:rPr>
          <w:b/>
        </w:rPr>
        <w:t>Mustermann GmbH</w:t>
      </w:r>
      <w:r>
        <w:t xml:space="preserve">, vorgesehen sind, unverzüglich auf die hierfür vorgesehenen Serverlaufwerke der </w:t>
      </w:r>
      <w:r w:rsidR="00337FB0">
        <w:rPr>
          <w:b/>
        </w:rPr>
        <w:t>Mustermann GmbH</w:t>
      </w:r>
      <w:r>
        <w:rPr>
          <w:b/>
        </w:rPr>
        <w:t xml:space="preserve"> </w:t>
      </w:r>
      <w:r>
        <w:t>zu übertragen, sofern sie dort schon nicht vorhanden sind.</w:t>
      </w:r>
      <w:r w:rsidR="00F666C4">
        <w:t xml:space="preserve"> Bei der Übertragung der Daten ist in besonderer Weise darauf zu achten, dass eine Prüfung der Inhalte auf dem Datenträger im Hinblick auf Schadsoftware erfolgt.</w:t>
      </w:r>
      <w:r w:rsidR="00337FB0">
        <w:t xml:space="preserve"> Der Mitarbeiter hat ferne Sorge dafür zu tragen, dass eine </w:t>
      </w:r>
      <w:r w:rsidR="00F02685">
        <w:t xml:space="preserve">Entschlüsselung der Daten für die </w:t>
      </w:r>
      <w:r w:rsidR="00337FB0">
        <w:rPr>
          <w:b/>
        </w:rPr>
        <w:t>Mustermann GmbH</w:t>
      </w:r>
      <w:r w:rsidR="00F02685">
        <w:rPr>
          <w:b/>
        </w:rPr>
        <w:t xml:space="preserve"> </w:t>
      </w:r>
      <w:r w:rsidR="00F02685">
        <w:t xml:space="preserve">jederzeit möglich ist. </w:t>
      </w:r>
    </w:p>
    <w:p w14:paraId="1A9F883E" w14:textId="77777777" w:rsidR="00337FB0" w:rsidRDefault="00337FB0" w:rsidP="00337FB0"/>
    <w:p w14:paraId="67B87DAF" w14:textId="45604E10" w:rsidR="00F02685" w:rsidRDefault="00F02685" w:rsidP="00337FB0">
      <w:r>
        <w:t>Der Mitarbeiter kann sich bei Fragen der Umsetzung an die IT-Abteilung wenden.</w:t>
      </w:r>
    </w:p>
    <w:p w14:paraId="753A707C" w14:textId="77777777" w:rsidR="00337FB0" w:rsidRDefault="00337FB0" w:rsidP="00337FB0"/>
    <w:p w14:paraId="046BD4B5" w14:textId="08D2C13A" w:rsidR="00F02685" w:rsidRDefault="00F02685" w:rsidP="00337FB0">
      <w:r>
        <w:t>Der Nutzer darf das ihm zur Verfügung gestellte mobile IT-System nicht anderen Personen zur Nutzung überlassen.</w:t>
      </w:r>
    </w:p>
    <w:p w14:paraId="5DFA4D91" w14:textId="77777777" w:rsidR="00337FB0" w:rsidRDefault="00337FB0" w:rsidP="00337FB0"/>
    <w:p w14:paraId="4F113414" w14:textId="42657434" w:rsidR="00230433" w:rsidRDefault="00230433" w:rsidP="00337FB0">
      <w:r>
        <w:t>Im Hinblick auf die Installation von Software auf den mobilen IT-Systemen gilt die „IT-Richtlinie für Nutzer“.</w:t>
      </w:r>
    </w:p>
    <w:p w14:paraId="252E4418" w14:textId="77777777" w:rsidR="00F02685" w:rsidRDefault="00F02685" w:rsidP="00337FB0"/>
    <w:p w14:paraId="7AF70B9E" w14:textId="2FE60614" w:rsidR="00F02685" w:rsidRDefault="00D83D43" w:rsidP="00F02685">
      <w:pPr>
        <w:pStyle w:val="berschrift2"/>
      </w:pPr>
      <w:r>
        <w:lastRenderedPageBreak/>
        <w:t>Verwendung von mobilen Datenträgern</w:t>
      </w:r>
      <w:r w:rsidR="00F02685">
        <w:t xml:space="preserve"> außerhalb des </w:t>
      </w:r>
      <w:r w:rsidR="000D09B3">
        <w:t>Betriebsgeländes</w:t>
      </w:r>
    </w:p>
    <w:p w14:paraId="51F3052E" w14:textId="42ABDF57" w:rsidR="000D09B3" w:rsidRDefault="000D09B3" w:rsidP="00337FB0">
      <w:r>
        <w:t>Werden mobile IT-</w:t>
      </w:r>
      <w:r w:rsidR="001B7AF6">
        <w:t>Datenträger</w:t>
      </w:r>
      <w:r>
        <w:t xml:space="preserve"> außerhalb des Betriebsgeländes der </w:t>
      </w:r>
      <w:r w:rsidR="00337FB0">
        <w:rPr>
          <w:b/>
        </w:rPr>
        <w:t>Mustermann GmbH</w:t>
      </w:r>
      <w:r>
        <w:t xml:space="preserve"> verwendet, hat der Nutzer in besonderem Maße Sorge dafür zu tragen, dass Dritte keine Kenntnis von Informationen erhalten können</w:t>
      </w:r>
      <w:r w:rsidR="001B7AF6">
        <w:t>. Dies beinhaltet insbesondere die sorgfältige und sichere Verwahrung des mobilen Datenträgers, um diesen vor Diebstahl und Verlust zu schützen.</w:t>
      </w:r>
    </w:p>
    <w:p w14:paraId="0DE0B941" w14:textId="77777777" w:rsidR="00245836" w:rsidRPr="00245836" w:rsidRDefault="00245836" w:rsidP="00245836"/>
    <w:p w14:paraId="39FF41E4" w14:textId="6F5144C7" w:rsidR="00F666C4" w:rsidRDefault="00F666C4">
      <w:pPr>
        <w:pStyle w:val="berschrift2"/>
      </w:pPr>
      <w:r>
        <w:t>Mobile Datenträger von Dritten</w:t>
      </w:r>
    </w:p>
    <w:p w14:paraId="108F94EF" w14:textId="34F1D180" w:rsidR="00F666C4" w:rsidRDefault="00F666C4" w:rsidP="00337FB0">
      <w:r>
        <w:t>Sollten Beschäftigte einen mobilen Date</w:t>
      </w:r>
      <w:r w:rsidR="00A04E66">
        <w:t>nträger auf dem Betriebsgelände</w:t>
      </w:r>
      <w:r>
        <w:t xml:space="preserve"> oder an sonstiger Stelle auffinden, so dürfen solche Datenträger niemals an IT-Systeme der </w:t>
      </w:r>
      <w:r w:rsidR="00337FB0">
        <w:rPr>
          <w:b/>
        </w:rPr>
        <w:t>Mustermann GmbH</w:t>
      </w:r>
      <w:r>
        <w:rPr>
          <w:b/>
        </w:rPr>
        <w:t xml:space="preserve"> </w:t>
      </w:r>
      <w:r>
        <w:t xml:space="preserve">angeschlossen werden. Es ist nicht auszuschließen, dass sich auf dem Datenträger Schad- oder Spionagesoftware befindet. Gefundene Datenträger sind der IT-Abteilung zu melden und von dieser sorgfältig </w:t>
      </w:r>
      <w:r w:rsidR="00925F6C">
        <w:t xml:space="preserve">im Hinblick auf schädliche Inhalte </w:t>
      </w:r>
      <w:r>
        <w:t>zu inspizieren oder zu vernichten.</w:t>
      </w:r>
    </w:p>
    <w:p w14:paraId="2AEAA5E4" w14:textId="77777777" w:rsidR="00F666C4" w:rsidRPr="00F666C4" w:rsidRDefault="00F666C4" w:rsidP="00F666C4"/>
    <w:p w14:paraId="7A4C2AA4" w14:textId="231BC3DA" w:rsidR="00BC1D3C" w:rsidRDefault="00BC1D3C">
      <w:pPr>
        <w:pStyle w:val="berschrift2"/>
      </w:pPr>
      <w:r>
        <w:t>Diebstahl und Verlust</w:t>
      </w:r>
    </w:p>
    <w:p w14:paraId="78AB7C70" w14:textId="77777777" w:rsidR="00292081" w:rsidRDefault="00BC1D3C" w:rsidP="00BC1D3C">
      <w:r>
        <w:t>Sollte ein mobile</w:t>
      </w:r>
      <w:r w:rsidR="001B7AF6">
        <w:t>r</w:t>
      </w:r>
      <w:r>
        <w:t xml:space="preserve"> </w:t>
      </w:r>
      <w:r w:rsidR="001B7AF6">
        <w:t>Datenträger</w:t>
      </w:r>
      <w:r>
        <w:t xml:space="preserve"> gestohlen </w:t>
      </w:r>
      <w:r w:rsidR="00A37474">
        <w:t xml:space="preserve">werden oder verloren gehen, hat der Nutzer dies unverzüglich nach Kenntnisnahme an </w:t>
      </w:r>
      <w:r w:rsidR="00A04E66">
        <w:t xml:space="preserve">das </w:t>
      </w:r>
      <w:r w:rsidR="00A04E66">
        <w:rPr>
          <w:b/>
        </w:rPr>
        <w:t>Datenschutzteam (DST)</w:t>
      </w:r>
      <w:r w:rsidR="00A37474">
        <w:t xml:space="preserve"> der </w:t>
      </w:r>
      <w:r w:rsidR="00337FB0">
        <w:rPr>
          <w:b/>
        </w:rPr>
        <w:t>Mustermann GmbH</w:t>
      </w:r>
      <w:r w:rsidR="00A37474">
        <w:t xml:space="preserve"> zu melden. Die Meldung muss so schnell wie möglich erfolgen, da in diesen Fällen gesetzliche Informationspflichten gegenüber Aufsichtsbehörden und Betroffenen bestehen können, die im Falle einer zu späten Meldung Bußgelder in erheblicher Höhe nach sich ziehen können.</w:t>
      </w:r>
      <w:r w:rsidR="00292081" w:rsidRPr="00292081">
        <w:t xml:space="preserve"> </w:t>
      </w:r>
    </w:p>
    <w:p w14:paraId="570CDA33" w14:textId="1558546C" w:rsidR="00BC1D3C" w:rsidRDefault="00292081" w:rsidP="00BC1D3C">
      <w:bookmarkStart w:id="4" w:name="_GoBack"/>
      <w:bookmarkEnd w:id="4"/>
      <w:r>
        <w:t>Sollte der Diebstahl oder Verlust an einem Wochenende, Feiertag oder im Urlaub erfolgen, ist der Nutzer auch dann verpflichtet, sofort Meldung an das DST zu machen. Hierzu kann z.B. die E-Mail-Adresse des DST genutzt werden.</w:t>
      </w:r>
    </w:p>
    <w:p w14:paraId="12EDF99A" w14:textId="77777777" w:rsidR="00A37474" w:rsidRPr="00A37474" w:rsidRDefault="00A37474" w:rsidP="00BC1D3C"/>
    <w:p w14:paraId="0407C6B2" w14:textId="77777777" w:rsidR="00D139D5" w:rsidRDefault="005870B9">
      <w:pPr>
        <w:pStyle w:val="berschrift2"/>
      </w:pPr>
      <w:r>
        <w:t>Sanktionen</w:t>
      </w:r>
    </w:p>
    <w:p w14:paraId="70561EDA" w14:textId="09285055" w:rsidR="00D139D5" w:rsidRPr="00A37474" w:rsidRDefault="005870B9" w:rsidP="00A37474">
      <w:pPr>
        <w:pStyle w:val="Paragraph"/>
        <w:rPr>
          <w:rFonts w:ascii="Arial" w:eastAsia="Arial" w:hAnsi="Arial" w:cs="Arial"/>
        </w:rPr>
      </w:pPr>
      <w:r>
        <w:rPr>
          <w:rFonts w:ascii="Arial" w:hAnsi="Arial"/>
        </w:rPr>
        <w:t xml:space="preserve">Ein Verstoß gegen diese </w:t>
      </w:r>
      <w:r w:rsidR="00D52FAD">
        <w:rPr>
          <w:rFonts w:ascii="Arial" w:hAnsi="Arial"/>
        </w:rPr>
        <w:t>Richtlinien</w:t>
      </w:r>
      <w:r>
        <w:rPr>
          <w:rFonts w:ascii="Arial" w:hAnsi="Arial"/>
        </w:rPr>
        <w:t xml:space="preserve"> kann eine arbeitsvertragliche Pflichtverletzung darstellen und e</w:t>
      </w:r>
      <w:r w:rsidR="00A37474">
        <w:rPr>
          <w:rFonts w:ascii="Arial" w:hAnsi="Arial"/>
        </w:rPr>
        <w:t>ntsprechend sanktioniert werden.</w:t>
      </w:r>
    </w:p>
    <w:sectPr w:rsidR="00D139D5" w:rsidRPr="00A37474">
      <w:footerReference w:type="default" r:id="rId7"/>
      <w:pgSz w:w="11900" w:h="16840"/>
      <w:pgMar w:top="1417" w:right="1417" w:bottom="1133" w:left="1417" w:header="0" w:footer="1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04309" w14:textId="77777777" w:rsidR="00020A13" w:rsidRDefault="00020A13">
      <w:r>
        <w:separator/>
      </w:r>
    </w:p>
  </w:endnote>
  <w:endnote w:type="continuationSeparator" w:id="0">
    <w:p w14:paraId="3CB8F827" w14:textId="77777777" w:rsidR="00020A13" w:rsidRDefault="00020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Quire Sans Pro">
    <w:panose1 w:val="020B0502040400020003"/>
    <w:charset w:val="00"/>
    <w:family w:val="swiss"/>
    <w:pitch w:val="variable"/>
    <w:sig w:usb0="A000002F"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0CC14" w14:textId="77777777" w:rsidR="00D139D5" w:rsidRDefault="005870B9" w:rsidP="00337FB0">
    <w:pPr>
      <w:pStyle w:val="Kopf-undFuzeilen"/>
      <w:jc w:val="right"/>
    </w:pPr>
    <w:r>
      <w:fldChar w:fldCharType="begin"/>
    </w:r>
    <w:r>
      <w:instrText xml:space="preserve"> PAGE </w:instrText>
    </w:r>
    <w:r>
      <w:fldChar w:fldCharType="separate"/>
    </w:r>
    <w:r w:rsidR="00337FB0">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3A81D" w14:textId="77777777" w:rsidR="00020A13" w:rsidRDefault="00020A13">
      <w:r>
        <w:separator/>
      </w:r>
    </w:p>
  </w:footnote>
  <w:footnote w:type="continuationSeparator" w:id="0">
    <w:p w14:paraId="6461974D" w14:textId="77777777" w:rsidR="00020A13" w:rsidRDefault="00020A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41DE3"/>
    <w:multiLevelType w:val="hybridMultilevel"/>
    <w:tmpl w:val="8A987F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5E4CA3"/>
    <w:multiLevelType w:val="hybridMultilevel"/>
    <w:tmpl w:val="A2DE892A"/>
    <w:lvl w:ilvl="0" w:tplc="0EE0F472">
      <w:start w:val="1"/>
      <w:numFmt w:val="decimal"/>
      <w:pStyle w:val="berschrift2"/>
      <w:lvlText w:val="%1."/>
      <w:lvlJc w:val="left"/>
      <w:pPr>
        <w:ind w:left="72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0502EA6"/>
    <w:multiLevelType w:val="hybridMultilevel"/>
    <w:tmpl w:val="CB1C82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A402E3"/>
    <w:multiLevelType w:val="hybridMultilevel"/>
    <w:tmpl w:val="C12C2C8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56AB1B3E"/>
    <w:multiLevelType w:val="multilevel"/>
    <w:tmpl w:val="9E60682E"/>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9D5"/>
    <w:rsid w:val="00001A93"/>
    <w:rsid w:val="00020A13"/>
    <w:rsid w:val="000D09B3"/>
    <w:rsid w:val="001B7AF6"/>
    <w:rsid w:val="00230433"/>
    <w:rsid w:val="00245836"/>
    <w:rsid w:val="002761A1"/>
    <w:rsid w:val="00292081"/>
    <w:rsid w:val="00292350"/>
    <w:rsid w:val="002A04DF"/>
    <w:rsid w:val="002D3F57"/>
    <w:rsid w:val="00337FB0"/>
    <w:rsid w:val="00347443"/>
    <w:rsid w:val="00363A43"/>
    <w:rsid w:val="00402B0A"/>
    <w:rsid w:val="00414BB3"/>
    <w:rsid w:val="0046296C"/>
    <w:rsid w:val="00481679"/>
    <w:rsid w:val="004938A8"/>
    <w:rsid w:val="004A75FD"/>
    <w:rsid w:val="0055391A"/>
    <w:rsid w:val="00562234"/>
    <w:rsid w:val="00582FBE"/>
    <w:rsid w:val="005870B9"/>
    <w:rsid w:val="00593BB4"/>
    <w:rsid w:val="0059772B"/>
    <w:rsid w:val="006F32AB"/>
    <w:rsid w:val="00871034"/>
    <w:rsid w:val="00925F6C"/>
    <w:rsid w:val="0098696A"/>
    <w:rsid w:val="00A04E66"/>
    <w:rsid w:val="00A37474"/>
    <w:rsid w:val="00A52E39"/>
    <w:rsid w:val="00AE4710"/>
    <w:rsid w:val="00B7239A"/>
    <w:rsid w:val="00BB0B30"/>
    <w:rsid w:val="00BC1D3C"/>
    <w:rsid w:val="00C104EE"/>
    <w:rsid w:val="00C214A4"/>
    <w:rsid w:val="00C871A1"/>
    <w:rsid w:val="00D139D5"/>
    <w:rsid w:val="00D52FAD"/>
    <w:rsid w:val="00D83D43"/>
    <w:rsid w:val="00D96EE6"/>
    <w:rsid w:val="00DA3A72"/>
    <w:rsid w:val="00DC1C5F"/>
    <w:rsid w:val="00E66559"/>
    <w:rsid w:val="00ED5CAB"/>
    <w:rsid w:val="00EF4EF2"/>
    <w:rsid w:val="00F02685"/>
    <w:rsid w:val="00F666C4"/>
    <w:rsid w:val="00F76F4D"/>
    <w:rsid w:val="00FC50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9AC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rsid w:val="000D09B3"/>
    <w:pPr>
      <w:spacing w:line="360" w:lineRule="atLeast"/>
    </w:pPr>
    <w:rPr>
      <w:rFonts w:ascii="Helvetica" w:hAnsi="Helvetica" w:cs="Arial Unicode MS"/>
      <w:color w:val="000000"/>
      <w:sz w:val="24"/>
      <w:szCs w:val="22"/>
    </w:rPr>
  </w:style>
  <w:style w:type="paragraph" w:styleId="berschrift1">
    <w:name w:val="heading 1"/>
    <w:pPr>
      <w:keepNext/>
      <w:suppressAutoHyphens/>
      <w:spacing w:before="280" w:line="240" w:lineRule="atLeast"/>
      <w:outlineLvl w:val="0"/>
    </w:pPr>
    <w:rPr>
      <w:rFonts w:ascii="Arial" w:hAnsi="Arial" w:cs="Arial Unicode MS"/>
      <w:b/>
      <w:bCs/>
      <w:color w:val="000000"/>
      <w:sz w:val="32"/>
      <w:szCs w:val="32"/>
      <w:u w:color="000000"/>
    </w:rPr>
  </w:style>
  <w:style w:type="paragraph" w:styleId="berschrift2">
    <w:name w:val="heading 2"/>
    <w:next w:val="Standard"/>
    <w:link w:val="berschrift2Zchn"/>
    <w:pPr>
      <w:keepNext/>
      <w:numPr>
        <w:numId w:val="1"/>
      </w:numPr>
      <w:suppressAutoHyphens/>
      <w:spacing w:before="280" w:after="100" w:line="240" w:lineRule="atLeast"/>
      <w:outlineLvl w:val="1"/>
    </w:pPr>
    <w:rPr>
      <w:rFonts w:ascii="Arial" w:hAnsi="Arial" w:cs="Arial Unicode MS"/>
      <w:b/>
      <w:bCs/>
      <w:color w:val="000000"/>
      <w:sz w:val="24"/>
      <w:szCs w:val="24"/>
      <w:u w:color="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Text">
    <w:name w:val="Text"/>
    <w:pPr>
      <w:suppressAutoHyphens/>
      <w:spacing w:line="360" w:lineRule="atLeast"/>
    </w:pPr>
    <w:rPr>
      <w:rFonts w:ascii="Quire Sans Pro" w:hAnsi="Quire Sans Pro" w:cs="Arial Unicode MS"/>
      <w:color w:val="000000"/>
      <w:sz w:val="24"/>
      <w:szCs w:val="24"/>
      <w:u w:color="000000"/>
    </w:rPr>
  </w:style>
  <w:style w:type="paragraph" w:customStyle="1" w:styleId="Paragraph">
    <w:name w:val="Paragraph"/>
    <w:pPr>
      <w:suppressAutoHyphens/>
      <w:spacing w:line="360" w:lineRule="atLeast"/>
    </w:pPr>
    <w:rPr>
      <w:rFonts w:ascii="Quire Sans Pro" w:hAnsi="Quire Sans Pro" w:cs="Arial Unicode MS"/>
      <w:color w:val="000000"/>
      <w:sz w:val="24"/>
      <w:szCs w:val="24"/>
      <w:u w:color="000000"/>
    </w:rPr>
  </w:style>
  <w:style w:type="character" w:customStyle="1" w:styleId="berschrift2Zchn">
    <w:name w:val="Überschrift 2 Zchn"/>
    <w:basedOn w:val="Absatz-Standardschriftart"/>
    <w:link w:val="berschrift2"/>
    <w:rsid w:val="0098696A"/>
    <w:rPr>
      <w:rFonts w:ascii="Arial" w:hAnsi="Arial" w:cs="Arial Unicode MS"/>
      <w:b/>
      <w:bCs/>
      <w:color w:val="000000"/>
      <w:sz w:val="24"/>
      <w:szCs w:val="24"/>
      <w:u w:color="000000"/>
    </w:rPr>
  </w:style>
  <w:style w:type="character" w:styleId="Kommentarzeichen">
    <w:name w:val="annotation reference"/>
    <w:uiPriority w:val="99"/>
    <w:semiHidden/>
    <w:unhideWhenUsed/>
    <w:rsid w:val="00C871A1"/>
    <w:rPr>
      <w:sz w:val="18"/>
      <w:szCs w:val="18"/>
    </w:rPr>
  </w:style>
  <w:style w:type="paragraph" w:styleId="Kommentartext">
    <w:name w:val="annotation text"/>
    <w:basedOn w:val="Standard"/>
    <w:link w:val="KommentartextZchn"/>
    <w:uiPriority w:val="99"/>
    <w:semiHidden/>
    <w:unhideWhenUsed/>
    <w:rsid w:val="00C871A1"/>
    <w:pPr>
      <w:widowControl w:val="0"/>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textAlignment w:val="baseline"/>
    </w:pPr>
    <w:rPr>
      <w:rFonts w:ascii="Calibri" w:eastAsia="Times New Roman" w:hAnsi="Calibri" w:cs="Times New Roman"/>
      <w:color w:val="auto"/>
      <w:szCs w:val="24"/>
      <w:bdr w:val="none" w:sz="0" w:space="0" w:color="auto"/>
    </w:rPr>
  </w:style>
  <w:style w:type="character" w:customStyle="1" w:styleId="KommentartextZchn">
    <w:name w:val="Kommentartext Zchn"/>
    <w:basedOn w:val="Absatz-Standardschriftart"/>
    <w:link w:val="Kommentartext"/>
    <w:uiPriority w:val="99"/>
    <w:semiHidden/>
    <w:rsid w:val="00C871A1"/>
    <w:rPr>
      <w:rFonts w:ascii="Calibri" w:eastAsia="Times New Roman" w:hAnsi="Calibri"/>
      <w:sz w:val="24"/>
      <w:szCs w:val="24"/>
      <w:bdr w:val="none" w:sz="0" w:space="0" w:color="auto"/>
    </w:rPr>
  </w:style>
  <w:style w:type="paragraph" w:styleId="Sprechblasentext">
    <w:name w:val="Balloon Text"/>
    <w:basedOn w:val="Standard"/>
    <w:link w:val="SprechblasentextZchn"/>
    <w:uiPriority w:val="99"/>
    <w:semiHidden/>
    <w:unhideWhenUsed/>
    <w:rsid w:val="00C871A1"/>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871A1"/>
    <w:rPr>
      <w:color w:val="000000"/>
      <w:sz w:val="18"/>
      <w:szCs w:val="18"/>
    </w:rPr>
  </w:style>
  <w:style w:type="paragraph" w:styleId="Kopfzeile">
    <w:name w:val="header"/>
    <w:basedOn w:val="Standard"/>
    <w:link w:val="KopfzeileZchn"/>
    <w:uiPriority w:val="99"/>
    <w:unhideWhenUsed/>
    <w:rsid w:val="00292350"/>
    <w:pPr>
      <w:tabs>
        <w:tab w:val="center" w:pos="4536"/>
        <w:tab w:val="right" w:pos="9072"/>
      </w:tabs>
    </w:pPr>
  </w:style>
  <w:style w:type="character" w:customStyle="1" w:styleId="KopfzeileZchn">
    <w:name w:val="Kopfzeile Zchn"/>
    <w:basedOn w:val="Absatz-Standardschriftart"/>
    <w:link w:val="Kopfzeile"/>
    <w:uiPriority w:val="99"/>
    <w:rsid w:val="00292350"/>
    <w:rPr>
      <w:rFonts w:ascii="Helvetica" w:hAnsi="Helvetica" w:cs="Arial Unicode MS"/>
      <w:color w:val="000000"/>
      <w:sz w:val="22"/>
      <w:szCs w:val="22"/>
    </w:rPr>
  </w:style>
  <w:style w:type="paragraph" w:styleId="Fuzeile">
    <w:name w:val="footer"/>
    <w:basedOn w:val="Standard"/>
    <w:link w:val="FuzeileZchn"/>
    <w:uiPriority w:val="99"/>
    <w:unhideWhenUsed/>
    <w:rsid w:val="00292350"/>
    <w:pPr>
      <w:tabs>
        <w:tab w:val="center" w:pos="4536"/>
        <w:tab w:val="right" w:pos="9072"/>
      </w:tabs>
    </w:pPr>
  </w:style>
  <w:style w:type="character" w:customStyle="1" w:styleId="FuzeileZchn">
    <w:name w:val="Fußzeile Zchn"/>
    <w:basedOn w:val="Absatz-Standardschriftart"/>
    <w:link w:val="Fuzeile"/>
    <w:uiPriority w:val="99"/>
    <w:rsid w:val="00292350"/>
    <w:rPr>
      <w:rFonts w:ascii="Helvetica" w:hAnsi="Helvetica" w:cs="Arial Unicode MS"/>
      <w:color w:val="000000"/>
      <w:sz w:val="22"/>
      <w:szCs w:val="22"/>
    </w:rPr>
  </w:style>
  <w:style w:type="paragraph" w:styleId="Dokumentstruktur">
    <w:name w:val="Document Map"/>
    <w:basedOn w:val="Standard"/>
    <w:link w:val="DokumentstrukturZchn"/>
    <w:uiPriority w:val="99"/>
    <w:semiHidden/>
    <w:unhideWhenUsed/>
    <w:rsid w:val="00414BB3"/>
    <w:pPr>
      <w:spacing w:line="240" w:lineRule="auto"/>
    </w:pPr>
    <w:rPr>
      <w:rFonts w:ascii="Times New Roman" w:hAnsi="Times New Roman" w:cs="Times New Roman"/>
      <w:szCs w:val="24"/>
    </w:rPr>
  </w:style>
  <w:style w:type="character" w:customStyle="1" w:styleId="DokumentstrukturZchn">
    <w:name w:val="Dokumentstruktur Zchn"/>
    <w:basedOn w:val="Absatz-Standardschriftart"/>
    <w:link w:val="Dokumentstruktur"/>
    <w:uiPriority w:val="99"/>
    <w:semiHidden/>
    <w:rsid w:val="00414BB3"/>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657134">
      <w:bodyDiv w:val="1"/>
      <w:marLeft w:val="0"/>
      <w:marRight w:val="0"/>
      <w:marTop w:val="0"/>
      <w:marBottom w:val="0"/>
      <w:divBdr>
        <w:top w:val="none" w:sz="0" w:space="0" w:color="auto"/>
        <w:left w:val="none" w:sz="0" w:space="0" w:color="auto"/>
        <w:bottom w:val="none" w:sz="0" w:space="0" w:color="auto"/>
        <w:right w:val="none" w:sz="0" w:space="0" w:color="auto"/>
      </w:divBdr>
    </w:div>
    <w:div w:id="1443568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627</Words>
  <Characters>3956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 Hansen-Oest</cp:lastModifiedBy>
  <cp:revision>11</cp:revision>
  <dcterms:created xsi:type="dcterms:W3CDTF">2017-02-28T19:37:00Z</dcterms:created>
  <dcterms:modified xsi:type="dcterms:W3CDTF">2018-02-23T10:59:00Z</dcterms:modified>
</cp:coreProperties>
</file>